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4E410">
      <w:pPr>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rPr>
        <w:t>证券代码：</w:t>
      </w:r>
      <w:r>
        <w:rPr>
          <w:rFonts w:hint="default" w:ascii="Times New Roman" w:hAnsi="Times New Roman" w:eastAsia="宋体" w:cs="Times New Roman"/>
          <w:sz w:val="24"/>
          <w:szCs w:val="24"/>
          <w:lang w:val="en-US"/>
        </w:rPr>
        <w:t>603508</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t>公司简称：</w:t>
      </w:r>
      <w:r>
        <w:rPr>
          <w:rFonts w:hint="default" w:ascii="Times New Roman" w:hAnsi="Times New Roman" w:eastAsia="宋体" w:cs="Times New Roman"/>
          <w:sz w:val="24"/>
          <w:szCs w:val="24"/>
          <w:lang w:val="en-US"/>
        </w:rPr>
        <w:t>思维列控</w:t>
      </w:r>
    </w:p>
    <w:p w14:paraId="528F9625">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hint="default" w:ascii="Times New Roman" w:hAnsi="Times New Roman" w:eastAsia="宋体" w:cs="Times New Roman"/>
          <w:sz w:val="36"/>
          <w:szCs w:val="36"/>
        </w:rPr>
      </w:pPr>
      <w:r>
        <w:rPr>
          <w:rFonts w:hint="default" w:ascii="Times New Roman" w:hAnsi="Times New Roman" w:eastAsia="宋体" w:cs="Times New Roman"/>
          <w:sz w:val="36"/>
          <w:szCs w:val="36"/>
        </w:rPr>
        <w:t>河南思维自动化设备股份有限公司</w:t>
      </w:r>
    </w:p>
    <w:p w14:paraId="6AE60EB7">
      <w:pPr>
        <w:jc w:val="center"/>
        <w:rPr>
          <w:rFonts w:hint="default" w:ascii="Times New Roman" w:hAnsi="Times New Roman" w:eastAsia="宋体" w:cs="Times New Roman"/>
          <w:sz w:val="36"/>
          <w:szCs w:val="36"/>
        </w:rPr>
      </w:pPr>
      <w:r>
        <w:rPr>
          <w:rFonts w:hint="default" w:ascii="Times New Roman" w:hAnsi="Times New Roman" w:eastAsia="宋体" w:cs="Times New Roman"/>
          <w:sz w:val="36"/>
          <w:szCs w:val="36"/>
        </w:rPr>
        <w:t>投资者关系活动记录表</w:t>
      </w:r>
    </w:p>
    <w:p w14:paraId="4E2EB0BA">
      <w:pPr>
        <w:jc w:val="center"/>
        <w:rPr>
          <w:rFonts w:ascii="黑体" w:hAnsi="黑体" w:eastAsia="黑体"/>
          <w:sz w:val="24"/>
          <w:szCs w:val="24"/>
        </w:rPr>
      </w:pPr>
    </w:p>
    <w:tbl>
      <w:tblPr>
        <w:tblStyle w:val="5"/>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91"/>
        <w:gridCol w:w="7426"/>
      </w:tblGrid>
      <w:tr w14:paraId="4164C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291" w:type="dxa"/>
            <w:noWrap w:val="0"/>
            <w:vAlign w:val="center"/>
          </w:tcPr>
          <w:p w14:paraId="740FB596">
            <w:pPr>
              <w:rPr>
                <w:rFonts w:hint="eastAsia" w:ascii="宋体" w:hAnsi="宋体" w:eastAsia="宋体" w:cs="宋体"/>
                <w:sz w:val="24"/>
                <w:szCs w:val="24"/>
              </w:rPr>
            </w:pPr>
            <w:r>
              <w:rPr>
                <w:rFonts w:hint="eastAsia" w:ascii="宋体" w:hAnsi="宋体" w:eastAsia="宋体" w:cs="宋体"/>
                <w:sz w:val="24"/>
                <w:szCs w:val="24"/>
              </w:rPr>
              <w:t>投资者关系活动类别</w:t>
            </w:r>
          </w:p>
        </w:tc>
        <w:tc>
          <w:tcPr>
            <w:tcW w:w="7426" w:type="dxa"/>
            <w:noWrap w:val="0"/>
            <w:vAlign w:val="center"/>
          </w:tcPr>
          <w:p w14:paraId="51C453C4">
            <w:pPr>
              <w:spacing w:line="360" w:lineRule="auto"/>
              <w:rPr>
                <w:rFonts w:hint="eastAsia" w:ascii="宋体" w:hAnsi="宋体" w:eastAsia="宋体" w:cs="宋体"/>
                <w:bCs/>
                <w:iCs/>
                <w:color w:val="000000"/>
                <w:sz w:val="24"/>
              </w:rPr>
            </w:pPr>
            <w:r>
              <w:rPr>
                <w:rFonts w:hint="eastAsia" w:ascii="宋体" w:hAnsi="宋体" w:eastAsia="宋体" w:cs="宋体"/>
                <w:bCs/>
                <w:iCs/>
                <w:color w:val="000000"/>
                <w:kern w:val="0"/>
                <w:sz w:val="24"/>
              </w:rPr>
              <w:t xml:space="preserve">□ </w:t>
            </w:r>
            <w:r>
              <w:rPr>
                <w:rFonts w:hint="eastAsia" w:ascii="宋体" w:hAnsi="宋体" w:eastAsia="宋体" w:cs="宋体"/>
                <w:kern w:val="0"/>
                <w:sz w:val="24"/>
              </w:rPr>
              <w:t xml:space="preserve">特定对象调研                   </w:t>
            </w:r>
            <w:r>
              <w:rPr>
                <w:rFonts w:hint="eastAsia" w:ascii="宋体" w:hAnsi="宋体" w:eastAsia="宋体" w:cs="宋体"/>
                <w:bCs/>
                <w:iCs/>
                <w:color w:val="000000"/>
                <w:kern w:val="0"/>
                <w:sz w:val="24"/>
              </w:rPr>
              <w:t xml:space="preserve">□ </w:t>
            </w:r>
            <w:r>
              <w:rPr>
                <w:rFonts w:hint="eastAsia" w:ascii="宋体" w:hAnsi="宋体" w:eastAsia="宋体" w:cs="宋体"/>
                <w:kern w:val="0"/>
                <w:sz w:val="24"/>
              </w:rPr>
              <w:t>分析师会议</w:t>
            </w:r>
          </w:p>
          <w:p w14:paraId="1A9956DC">
            <w:pPr>
              <w:spacing w:line="360" w:lineRule="auto"/>
              <w:rPr>
                <w:rFonts w:hint="eastAsia" w:ascii="宋体" w:hAnsi="宋体" w:eastAsia="宋体" w:cs="宋体"/>
                <w:bCs/>
                <w:iCs/>
                <w:color w:val="000000"/>
                <w:kern w:val="0"/>
                <w:sz w:val="24"/>
              </w:rPr>
            </w:pPr>
            <w:r>
              <w:rPr>
                <w:rFonts w:hint="eastAsia" w:ascii="宋体" w:hAnsi="宋体" w:eastAsia="宋体" w:cs="宋体"/>
                <w:bCs/>
                <w:iCs/>
                <w:color w:val="000000"/>
                <w:kern w:val="0"/>
                <w:sz w:val="24"/>
              </w:rPr>
              <w:t xml:space="preserve">□ </w:t>
            </w:r>
            <w:r>
              <w:rPr>
                <w:rFonts w:hint="eastAsia" w:ascii="宋体" w:hAnsi="宋体" w:eastAsia="宋体" w:cs="宋体"/>
                <w:kern w:val="0"/>
                <w:sz w:val="24"/>
              </w:rPr>
              <w:t xml:space="preserve">媒体采访                     </w:t>
            </w:r>
            <w:r>
              <w:rPr>
                <w:rFonts w:hint="eastAsia" w:ascii="宋体" w:hAnsi="宋体" w:eastAsia="宋体" w:cs="宋体"/>
                <w:b/>
                <w:kern w:val="0"/>
                <w:sz w:val="24"/>
              </w:rPr>
              <w:t xml:space="preserve">  </w:t>
            </w:r>
            <w:r>
              <w:rPr>
                <w:rFonts w:hint="eastAsia" w:ascii="宋体" w:hAnsi="宋体" w:eastAsia="宋体" w:cs="宋体"/>
                <w:b/>
                <w:bCs/>
                <w:iCs/>
                <w:color w:val="000000"/>
                <w:kern w:val="0"/>
                <w:sz w:val="24"/>
              </w:rPr>
              <w:t xml:space="preserve">√ </w:t>
            </w:r>
            <w:r>
              <w:rPr>
                <w:rFonts w:hint="eastAsia" w:ascii="宋体" w:hAnsi="宋体" w:eastAsia="宋体" w:cs="宋体"/>
                <w:b/>
                <w:kern w:val="0"/>
                <w:sz w:val="24"/>
              </w:rPr>
              <w:t>业绩说明会</w:t>
            </w:r>
          </w:p>
          <w:p w14:paraId="4E7F9E6F">
            <w:pPr>
              <w:spacing w:line="360" w:lineRule="auto"/>
              <w:rPr>
                <w:rFonts w:hint="eastAsia" w:ascii="宋体" w:hAnsi="宋体" w:eastAsia="宋体" w:cs="宋体"/>
                <w:bCs/>
                <w:iCs/>
                <w:color w:val="000000"/>
                <w:kern w:val="0"/>
                <w:sz w:val="24"/>
              </w:rPr>
            </w:pPr>
            <w:r>
              <w:rPr>
                <w:rFonts w:hint="eastAsia" w:ascii="宋体" w:hAnsi="宋体" w:eastAsia="宋体" w:cs="宋体"/>
                <w:bCs/>
                <w:iCs/>
                <w:color w:val="000000"/>
                <w:kern w:val="0"/>
                <w:sz w:val="24"/>
              </w:rPr>
              <w:t xml:space="preserve">□ </w:t>
            </w:r>
            <w:r>
              <w:rPr>
                <w:rFonts w:hint="eastAsia" w:ascii="宋体" w:hAnsi="宋体" w:eastAsia="宋体" w:cs="宋体"/>
                <w:kern w:val="0"/>
                <w:sz w:val="24"/>
              </w:rPr>
              <w:t xml:space="preserve">新闻发布会                     </w:t>
            </w:r>
            <w:r>
              <w:rPr>
                <w:rFonts w:hint="eastAsia" w:ascii="宋体" w:hAnsi="宋体" w:eastAsia="宋体" w:cs="宋体"/>
                <w:bCs/>
                <w:iCs/>
                <w:color w:val="000000"/>
                <w:kern w:val="0"/>
                <w:sz w:val="24"/>
              </w:rPr>
              <w:t xml:space="preserve">□ </w:t>
            </w:r>
            <w:r>
              <w:rPr>
                <w:rFonts w:hint="eastAsia" w:ascii="宋体" w:hAnsi="宋体" w:eastAsia="宋体" w:cs="宋体"/>
                <w:kern w:val="0"/>
                <w:sz w:val="24"/>
              </w:rPr>
              <w:t>路演活动</w:t>
            </w:r>
          </w:p>
          <w:p w14:paraId="492A65FD">
            <w:pPr>
              <w:tabs>
                <w:tab w:val="left" w:pos="3045"/>
                <w:tab w:val="center" w:pos="3199"/>
              </w:tabs>
              <w:spacing w:line="360" w:lineRule="auto"/>
              <w:rPr>
                <w:rFonts w:hint="eastAsia" w:ascii="宋体" w:hAnsi="宋体" w:eastAsia="宋体" w:cs="宋体"/>
                <w:bCs/>
                <w:iCs/>
                <w:color w:val="000000"/>
                <w:kern w:val="0"/>
                <w:sz w:val="24"/>
              </w:rPr>
            </w:pPr>
            <w:r>
              <w:rPr>
                <w:rFonts w:hint="eastAsia" w:ascii="宋体" w:hAnsi="宋体" w:eastAsia="宋体" w:cs="宋体"/>
                <w:bCs/>
                <w:iCs/>
                <w:color w:val="000000"/>
                <w:kern w:val="0"/>
                <w:sz w:val="24"/>
              </w:rPr>
              <w:t xml:space="preserve">□ </w:t>
            </w:r>
            <w:r>
              <w:rPr>
                <w:rFonts w:hint="eastAsia" w:ascii="宋体" w:hAnsi="宋体" w:eastAsia="宋体" w:cs="宋体"/>
                <w:kern w:val="0"/>
                <w:sz w:val="24"/>
              </w:rPr>
              <w:t>现场参观</w:t>
            </w:r>
            <w:r>
              <w:rPr>
                <w:rFonts w:hint="eastAsia" w:ascii="宋体" w:hAnsi="宋体" w:eastAsia="宋体" w:cs="宋体"/>
                <w:bCs/>
                <w:iCs/>
                <w:color w:val="000000"/>
                <w:kern w:val="0"/>
                <w:sz w:val="24"/>
              </w:rPr>
              <w:tab/>
            </w:r>
          </w:p>
          <w:p w14:paraId="4E47DCFF">
            <w:pPr>
              <w:spacing w:line="360" w:lineRule="auto"/>
              <w:rPr>
                <w:rFonts w:hint="eastAsia" w:ascii="宋体" w:hAnsi="宋体" w:eastAsia="宋体" w:cs="宋体"/>
                <w:sz w:val="24"/>
                <w:szCs w:val="24"/>
              </w:rPr>
            </w:pPr>
            <w:r>
              <w:rPr>
                <w:rFonts w:hint="eastAsia" w:ascii="宋体" w:hAnsi="宋体" w:eastAsia="宋体" w:cs="宋体"/>
                <w:b/>
                <w:bCs/>
                <w:iCs/>
                <w:color w:val="000000"/>
                <w:kern w:val="0"/>
                <w:sz w:val="24"/>
              </w:rPr>
              <w:t xml:space="preserve">√ </w:t>
            </w:r>
            <w:r>
              <w:rPr>
                <w:rFonts w:hint="eastAsia" w:ascii="宋体" w:hAnsi="宋体" w:eastAsia="宋体" w:cs="宋体"/>
                <w:b/>
                <w:kern w:val="0"/>
                <w:sz w:val="24"/>
              </w:rPr>
              <w:t xml:space="preserve">其他  </w:t>
            </w:r>
            <w:r>
              <w:rPr>
                <w:rFonts w:hint="eastAsia" w:ascii="宋体" w:hAnsi="宋体" w:eastAsia="宋体" w:cs="宋体"/>
                <w:b/>
                <w:kern w:val="0"/>
                <w:sz w:val="24"/>
                <w:u w:val="single"/>
              </w:rPr>
              <w:t xml:space="preserve"> </w:t>
            </w:r>
            <w:r>
              <w:rPr>
                <w:rFonts w:hint="default" w:ascii="Times New Roman" w:hAnsi="Times New Roman" w:eastAsia="宋体" w:cs="Times New Roman"/>
                <w:b/>
                <w:kern w:val="0"/>
                <w:sz w:val="24"/>
                <w:u w:val="single"/>
              </w:rPr>
              <w:t>202</w:t>
            </w:r>
            <w:r>
              <w:rPr>
                <w:rFonts w:hint="default" w:ascii="Times New Roman" w:hAnsi="Times New Roman" w:eastAsia="宋体" w:cs="Times New Roman"/>
                <w:b/>
                <w:kern w:val="0"/>
                <w:sz w:val="24"/>
                <w:u w:val="single"/>
                <w:lang w:val="en-US" w:eastAsia="zh-CN"/>
              </w:rPr>
              <w:t>6</w:t>
            </w:r>
            <w:r>
              <w:rPr>
                <w:rFonts w:hint="eastAsia" w:ascii="宋体" w:hAnsi="宋体" w:eastAsia="宋体" w:cs="宋体"/>
                <w:b/>
                <w:kern w:val="0"/>
                <w:sz w:val="24"/>
                <w:u w:val="single"/>
              </w:rPr>
              <w:t>年</w:t>
            </w:r>
            <w:r>
              <w:rPr>
                <w:rFonts w:hint="eastAsia" w:ascii="宋体" w:hAnsi="宋体" w:eastAsia="宋体" w:cs="宋体"/>
                <w:b/>
                <w:kern w:val="0"/>
                <w:sz w:val="24"/>
                <w:u w:val="single"/>
                <w:lang w:val="en-US" w:eastAsia="zh-CN"/>
              </w:rPr>
              <w:t>半</w:t>
            </w:r>
            <w:r>
              <w:rPr>
                <w:rFonts w:hint="eastAsia" w:ascii="宋体" w:hAnsi="宋体" w:eastAsia="宋体" w:cs="宋体"/>
                <w:b/>
                <w:kern w:val="0"/>
                <w:sz w:val="24"/>
                <w:u w:val="single"/>
              </w:rPr>
              <w:t xml:space="preserve">年度业绩说明会 </w:t>
            </w:r>
          </w:p>
        </w:tc>
      </w:tr>
      <w:tr w14:paraId="4488A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291" w:type="dxa"/>
            <w:noWrap w:val="0"/>
            <w:vAlign w:val="center"/>
          </w:tcPr>
          <w:p w14:paraId="6DFF76A5">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活动主题</w:t>
            </w:r>
          </w:p>
        </w:tc>
        <w:tc>
          <w:tcPr>
            <w:tcW w:w="7426" w:type="dxa"/>
            <w:noWrap w:val="0"/>
            <w:vAlign w:val="center"/>
          </w:tcPr>
          <w:p w14:paraId="4CEC726E">
            <w:pPr>
              <w:rPr>
                <w:rFonts w:hint="default" w:ascii="Times New Roman" w:hAnsi="Times New Roman" w:eastAsia="宋体" w:cs="Times New Roman"/>
                <w:sz w:val="24"/>
                <w:szCs w:val="24"/>
              </w:rPr>
            </w:pPr>
            <w:r>
              <w:rPr>
                <w:rFonts w:hint="default" w:ascii="Times New Roman" w:hAnsi="Times New Roman" w:eastAsia="宋体" w:cs="Times New Roman"/>
                <w:bCs/>
                <w:iCs/>
                <w:color w:val="000000"/>
                <w:sz w:val="24"/>
                <w:highlight w:val="none"/>
                <w:lang w:val="en-GB"/>
              </w:rPr>
              <w:t>思维列控2026年半年度业绩说明会</w:t>
            </w:r>
          </w:p>
        </w:tc>
      </w:tr>
      <w:tr w14:paraId="5D605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291" w:type="dxa"/>
            <w:noWrap w:val="0"/>
            <w:vAlign w:val="center"/>
          </w:tcPr>
          <w:p w14:paraId="4D110398">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时间</w:t>
            </w:r>
          </w:p>
        </w:tc>
        <w:tc>
          <w:tcPr>
            <w:tcW w:w="7426" w:type="dxa"/>
            <w:noWrap w:val="0"/>
            <w:vAlign w:val="center"/>
          </w:tcPr>
          <w:p w14:paraId="34015D29">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2026年8月18日（星期二）15:00-16:30</w:t>
            </w:r>
          </w:p>
        </w:tc>
      </w:tr>
      <w:tr w14:paraId="3320F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291" w:type="dxa"/>
            <w:noWrap w:val="0"/>
            <w:vAlign w:val="center"/>
          </w:tcPr>
          <w:p w14:paraId="273B29F3">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地点/方式</w:t>
            </w:r>
          </w:p>
        </w:tc>
        <w:tc>
          <w:tcPr>
            <w:tcW w:w="7426" w:type="dxa"/>
            <w:noWrap w:val="0"/>
            <w:vAlign w:val="center"/>
          </w:tcPr>
          <w:p w14:paraId="71BF5862">
            <w:pPr>
              <w:jc w:val="both"/>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rPr>
              <w:t>公司通过上交所上证路演中心（http://roadshow.sseinfo.com）</w:t>
            </w:r>
            <w:r>
              <w:rPr>
                <w:rFonts w:hint="default" w:ascii="Times New Roman" w:hAnsi="Times New Roman" w:eastAsia="宋体" w:cs="Times New Roman"/>
                <w:bCs/>
                <w:sz w:val="24"/>
              </w:rPr>
              <w:t>采用视频直播和网络互动形式召开</w:t>
            </w:r>
            <w:r>
              <w:rPr>
                <w:rFonts w:hint="eastAsia" w:ascii="Times New Roman" w:hAnsi="Times New Roman" w:cs="Times New Roman"/>
                <w:bCs/>
                <w:sz w:val="24"/>
                <w:lang w:eastAsia="zh-CN"/>
              </w:rPr>
              <w:t>“</w:t>
            </w:r>
            <w:r>
              <w:rPr>
                <w:rFonts w:hint="default" w:ascii="Times New Roman" w:hAnsi="Times New Roman" w:eastAsia="宋体" w:cs="Times New Roman"/>
                <w:bCs/>
                <w:sz w:val="24"/>
              </w:rPr>
              <w:t>思维列控20</w:t>
            </w:r>
            <w:r>
              <w:rPr>
                <w:rFonts w:hint="default" w:ascii="Times New Roman" w:hAnsi="Times New Roman" w:eastAsia="宋体" w:cs="Times New Roman"/>
                <w:bCs/>
                <w:sz w:val="24"/>
                <w:lang w:val="en-US" w:eastAsia="zh-CN"/>
              </w:rPr>
              <w:t>26</w:t>
            </w:r>
            <w:r>
              <w:rPr>
                <w:rFonts w:hint="default" w:ascii="Times New Roman" w:hAnsi="Times New Roman" w:eastAsia="宋体" w:cs="Times New Roman"/>
                <w:bCs/>
                <w:sz w:val="24"/>
              </w:rPr>
              <w:t>年</w:t>
            </w:r>
            <w:r>
              <w:rPr>
                <w:rFonts w:hint="default" w:ascii="Times New Roman" w:hAnsi="Times New Roman" w:eastAsia="宋体" w:cs="Times New Roman"/>
                <w:bCs/>
                <w:sz w:val="24"/>
                <w:lang w:val="en-US" w:eastAsia="zh-CN"/>
              </w:rPr>
              <w:t>半</w:t>
            </w:r>
            <w:r>
              <w:rPr>
                <w:rFonts w:hint="default" w:ascii="Times New Roman" w:hAnsi="Times New Roman" w:eastAsia="宋体" w:cs="Times New Roman"/>
                <w:bCs/>
                <w:sz w:val="24"/>
              </w:rPr>
              <w:t>年度业绩说明会</w:t>
            </w:r>
            <w:r>
              <w:rPr>
                <w:rFonts w:hint="eastAsia" w:ascii="Times New Roman" w:hAnsi="Times New Roman" w:cs="Times New Roman"/>
                <w:bCs/>
                <w:sz w:val="24"/>
                <w:lang w:eastAsia="zh-CN"/>
              </w:rPr>
              <w:t>”</w:t>
            </w:r>
          </w:p>
        </w:tc>
      </w:tr>
      <w:tr w14:paraId="7D39B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291" w:type="dxa"/>
            <w:noWrap w:val="0"/>
            <w:vAlign w:val="center"/>
          </w:tcPr>
          <w:p w14:paraId="623F2B29">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参会人员</w:t>
            </w:r>
          </w:p>
        </w:tc>
        <w:tc>
          <w:tcPr>
            <w:tcW w:w="7426" w:type="dxa"/>
            <w:noWrap w:val="0"/>
            <w:vAlign w:val="center"/>
          </w:tcPr>
          <w:p w14:paraId="7CA5D078">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董事长：方伟</w:t>
            </w:r>
          </w:p>
          <w:p w14:paraId="235304A2">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独立董事：叶建华</w:t>
            </w:r>
          </w:p>
          <w:p w14:paraId="5819CDE7">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董事会秘书：骆开尚</w:t>
            </w:r>
          </w:p>
          <w:p w14:paraId="5EB4E901">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财务总监：孙坤</w:t>
            </w:r>
          </w:p>
        </w:tc>
      </w:tr>
      <w:tr w14:paraId="7ED08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291" w:type="dxa"/>
            <w:noWrap w:val="0"/>
            <w:vAlign w:val="center"/>
          </w:tcPr>
          <w:p w14:paraId="78B3FF17">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投资者关系活动主要内容介绍</w:t>
            </w:r>
          </w:p>
        </w:tc>
        <w:tc>
          <w:tcPr>
            <w:tcW w:w="7426" w:type="dxa"/>
            <w:noWrap w:val="0"/>
            <w:vAlign w:val="top"/>
          </w:tcPr>
          <w:p w14:paraId="3F82D0F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问题1：公司今年半年度为什么没有分红？</w:t>
            </w:r>
          </w:p>
          <w:p w14:paraId="5E21926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为简化公司现金分红程序，公司2025年年度股东会已授权董事会，在满足相关前提条件及金额上限的前提下，可根据公司实际情况制定并实施2026年中期（含一季度或半年度或前三季度）现金分红方案。鉴于公司在2026年5月21日</w:t>
            </w:r>
            <w:r>
              <w:rPr>
                <w:rFonts w:hint="default" w:ascii="Times New Roman" w:hAnsi="Times New Roman" w:eastAsia="宋体" w:cs="Times New Roman"/>
                <w:i w:val="0"/>
                <w:iCs w:val="0"/>
                <w:caps w:val="0"/>
                <w:color w:val="000000"/>
                <w:spacing w:val="0"/>
                <w:sz w:val="24"/>
                <w:szCs w:val="24"/>
                <w:lang w:val="en-US" w:eastAsia="zh-CN"/>
              </w:rPr>
              <w:t>已</w:t>
            </w:r>
            <w:r>
              <w:rPr>
                <w:rFonts w:hint="default" w:ascii="Times New Roman" w:hAnsi="Times New Roman" w:eastAsia="宋体" w:cs="Times New Roman"/>
                <w:i w:val="0"/>
                <w:iCs w:val="0"/>
                <w:caps w:val="0"/>
                <w:color w:val="000000"/>
                <w:spacing w:val="0"/>
                <w:sz w:val="24"/>
                <w:szCs w:val="24"/>
              </w:rPr>
              <w:t>完成2025年年度利润分配的实施，为合理统筹资金安排，公司董事会经审慎审议，决定后续择机推进2026年中期分红事宜。根据《公司2024~2026年分红规划》，公司原则上实行年度分红与中期分红相结合的现金分红安排，每年实施中期利润分配（包括一季度分红或半年度分红或三季度分红），公司将严格按照上述规划落实现金分红。后续若董事会审议通过公司中期分红方案，公司将及时履行信息披露义务并推进分红方案落地。感谢您对公司的关注！</w:t>
            </w:r>
          </w:p>
          <w:p w14:paraId="60B5C59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未来，在不影响公司正常生产经营的前提下，公司仍将延续稳健的分红政策，与广大投资者共享公司发展成果。感谢您对公司的关注！</w:t>
            </w:r>
          </w:p>
          <w:p w14:paraId="0846B87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2：建议贵公司从每年的现金分红中提取一部分资金用于股份回购（比如说在市盈率低于15、市净率低于2时启动），所回购股份一部分用于注销、一部分用于有条件（降低生产成本、提高营业收入、提高盈利水平等）的股权激励。</w:t>
            </w:r>
          </w:p>
          <w:p w14:paraId="5B598D9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textAlignment w:val="auto"/>
              <w:outlineLvl w:val="0"/>
              <w:rPr>
                <w:rFonts w:hint="default" w:ascii="Times New Roman" w:hAnsi="Times New Roman" w:eastAsia="宋体" w:cs="Times New Roman"/>
                <w:b/>
                <w:bCs/>
                <w:i w:val="0"/>
                <w:iCs w:val="0"/>
                <w:caps w:val="0"/>
                <w:color w:val="000000"/>
                <w:spacing w:val="0"/>
                <w:sz w:val="24"/>
                <w:szCs w:val="24"/>
              </w:rPr>
            </w:pPr>
            <w:r>
              <w:rPr>
                <w:rFonts w:hint="default" w:ascii="Times New Roman" w:hAnsi="Times New Roman" w:eastAsia="宋体" w:cs="Times New Roman"/>
                <w:b/>
                <w:bCs/>
                <w:i w:val="0"/>
                <w:iCs w:val="0"/>
                <w:caps w:val="0"/>
                <w:color w:val="000000"/>
                <w:spacing w:val="0"/>
                <w:sz w:val="24"/>
                <w:szCs w:val="24"/>
                <w:lang w:val="en-US" w:eastAsia="zh-CN"/>
              </w:rPr>
              <w:t>问题3：</w:t>
            </w:r>
            <w:r>
              <w:rPr>
                <w:rFonts w:hint="default" w:ascii="Times New Roman" w:hAnsi="Times New Roman" w:eastAsia="宋体" w:cs="Times New Roman"/>
                <w:b/>
                <w:bCs/>
                <w:i w:val="0"/>
                <w:iCs w:val="0"/>
                <w:caps w:val="0"/>
                <w:color w:val="000000"/>
                <w:spacing w:val="0"/>
                <w:sz w:val="24"/>
                <w:szCs w:val="24"/>
              </w:rPr>
              <w:t>贵公司控制权变更的对象为国资平台公司，并不是一个很好的计划。郑州及河南的国资平台公司都与公司经营方向没有密切联系，估计也没有强烈、成熟及长远的意愿，连产业发展方向都不能全面耦合，从财务角度还存在一点风险。因此我建议他们最多作为基石投资或财务投资者，但可多家形成共同投资。贵公司控制权变更的对象还是建议重点考虑①华为等具有技术背景、对行业发展有明确计划、能为公司发展提供资源支持的民企；②科研机构或国铁相关企业；③无实际控制人方案，结合管理层收购计划。</w:t>
            </w:r>
          </w:p>
          <w:p w14:paraId="6C7517D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问题2、问题3统一回复如下：</w:t>
            </w:r>
            <w:r>
              <w:rPr>
                <w:rFonts w:hint="default" w:ascii="Times New Roman" w:hAnsi="Times New Roman" w:eastAsia="宋体" w:cs="Times New Roman"/>
                <w:i w:val="0"/>
                <w:iCs w:val="0"/>
                <w:caps w:val="0"/>
                <w:color w:val="000000"/>
                <w:spacing w:val="0"/>
                <w:sz w:val="24"/>
                <w:szCs w:val="24"/>
              </w:rPr>
              <w:t>尊敬的投资者，您好！非常感谢您对公司长期发展的深切关注以及提出的宝贵建议。公司董事会及管理层高度重视每一位投资者的意见。您的相关建议，我们将高度重视，后续将组织董事会、管理层审慎研究与评估，结合公司实际情况及合规要求，采纳可行建议。再次感谢您的建议与支持。公司将继续坚持稳健经营，努力为投资者创造长期价值。谢谢！</w:t>
            </w:r>
          </w:p>
          <w:p w14:paraId="0AA39DCD">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问题4：请详细介绍一下公司2026年半年度各业务板块的经营情况</w:t>
            </w:r>
          </w:p>
          <w:p w14:paraId="36937D0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公司主营业务涉及普速铁路和高速铁路两大领域，主要包括列车运行控制、铁路安全防护、高速铁路运行监测与信息管理三大业务。报告期内，公司三大主营业务市场格局持续保持行业领先，公司整体生产经营稳中向好，营业收入、归母净利润均创下新高。随着业务结构持续优化，三大主业布局日趋均衡，有效提升了公司经营韧性与抗周期能力，可持续发展基础进一步夯实。</w:t>
            </w:r>
          </w:p>
          <w:p w14:paraId="22DA35A3">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分业务来看</w:t>
            </w:r>
            <w:r>
              <w:rPr>
                <w:rFonts w:hint="default" w:ascii="Times New Roman" w:hAnsi="Times New Roman" w:eastAsia="宋体"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1）公司列控业务实现收入2.71亿元，收入占比37.97%，同比下降3.90%，整体经营态势平稳，未出现大幅波动。（2）铁路安全防护业务实现收入2.15亿元，收入占比30.03%，同比增长13.16%，增长主要原因为：报告期内用户对公司6A、CMD等核心产品的需求持续增长。（3）高铁运行监测业务实现收入2.29亿元，收入占比32.01%，同比增长13.37%，增长主要原因为：铁路用户对公司高铁监测产品的需求保持增长趋势，公司加快推动产品交付，有效拉动板块收入增长。感谢您对公司的关注！</w:t>
            </w:r>
          </w:p>
          <w:p w14:paraId="6507BB3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问题5：贵公司管理层对列控系统、安防系统等在未来5年的市场发展趋势有何判断？</w:t>
            </w:r>
          </w:p>
          <w:p w14:paraId="56F9C34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十五五</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时期，国内铁路行业步入新建线路建设与存量升级改造并行的发展阶段，铁路装备相关投资具备较强的确定性与持续性。</w:t>
            </w:r>
          </w:p>
          <w:p w14:paraId="01046F7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（1）列控系统正向</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高可靠、高安全、智能化</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方向演进。LKJ列控系统历经多年发展，存量设备规模庞大，总量约3.4万套。目前LKJ2000型设备正处于更新换代的关键窗口期，LKJ列控系统的更新与升级，将构成未来数年公司列控业务</w:t>
            </w:r>
            <w:r>
              <w:rPr>
                <w:rFonts w:hint="default" w:ascii="Times New Roman" w:hAnsi="Times New Roman" w:eastAsia="宋体" w:cs="Times New Roman"/>
                <w:i w:val="0"/>
                <w:iCs w:val="0"/>
                <w:caps w:val="0"/>
                <w:color w:val="000000"/>
                <w:spacing w:val="0"/>
                <w:sz w:val="24"/>
                <w:szCs w:val="24"/>
                <w:lang w:val="en-US" w:eastAsia="zh-CN"/>
              </w:rPr>
              <w:t>发展</w:t>
            </w:r>
            <w:r>
              <w:rPr>
                <w:rFonts w:hint="default" w:ascii="Times New Roman" w:hAnsi="Times New Roman" w:eastAsia="宋体" w:cs="Times New Roman"/>
                <w:i w:val="0"/>
                <w:iCs w:val="0"/>
                <w:caps w:val="0"/>
                <w:color w:val="000000"/>
                <w:spacing w:val="0"/>
                <w:sz w:val="24"/>
                <w:szCs w:val="24"/>
              </w:rPr>
              <w:t>的重要基石，同时公司LKJ系统一直保持约48%的较高市场占有率。当前，公司LKJ-15S系统、机车智能辅助驾驶系统（STO系统）已经在部分客户处实现小批量推广。此外，国铁集团已组织相关列控厂家开展新一代普速列控系统（CTCS-1级列控系统）研发，公司现已完成样机研发及系统集成测试等相关工作，正在环形试验道开展相关试验。列控系统的智能化升级将带来更加广阔的市场机遇，目前列控系统市场正向着</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技术升级+存量替换双轮驱动</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转型，这一趋势在未来5年将持续深化。需要说明的是，当前列控升级产品均处于推广前期或起步阶段，对公司的收入及利润影响较小。</w:t>
            </w:r>
          </w:p>
          <w:p w14:paraId="1A2F7AE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2）在铁路安防系统领域，行业将迎来铁路安全需求升级带来的结构性机遇。目前铁路安防系统（主要包括6A系统、CMD系统、LSP系统等）的发展，受益于国铁集团对行车安全监控要求的持续加码。公司CMD2.0版本已完成全国产化设计与运行试验，计划于2026年下半年开展批量推广，智能检测站等新产品也已实现订单突破。随着铁路安全管理从</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被动响应</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向</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主动预防</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转型，安防系统的覆盖范围和技术标准将持续提升。与此同时，公司正积极拓展数据分析、状态监测、预测性维护等增值服务，逐步从单一设备供应商向</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产品+服务</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综合解决方案提供商转型，有望进一步提升客户粘性与盈利质量。</w:t>
            </w:r>
          </w:p>
          <w:p w14:paraId="512CD7A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以上判断系公司基于当前行业政策、市场环境及经营计划作出的展望，不构成对投资者的业绩承诺，相关内容存在不确定性，敬请投资者注意投资风险。感谢您的关注！</w:t>
            </w:r>
          </w:p>
          <w:p w14:paraId="798794BF">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问题6：随着市场竞争日益加剧，公司当前主要产品的市占率如何，是否稳定？</w:t>
            </w:r>
          </w:p>
          <w:p w14:paraId="70483FE1">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截至2026年上半年末，列车运行控制、铁路安全防护、高速铁路运行监测与信息管理三大业务市场占有率总体保持稳定。其中，公司列车运行控制系统的市场占有率在48%左右；在铁路安防系统方面，6A车载音视频显示终端、CMD系统的市场占有率均在30%左右，LSP系统的市场占有率超过60%；在高铁运行监测方面，公司是DMS、EOAS等产品的核心供应商。感谢您对公司的关注！</w:t>
            </w:r>
          </w:p>
          <w:p w14:paraId="58DD3D9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问题7：贵公司半年报中反馈：营业成本、销售费用、管理费用同比增速均大于营业收入增速，研发费用及利息收入又出现较大下降，主要是因为什么原因？是否会形成长期趋势？</w:t>
            </w:r>
          </w:p>
          <w:p w14:paraId="6C17AC1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i w:val="0"/>
                <w:iCs w:val="0"/>
                <w:caps w:val="0"/>
                <w:color w:val="000000"/>
                <w:spacing w:val="0"/>
                <w:sz w:val="24"/>
                <w:szCs w:val="24"/>
                <w:lang w:val="en-US" w:eastAsia="zh-CN"/>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w:t>
            </w:r>
            <w:r>
              <w:rPr>
                <w:rFonts w:hint="default" w:ascii="Times New Roman" w:hAnsi="Times New Roman" w:eastAsia="宋体" w:cs="Times New Roman"/>
                <w:i w:val="0"/>
                <w:iCs w:val="0"/>
                <w:caps w:val="0"/>
                <w:color w:val="000000"/>
                <w:spacing w:val="0"/>
                <w:sz w:val="24"/>
                <w:szCs w:val="24"/>
                <w:lang w:val="en-US" w:eastAsia="zh-CN"/>
              </w:rPr>
              <w:t>相关指标主要变动原因如下：</w:t>
            </w:r>
          </w:p>
          <w:p w14:paraId="64B13F8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1、营业成本同比增速大于营业收入增速主要是因为产品结构占比变化和部分材料涨价。（1）公司LKJ无线数据换装系统、北斗定位及校时系统等高毛利的产品的收入占比有所下降。（2）存储芯片、集成电路等上游材料价格波动，导致营业成本增速略高于营业收入增速。</w:t>
            </w:r>
          </w:p>
          <w:p w14:paraId="6863335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2、</w:t>
            </w:r>
            <w:r>
              <w:rPr>
                <w:rFonts w:hint="default" w:ascii="Times New Roman" w:hAnsi="Times New Roman" w:eastAsia="宋体" w:cs="Times New Roman"/>
                <w:i w:val="0"/>
                <w:iCs w:val="0"/>
                <w:caps w:val="0"/>
                <w:color w:val="000000"/>
                <w:spacing w:val="0"/>
                <w:sz w:val="24"/>
                <w:szCs w:val="24"/>
              </w:rPr>
              <w:t>公司三项期间费用：2026年上半年销售费用、管理费用、研发费用合计14663万元，上年同期合计14548万元，同比增加0.79%，低于营业收入增速。三项期间费用变动幅度不同，主要是因为公司对研发费用分摊进行了优化调整。</w:t>
            </w:r>
          </w:p>
          <w:p w14:paraId="7D4CBAB0">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kern w:val="0"/>
                <w:sz w:val="24"/>
                <w:szCs w:val="24"/>
                <w:lang w:val="en-US" w:eastAsia="zh-CN" w:bidi="ar"/>
              </w:rPr>
              <w:t>3、</w:t>
            </w:r>
            <w:r>
              <w:rPr>
                <w:rFonts w:hint="default" w:ascii="Times New Roman" w:hAnsi="Times New Roman" w:eastAsia="宋体" w:cs="Times New Roman"/>
                <w:i w:val="0"/>
                <w:iCs w:val="0"/>
                <w:caps w:val="0"/>
                <w:color w:val="000000"/>
                <w:spacing w:val="0"/>
                <w:sz w:val="24"/>
                <w:szCs w:val="24"/>
              </w:rPr>
              <w:t>利息收入下降的原因：（1）2025年公司累计支付分红款12.54亿元，2025年末公司货币资金10.65亿元，较2025年年初下降6亿元，持有资金减少，产生的利息相应下降。（2）定期存单利息走低，影响利息下降。（3）公司短期闲置资金主要用于购买结构性存款，结构性存款产生的利息计入投资收益，未体现在利息收入科目。</w:t>
            </w:r>
          </w:p>
          <w:p w14:paraId="6855D027">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4、关于长期趋势：影响营业成本的材料价格受上游材料价格影响，是否是长期影响需要看后续供需情况；三项期间费用占营业收入的比例较为稳定；利息收入受外部利率环境影响，存在一定不确定性。感谢您对公司的关注！</w:t>
            </w:r>
          </w:p>
          <w:p w14:paraId="07D8CEB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问题8：今年上半年公司经营活动净现金流有所下降，是公司销售回款变差了吗？</w:t>
            </w:r>
          </w:p>
          <w:p w14:paraId="132CC74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今年上半年，公司经营活动现金流净流入3.59亿元，同比下降5.95%，主要原因是报告期内公司支付的各项税费、职工薪酬有所增加。报告期内，公司实现营业收入7.29亿元，完成销售回款8.61亿元，回款规模与去年同期基本持平。截至2026年6月30日，公司持有货币资金11.91亿元，整体现金流状况保持稳健。感谢您对公司的关注！</w:t>
            </w:r>
          </w:p>
          <w:p w14:paraId="023F6D1E">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问题9：请问贵公司26年以来，开拓了哪些新的业务领域？你们对此预期如何？</w:t>
            </w:r>
          </w:p>
          <w:p w14:paraId="33AEB02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
                <w:bCs/>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公司紧抓铁路产业升级机遇，以高研发投入推动安全计算机、智能感知、深度学习、大数据、5G等核心技术攻关，落实AI赋能战略。2026年以来，公司新一代普速列控系统、智能辅助驾驶系统、CMD系统2.0版等多项重点研发项目按计划推进，筑牢产品迭代根基。同时，LKJ列控系统通信板件升级（T型通信板）、基于高铁DMS系统车载集中监测平台、智能检测站等项目试验加快推进，力争年内转化。目前CMD2.0已开发验证完毕，拟下半年批量推广；T型通信板、智能检测站已实现订单突破，为公司开辟新增</w:t>
            </w:r>
            <w:r>
              <w:rPr>
                <w:rFonts w:hint="default" w:ascii="Times New Roman" w:hAnsi="Times New Roman" w:eastAsia="宋体" w:cs="Times New Roman"/>
                <w:b w:val="0"/>
                <w:bCs w:val="0"/>
                <w:i w:val="0"/>
                <w:iCs w:val="0"/>
                <w:caps w:val="0"/>
                <w:color w:val="000000"/>
                <w:spacing w:val="0"/>
                <w:sz w:val="24"/>
                <w:szCs w:val="24"/>
              </w:rPr>
              <w:t>长空间。感谢您对公司的关注！</w:t>
            </w:r>
          </w:p>
          <w:p w14:paraId="6F91809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问题10：贵公司在轨道交通自动驾驶领域有哪些技术积累？是否已形成独特优势？与哪些机构或公司建立合作关系？有无发展推广计划？有无在地铁等领域推广发展计划和措施？有无应用案例？</w:t>
            </w:r>
          </w:p>
          <w:p w14:paraId="225B11C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感谢您对公司的关注。（1）在列车智能驾驶技术积累方面，公司自2014年起从事列车智能驾驶技术研究，依托在列车运行控制领域近三十年的技术积累，已形成列车智能驾驶解决方案，成功研制了列车智能驾驶系统（STO系统）。截止目前，公司已发布第三代STO系统，融合了安全计算机、智能感知、深度学习、5G通信等核心技术，具备为乘务员提供实时行车建议与安全预警、综合优化行车方案的能力。期间，公司参与了多个国铁及地方铁路课题、试验，并与高等院校、专业机构等开展产学研合作。目前，公司机车智能驾驶系统（STO系统）主要聚焦于国家铁路、地方铁路、厂矿铁路及港口等机车应用场景，并已累计取得超3500万元订单。（2）公司的STO系统与城市轨道交通自动驾驶分属不同的技术路线和应用场景。公司在做大做强铁路主营业务的同时，也在持续拓展城市轨道交通业务。在城轨领域，公司已研发出地铁工程车防护系统（ISM）、地铁LCU系统、有轨电车司机辅助驾驶系统等产品，主要应用于地铁非运营车辆及有轨电车场景，目前正在广州、深圳、上海等7个城市进行推广。此外，公司地铁列控系统等重点项目也在按计划推进研发。（3）目前，公司STO系统及城轨相关产品均处于推广前期或起步阶段，对公司的收入及利润影响较小。新产品推广受技术验证周期、客户认证进度、行业政策等多重因素影响，存在推广不及预期的风险。公司将严格按照信息披露要求，在相关事项达到披露标准时及时履行信息披露义务。再次感谢您对公司的关注，请注意投资风险。</w:t>
            </w:r>
          </w:p>
          <w:p w14:paraId="7E6CCF4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11：近几年来，公司收购蓝信科技积累了较高商誉、赵建州被留置调查、突然控股权拟转让又无疾而终等等，都打击了中小投资者信心。建议公司应及时、清晰、明确向大家公布有关信息情况，也及时将公司的新趋势、新成就、好消息与大家分享，同时采取有效举措稳定市场价格。</w:t>
            </w:r>
          </w:p>
          <w:p w14:paraId="40859F4A">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公司董事会及管理层高度重视每一位投资者的意见。您的相关建议，我们将高度重视，后续将组织董事会、管理层审慎研究与评估，结合公司实际情况及合规要求，采纳可行建议。再次感谢您对公司的关注！</w:t>
            </w:r>
          </w:p>
          <w:p w14:paraId="6369B24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12：方董事长您好！做为思维新一任的掌舵，公司是否有短期一年，中期两，三年的销售收入实现目标？另外，作为沪深两市屈指可数的高毛利，高净率的公司，说明贵公司是一家护城河很宽的科技公司，对于二级市场的价格，公司认可吗？是否采取措施，维护股价，增强投资者信心？展现公司真正的价值！</w:t>
            </w:r>
          </w:p>
          <w:p w14:paraId="0881F166">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感谢您对公司价值的高度认可！公司深耕列控领域三十余年，凭借列车运行控制、铁路安全防护、高铁运行监测等核心技术优势，持续推动技术创新与迭代，已形成了深厚的技术壁垒。但二级市场股票价格受宏观经济环境、行业政策、市场风险偏好及公司业绩等多重因素综合影响，</w:t>
            </w:r>
            <w:r>
              <w:rPr>
                <w:rFonts w:hint="default" w:ascii="Times New Roman" w:hAnsi="Times New Roman" w:eastAsia="宋体" w:cs="Times New Roman"/>
                <w:i w:val="0"/>
                <w:iCs w:val="0"/>
                <w:caps w:val="0"/>
                <w:color w:val="000000"/>
                <w:spacing w:val="0"/>
                <w:sz w:val="24"/>
                <w:szCs w:val="24"/>
                <w:lang w:val="en-US" w:eastAsia="zh-CN"/>
              </w:rPr>
              <w:t>股价阶段性</w:t>
            </w:r>
            <w:r>
              <w:rPr>
                <w:rFonts w:hint="default" w:ascii="Times New Roman" w:hAnsi="Times New Roman" w:eastAsia="宋体" w:cs="Times New Roman"/>
                <w:i w:val="0"/>
                <w:iCs w:val="0"/>
                <w:caps w:val="0"/>
                <w:color w:val="000000"/>
                <w:spacing w:val="0"/>
                <w:sz w:val="24"/>
                <w:szCs w:val="24"/>
              </w:rPr>
              <w:t>波动</w:t>
            </w:r>
            <w:r>
              <w:rPr>
                <w:rFonts w:hint="default" w:ascii="Times New Roman" w:hAnsi="Times New Roman" w:eastAsia="宋体" w:cs="Times New Roman"/>
                <w:i w:val="0"/>
                <w:iCs w:val="0"/>
                <w:caps w:val="0"/>
                <w:color w:val="000000"/>
                <w:spacing w:val="0"/>
                <w:sz w:val="24"/>
                <w:szCs w:val="24"/>
                <w:lang w:val="en-US" w:eastAsia="zh-CN"/>
              </w:rPr>
              <w:t>未必能</w:t>
            </w:r>
            <w:r>
              <w:rPr>
                <w:rFonts w:hint="default" w:ascii="Times New Roman" w:hAnsi="Times New Roman" w:eastAsia="宋体" w:cs="Times New Roman"/>
                <w:i w:val="0"/>
                <w:iCs w:val="0"/>
                <w:caps w:val="0"/>
                <w:color w:val="000000"/>
                <w:spacing w:val="0"/>
                <w:sz w:val="24"/>
                <w:szCs w:val="24"/>
              </w:rPr>
              <w:t>反映公司长期价值。目前</w:t>
            </w:r>
            <w:r>
              <w:rPr>
                <w:rFonts w:hint="default" w:ascii="Times New Roman" w:hAnsi="Times New Roman" w:eastAsia="宋体" w:cs="Times New Roman"/>
                <w:i w:val="0"/>
                <w:iCs w:val="0"/>
                <w:caps w:val="0"/>
                <w:color w:val="000000"/>
                <w:spacing w:val="0"/>
                <w:sz w:val="24"/>
                <w:szCs w:val="24"/>
                <w:lang w:val="en-US" w:eastAsia="zh-CN"/>
              </w:rPr>
              <w:t>公司</w:t>
            </w:r>
            <w:r>
              <w:rPr>
                <w:rFonts w:hint="default" w:ascii="Times New Roman" w:hAnsi="Times New Roman" w:eastAsia="宋体" w:cs="Times New Roman"/>
                <w:i w:val="0"/>
                <w:iCs w:val="0"/>
                <w:caps w:val="0"/>
                <w:color w:val="000000"/>
                <w:spacing w:val="0"/>
                <w:sz w:val="24"/>
                <w:szCs w:val="24"/>
              </w:rPr>
              <w:t>各项业务有序推进，经营情况及内外部经营环境未发生重大变化。公司将持续积极响应上海证券交易所</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提质增效重回报</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专项行动倡议，聚焦主业、稳健经营，努力推动公司投资价值与公司质量相匹配。感谢您对公司的关注！</w:t>
            </w:r>
          </w:p>
          <w:p w14:paraId="2C1F13C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问题13：新老管理层交接，公司面临哪些挑战和困难？公司采取了哪些应对措施</w:t>
            </w:r>
          </w:p>
          <w:p w14:paraId="7DB936B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公司于2026年4月完成董事长、总经理的调整，旨在推进管理团队年轻化、专业化，但同时可能会面临需兼顾战略延续性与经营稳定性、新老团队融合及新任总经理对全局业务的熟悉需要时间、稳定投资者预期与市场信心等挑战。公司新管理层上任后，将持续聚焦主业，提升经营效率和盈利能力，以稳健的经营业绩作为市值管理的根本支撑。目前，公司管理层交接平稳有序，各项业务经营正常。感谢您对公司的关注！</w:t>
            </w:r>
          </w:p>
          <w:p w14:paraId="7B6BD497">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问题14：请问目前贵公司的股东人数是多少？</w:t>
            </w:r>
          </w:p>
          <w:p w14:paraId="2B48F909">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尊敬的投资者，您好！截至2026年8月10日，公司股东户数为35,592户。感谢您对公司的关注！</w:t>
            </w:r>
          </w:p>
          <w:p w14:paraId="72E60D84">
            <w:pPr>
              <w:pStyle w:val="3"/>
              <w:keepNext w:val="0"/>
              <w:keepLines w:val="0"/>
              <w:pageBreakBefore w:val="0"/>
              <w:widowControl/>
              <w:suppressLineNumbers w:val="0"/>
              <w:kinsoku/>
              <w:wordWrap/>
              <w:overflowPunct/>
              <w:topLinePunct w:val="0"/>
              <w:autoSpaceDE/>
              <w:autoSpaceDN/>
              <w:bidi w:val="0"/>
              <w:adjustRightInd/>
              <w:snapToGrid/>
              <w:spacing w:before="157" w:beforeLines="50" w:line="360" w:lineRule="auto"/>
              <w:ind w:left="0" w:firstLine="480" w:firstLineChars="200"/>
              <w:jc w:val="left"/>
              <w:textAlignment w:val="auto"/>
              <w:outlineLvl w:val="0"/>
              <w:rPr>
                <w:rFonts w:hint="default" w:ascii="Times New Roman" w:hAnsi="Times New Roman" w:eastAsia="宋体" w:cs="Times New Roman"/>
                <w:b w:val="0"/>
                <w:bCs w:val="0"/>
                <w:i w:val="0"/>
                <w:iCs w:val="0"/>
                <w:caps w:val="0"/>
                <w:color w:val="000000"/>
                <w:spacing w:val="0"/>
                <w:sz w:val="24"/>
                <w:szCs w:val="24"/>
                <w:lang w:val="en-US" w:eastAsia="zh-CN"/>
              </w:rPr>
            </w:pPr>
            <w:r>
              <w:rPr>
                <w:rFonts w:hint="default" w:ascii="Times New Roman" w:hAnsi="Times New Roman" w:eastAsia="宋体" w:cs="Times New Roman"/>
                <w:b w:val="0"/>
                <w:bCs w:val="0"/>
                <w:i w:val="0"/>
                <w:iCs w:val="0"/>
                <w:caps w:val="0"/>
                <w:color w:val="000000"/>
                <w:spacing w:val="0"/>
                <w:sz w:val="24"/>
                <w:szCs w:val="24"/>
                <w:lang w:val="en-US" w:eastAsia="zh-CN"/>
              </w:rPr>
              <w:t>此外，公司通过邮箱、上证路演中心互动平台收到预征集问题如下：</w:t>
            </w:r>
          </w:p>
          <w:p w14:paraId="397A5848">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问题15：请问之前公司筹划的变更控制权事项，后续还会不会继续进行？ 2. 公司的负债率低是不是因为公司没有进行研发投入和其它的投资行为？ 3. 公司的10%的分红率是否会继续维持？</w:t>
            </w:r>
          </w:p>
          <w:p w14:paraId="7DFEFCC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尊敬的投资者，您好！针对您的问题，公司逐项回复如下：</w:t>
            </w:r>
          </w:p>
          <w:p w14:paraId="7D5D508B">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1、尊敬的投资者，您好！关于控制权变更相关事宜如有进展且达到披露标准，公司将严格按照相关法律法规的要求，及时履行信息披露义务。感谢您对公司的关注！</w:t>
            </w:r>
          </w:p>
          <w:p w14:paraId="04566540">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2、公司资产负债率处于较低水平，主要系公司经营现金流稳健，日常经营积累形成较为充裕的自有资金，并非减少研发及各类投资活动。</w:t>
            </w:r>
          </w:p>
          <w:p w14:paraId="1DDE218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自上市以来，公司资产负债率长期稳定在10%以下的水平，截至2026年6月30日，公司资产负债率仅为5.57%，不存在任何有息负债，资产质量优良。与此同时，公司持续围绕主营业务推进研发项目落地，不断加大技术迭代、产品升级方面的研发投入，同时结合战略规划有序开展产能建设、业务拓展等相关投资布局。公司已连续多年保持营收占比超10%的高强度研发投入，其中近三年累计研发投入超4.5亿元，以技术创新赋能公司新质生产力发展。</w:t>
            </w:r>
          </w:p>
          <w:p w14:paraId="5D01E7E4">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综合来看，公司是一家</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技术驱动、现金充裕、经营质量较高</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的科技型企业。</w:t>
            </w:r>
          </w:p>
          <w:p w14:paraId="5C1293AD">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根据《公司2024~2026年分红规划》，公司原则上实行年度分红与中期分红相结合的现金分红安排，每年实施中期利润分配（包括一季度分红或半年度分红或三季度分红）。同时，若公司当年盈利或累计未分配利润为正，且在确保公司持续经营与长期发展的前提下，如无重大资金支出安排，则公司每年以现金方式分配的利润不低于当年实现的可供分配利润的60%。公司将严格按照上述规划落实2026年度现金分红。</w:t>
            </w:r>
            <w:r>
              <w:rPr>
                <w:rFonts w:hint="default" w:ascii="Times New Roman" w:hAnsi="Times New Roman" w:eastAsia="宋体" w:cs="Times New Roman"/>
                <w:i w:val="0"/>
                <w:iCs w:val="0"/>
                <w:caps w:val="0"/>
                <w:color w:val="000000"/>
                <w:spacing w:val="0"/>
                <w:sz w:val="24"/>
                <w:szCs w:val="24"/>
                <w:lang w:val="en-US" w:eastAsia="zh-CN"/>
              </w:rPr>
              <w:t>感谢您对公司的关注！</w:t>
            </w:r>
          </w:p>
          <w:p w14:paraId="07F0D885">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0"/>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16：主持人、各位管理层好：我是公司二级市场个人股东，目前持有公司10万股股票，长期关注公司发展。想请教管理层：2025年预计，2026年在铁路更新改造和后市场需求背景下，铁路行业投资有望维持高位，2026年国铁集团投资目标：全国铁路力争完成基建投资5200亿，投产新线2200公里以上。铁路设备更新换代&amp;老旧内燃机车淘汰&amp;动车组维修维保后市场放量。</w:t>
            </w:r>
          </w:p>
          <w:p w14:paraId="0C11A49C">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9"/>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问题一：2026年上半年国铁投资进度与投资强度与预计的是否一致，如果不一致，差异在哪里？对公司的影响如何？</w:t>
            </w:r>
          </w:p>
          <w:p w14:paraId="1DD52D6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9"/>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问题二：2026年上半年公司三大业务板块（列控系统业务、铁路安防业务、高铁运行监测业务）营收增减如何？主要原因是什么？对全年的预测如何？公司如何应对？公司全年的经营目标是否有变？</w:t>
            </w:r>
          </w:p>
          <w:p w14:paraId="2466B502">
            <w:pPr>
              <w:pStyle w:val="3"/>
              <w:keepNext w:val="0"/>
              <w:keepLines w:val="0"/>
              <w:pageBreakBefore w:val="0"/>
              <w:widowControl/>
              <w:suppressLineNumbers w:val="0"/>
              <w:kinsoku/>
              <w:wordWrap/>
              <w:overflowPunct/>
              <w:topLinePunct w:val="0"/>
              <w:autoSpaceDE/>
              <w:autoSpaceDN/>
              <w:bidi w:val="0"/>
              <w:adjustRightInd/>
              <w:snapToGrid/>
              <w:spacing w:line="360" w:lineRule="auto"/>
              <w:ind w:left="0" w:firstLine="482" w:firstLineChars="200"/>
              <w:jc w:val="left"/>
              <w:textAlignment w:val="auto"/>
              <w:outlineLvl w:val="9"/>
              <w:rPr>
                <w:rFonts w:hint="default" w:ascii="Times New Roman" w:hAnsi="Times New Roman" w:eastAsia="宋体" w:cs="Times New Roman"/>
                <w:b/>
                <w:bCs/>
                <w:i w:val="0"/>
                <w:iCs w:val="0"/>
                <w:caps w:val="0"/>
                <w:color w:val="000000"/>
                <w:spacing w:val="0"/>
                <w:sz w:val="24"/>
                <w:szCs w:val="24"/>
                <w:lang w:val="en-US" w:eastAsia="zh-CN"/>
              </w:rPr>
            </w:pPr>
            <w:r>
              <w:rPr>
                <w:rFonts w:hint="default" w:ascii="Times New Roman" w:hAnsi="Times New Roman" w:eastAsia="宋体" w:cs="Times New Roman"/>
                <w:b/>
                <w:bCs/>
                <w:i w:val="0"/>
                <w:iCs w:val="0"/>
                <w:caps w:val="0"/>
                <w:color w:val="000000"/>
                <w:spacing w:val="0"/>
                <w:sz w:val="24"/>
                <w:szCs w:val="24"/>
                <w:lang w:val="en-US" w:eastAsia="zh-CN"/>
              </w:rPr>
              <w:t>问题三：公司2026年的分红计划如何？</w:t>
            </w:r>
          </w:p>
          <w:p w14:paraId="4FB150EA">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eastAsia" w:ascii="Times New Roman" w:hAnsi="Times New Roman" w:cs="Times New Roman"/>
                <w:i w:val="0"/>
                <w:iCs w:val="0"/>
                <w:caps w:val="0"/>
                <w:color w:val="000000"/>
                <w:spacing w:val="0"/>
                <w:sz w:val="24"/>
                <w:szCs w:val="24"/>
                <w:lang w:val="en-US" w:eastAsia="zh-CN"/>
              </w:rPr>
              <w:t>回复</w:t>
            </w:r>
            <w:r>
              <w:rPr>
                <w:rFonts w:hint="default" w:ascii="Times New Roman" w:hAnsi="Times New Roman" w:eastAsia="宋体" w:cs="Times New Roman"/>
                <w:i w:val="0"/>
                <w:iCs w:val="0"/>
                <w:caps w:val="0"/>
                <w:color w:val="000000"/>
                <w:spacing w:val="0"/>
                <w:sz w:val="24"/>
                <w:szCs w:val="24"/>
              </w:rPr>
              <w:t>：尊敬的投资者，您好！针对您的问题，公司逐项回复如下：</w:t>
            </w:r>
          </w:p>
          <w:p w14:paraId="5ED6C40F">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问题一：国铁集团公开表示，2026年铁路投资额将基本保持</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十四五</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时期的年均投资规模。2026年上半年全国已完成铁路固定资产投资3</w:t>
            </w:r>
            <w:r>
              <w:rPr>
                <w:rFonts w:hint="default" w:ascii="Times New Roman" w:hAnsi="Times New Roman" w:eastAsia="宋体" w:cs="Times New Roman"/>
                <w:i w:val="0"/>
                <w:iCs w:val="0"/>
                <w:caps w:val="0"/>
                <w:color w:val="000000"/>
                <w:spacing w:val="0"/>
                <w:sz w:val="24"/>
                <w:szCs w:val="24"/>
                <w:lang w:val="en-US" w:eastAsia="zh-CN"/>
              </w:rPr>
              <w:t>,</w:t>
            </w:r>
            <w:r>
              <w:rPr>
                <w:rFonts w:hint="default" w:ascii="Times New Roman" w:hAnsi="Times New Roman" w:eastAsia="宋体" w:cs="Times New Roman"/>
                <w:i w:val="0"/>
                <w:iCs w:val="0"/>
                <w:caps w:val="0"/>
                <w:color w:val="000000"/>
                <w:spacing w:val="0"/>
                <w:sz w:val="24"/>
                <w:szCs w:val="24"/>
              </w:rPr>
              <w:t>632亿元，同比增长2.1%，投资总量和全年既定的投资基调基本吻合。公司作为列控系统、铁路安防系统、高铁运行监测系统综合供应商，相关业务在全国铁路固定资产投资总额中占比较小，因此投资总量波动对公司营收的直接影响十分有限；另一方面，公司各项产品的市场需求更多由存量设备更新周期和产业升级需求决定，并非单纯取决于铁路投资总量的波动。目前公司经营稳健，我们将继续密切关注行业政策及投资节奏变化，加大对铁路数字化、智能化领域的投入力度，积极把握各类市场机会。</w:t>
            </w:r>
          </w:p>
          <w:p w14:paraId="034B0734">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问题二：2026年上半年，公司市场地位持续保持领先，其中铁路安防与高铁运行监测业务收入均实现两位数增长，推动业务结构更趋均衡，公司整体抗周期能力与发展韧性进一步增强。分业务来看，列控系统业务营收2.71亿元，同比小幅下降3.90%，主要受采购与交付节奏阶段性波动影响，整体运行平稳；铁路安防业务与高铁运行监测业务则分别实现营收2.15亿、2.29亿元，同比分别增长13.16%和13.37%，主要得益于下游客户需求持续提升以及公司订单的高效交付。面对部分业务出现的短期波动，公司将继续坚持以技术创新驱动产品升级，深化降本增效，积极拓展市场空间，全力平滑周期性影响，保持生产经营稳定发展。感谢您对公司的关注！</w:t>
            </w:r>
          </w:p>
          <w:p w14:paraId="3A27D8FE">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i w:val="0"/>
                <w:iCs w:val="0"/>
                <w:caps w:val="0"/>
                <w:color w:val="000000"/>
                <w:spacing w:val="0"/>
                <w:sz w:val="24"/>
                <w:szCs w:val="24"/>
              </w:rPr>
            </w:pPr>
            <w:r>
              <w:rPr>
                <w:rFonts w:hint="default" w:ascii="Times New Roman" w:hAnsi="Times New Roman" w:eastAsia="宋体" w:cs="Times New Roman"/>
                <w:i w:val="0"/>
                <w:iCs w:val="0"/>
                <w:caps w:val="0"/>
                <w:color w:val="000000"/>
                <w:spacing w:val="0"/>
                <w:sz w:val="24"/>
                <w:szCs w:val="24"/>
              </w:rPr>
              <w:t>问题三：公司《2024~2026年分红规划》明确约定</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原则上，公司每年实施中期利润分配；在条件允许的情况下，亦可按季度进行分配。同时，若公司当年盈利或累计未分配利润为正，且在确保公司持续经营与长期发展的前提下，如无重大资金支出安排，则公司每年以现金方式分配的利润不低于当年实现的可供分配利润的60%。具体分配比例由董事会根据公司实际经营状况及中国证监会的相关规定拟定，并提交股东会审议批准。</w:t>
            </w:r>
            <w:r>
              <w:rPr>
                <w:rFonts w:hint="eastAsia" w:ascii="Times New Roman" w:hAnsi="Times New Roman" w:cs="Times New Roman"/>
                <w:i w:val="0"/>
                <w:iCs w:val="0"/>
                <w:caps w:val="0"/>
                <w:color w:val="000000"/>
                <w:spacing w:val="0"/>
                <w:sz w:val="24"/>
                <w:szCs w:val="24"/>
                <w:lang w:eastAsia="zh-CN"/>
              </w:rPr>
              <w:t>”</w:t>
            </w:r>
            <w:r>
              <w:rPr>
                <w:rFonts w:hint="default" w:ascii="Times New Roman" w:hAnsi="Times New Roman" w:eastAsia="宋体" w:cs="Times New Roman"/>
                <w:i w:val="0"/>
                <w:iCs w:val="0"/>
                <w:caps w:val="0"/>
                <w:color w:val="000000"/>
                <w:spacing w:val="0"/>
                <w:sz w:val="24"/>
                <w:szCs w:val="24"/>
              </w:rPr>
              <w:t>公司将严格依照上</w:t>
            </w:r>
            <w:bookmarkStart w:id="0" w:name="_GoBack"/>
            <w:bookmarkEnd w:id="0"/>
            <w:r>
              <w:rPr>
                <w:rFonts w:hint="default" w:ascii="Times New Roman" w:hAnsi="Times New Roman" w:eastAsia="宋体" w:cs="Times New Roman"/>
                <w:i w:val="0"/>
                <w:iCs w:val="0"/>
                <w:caps w:val="0"/>
                <w:color w:val="000000"/>
                <w:spacing w:val="0"/>
                <w:sz w:val="24"/>
                <w:szCs w:val="24"/>
              </w:rPr>
              <w:t>述规划，执行2026年度的分红安排。</w:t>
            </w:r>
          </w:p>
          <w:p w14:paraId="56F0432D">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i w:val="0"/>
                <w:iCs w:val="0"/>
                <w:caps w:val="0"/>
                <w:color w:val="000000"/>
                <w:spacing w:val="0"/>
                <w:sz w:val="24"/>
                <w:szCs w:val="24"/>
              </w:rPr>
              <w:t>感谢您对公司的关注！</w:t>
            </w:r>
          </w:p>
        </w:tc>
      </w:tr>
    </w:tbl>
    <w:p w14:paraId="68905011">
      <w:pPr>
        <w:rPr>
          <w:rFonts w:hint="eastAsia"/>
        </w:rPr>
      </w:pPr>
    </w:p>
    <w:p w14:paraId="1438CE74"/>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BAA97">
    <w:pPr>
      <w:pStyle w:val="2"/>
      <w:tabs>
        <w:tab w:val="clear" w:pos="4153"/>
      </w:tabs>
      <w:jc w:val="right"/>
    </w:pPr>
    <w:r>
      <w:rPr>
        <w:rFonts w:hint="eastAsia"/>
      </w:rPr>
      <w:t>河南思维自动化设备股份有限公司投资者关系活动记录表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6ED102"/>
    <w:multiLevelType w:val="singleLevel"/>
    <w:tmpl w:val="D76ED102"/>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3NTlhNGJhZTk1YmZkMTc2MTM0MTg2MGI3NTFmMTEifQ=="/>
  </w:docVars>
  <w:rsids>
    <w:rsidRoot w:val="00000000"/>
    <w:rsid w:val="018344BB"/>
    <w:rsid w:val="0A713A55"/>
    <w:rsid w:val="0E9076AD"/>
    <w:rsid w:val="1CB2496B"/>
    <w:rsid w:val="25A8288C"/>
    <w:rsid w:val="317B5DA5"/>
    <w:rsid w:val="58B77C40"/>
    <w:rsid w:val="61B42C51"/>
    <w:rsid w:val="63F71782"/>
    <w:rsid w:val="670E1B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5">
    <w:name w:val="Table Grid"/>
    <w:basedOn w:val="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7">
    <w:name w:val="Hyperlink"/>
    <w:basedOn w:val="6"/>
    <w:unhideWhenUsed/>
    <w:qFormat/>
    <w:uiPriority w:val="99"/>
    <w:rPr>
      <w:color w:val="0563C1"/>
      <w:u w:val="single"/>
    </w:rPr>
  </w:style>
  <w:style w:type="paragraph" w:customStyle="1" w:styleId="8">
    <w:name w:val="_Style 6"/>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7007</Words>
  <Characters>7413</Characters>
  <Lines>0</Lines>
  <Paragraphs>0</Paragraphs>
  <TotalTime>2</TotalTime>
  <ScaleCrop>false</ScaleCrop>
  <LinksUpToDate>false</LinksUpToDate>
  <CharactersWithSpaces>7529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2023-06-30T02:03:00Z</dcterms:created>
  <dc:creator>Administrator</dc:creator>
  <cp:lastModifiedBy>冰糖葫芦五加皮</cp:lastModifiedBy>
  <dcterms:modified xsi:type="dcterms:W3CDTF">2026-08-18T09:36:57Z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B0B80DEC168346C2B93D55F67D288340_13</vt:lpwstr>
  </property>
  <property fmtid="{D5CDD505-2E9C-101B-9397-08002B2CF9AE}" pid="4" name="KSOTemplateDocerSaveRecord">
    <vt:lpwstr>eyJoZGlkIjoiYmFjZGUxNzE4ZTU4OTYyYjIwOTJlNjRlOWMxNTcxMTAiLCJ1c2VySWQiOiI1NzcwNjE3MjMifQ==</vt:lpwstr>
  </property>
</Properties>
</file>