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3A332">
      <w:pPr>
        <w:spacing w:before="156" w:beforeLines="50" w:after="156" w:afterLines="50" w:line="400" w:lineRule="exact"/>
        <w:rPr>
          <w:rFonts w:hint="eastAsia" w:ascii="宋体" w:hAnsi="宋体"/>
          <w:b/>
          <w:iCs/>
          <w:color w:val="000000"/>
          <w:sz w:val="24"/>
          <w:szCs w:val="22"/>
        </w:rPr>
      </w:pPr>
      <w:bookmarkStart w:id="0" w:name="_GoBack"/>
      <w:bookmarkEnd w:id="0"/>
      <w:r>
        <w:rPr>
          <w:rFonts w:hint="eastAsia" w:ascii="宋体" w:hAnsi="宋体"/>
          <w:b/>
          <w:iCs/>
          <w:color w:val="000000"/>
          <w:sz w:val="24"/>
          <w:szCs w:val="22"/>
        </w:rPr>
        <w:t xml:space="preserve">证券代码：688188                                </w:t>
      </w:r>
      <w:r>
        <w:rPr>
          <w:rFonts w:ascii="宋体" w:hAnsi="宋体"/>
          <w:b/>
          <w:iCs/>
          <w:color w:val="000000"/>
          <w:sz w:val="24"/>
          <w:szCs w:val="22"/>
        </w:rPr>
        <w:t xml:space="preserve">  </w:t>
      </w:r>
      <w:r>
        <w:rPr>
          <w:rFonts w:hint="eastAsia" w:ascii="宋体" w:hAnsi="宋体"/>
          <w:b/>
          <w:iCs/>
          <w:color w:val="000000"/>
          <w:sz w:val="24"/>
          <w:szCs w:val="22"/>
        </w:rPr>
        <w:t xml:space="preserve">证券简称：柏楚电子 </w:t>
      </w:r>
    </w:p>
    <w:p w14:paraId="027FE76B">
      <w:pPr>
        <w:spacing w:line="360" w:lineRule="auto"/>
        <w:ind w:firstLine="643" w:firstLineChars="200"/>
        <w:jc w:val="center"/>
        <w:rPr>
          <w:rFonts w:hint="eastAsia" w:ascii="宋体" w:hAnsi="宋体"/>
          <w:b/>
          <w:bCs/>
          <w:iCs/>
          <w:color w:val="000000"/>
          <w:sz w:val="32"/>
          <w:szCs w:val="32"/>
        </w:rPr>
      </w:pPr>
    </w:p>
    <w:p w14:paraId="4A25741D">
      <w:pPr>
        <w:spacing w:line="360" w:lineRule="auto"/>
        <w:ind w:firstLine="643" w:firstLineChars="200"/>
        <w:jc w:val="center"/>
        <w:rPr>
          <w:rFonts w:hint="eastAsia" w:ascii="宋体" w:hAnsi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上海柏楚电子科技股份有限公司</w:t>
      </w:r>
    </w:p>
    <w:p w14:paraId="6F07B510">
      <w:pPr>
        <w:spacing w:line="360" w:lineRule="auto"/>
        <w:ind w:firstLine="643" w:firstLineChars="200"/>
        <w:jc w:val="center"/>
        <w:rPr>
          <w:rFonts w:hint="eastAsia" w:ascii="宋体" w:hAnsi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投资者关系活动记录表</w:t>
      </w:r>
    </w:p>
    <w:p w14:paraId="320BD2A0">
      <w:pPr>
        <w:spacing w:line="360" w:lineRule="auto"/>
        <w:ind w:firstLine="643" w:firstLineChars="200"/>
        <w:jc w:val="center"/>
        <w:rPr>
          <w:rFonts w:hint="eastAsia" w:ascii="宋体" w:hAnsi="宋体"/>
          <w:b/>
          <w:bCs/>
          <w:iCs/>
          <w:color w:val="000000"/>
          <w:sz w:val="32"/>
          <w:szCs w:val="32"/>
        </w:rPr>
      </w:pPr>
    </w:p>
    <w:p w14:paraId="3FFE12CF">
      <w:pPr>
        <w:spacing w:line="400" w:lineRule="exact"/>
        <w:ind w:firstLine="480" w:firstLineChars="200"/>
        <w:rPr>
          <w:rFonts w:hint="eastAsia" w:ascii="宋体" w:hAnsi="宋体"/>
          <w:bCs/>
          <w:iCs/>
          <w:color w:val="000000"/>
          <w:sz w:val="24"/>
        </w:rPr>
      </w:pPr>
      <w:r>
        <w:rPr>
          <w:rFonts w:hint="eastAsia" w:ascii="宋体" w:hAnsi="宋体"/>
          <w:bCs/>
          <w:iCs/>
          <w:color w:val="000000"/>
          <w:sz w:val="24"/>
        </w:rPr>
        <w:t xml:space="preserve">                                                   编号：2026-001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6614"/>
      </w:tblGrid>
      <w:tr w14:paraId="7A73E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DCDD9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投资者关系活动类别</w:t>
            </w:r>
          </w:p>
          <w:p w14:paraId="7B671610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34067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☑</w:t>
            </w:r>
            <w:r>
              <w:rPr>
                <w:rFonts w:hint="eastAsia" w:ascii="宋体" w:hAnsi="宋体"/>
                <w:sz w:val="24"/>
              </w:rPr>
              <w:t xml:space="preserve">特定对象调研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分析师会议</w:t>
            </w:r>
          </w:p>
          <w:p w14:paraId="48DCF2C1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媒体采访    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业绩说明会</w:t>
            </w:r>
          </w:p>
          <w:p w14:paraId="766E16D5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新闻发布会  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路演活动</w:t>
            </w:r>
          </w:p>
          <w:p w14:paraId="0F86A34F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现场参观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ab/>
            </w:r>
          </w:p>
          <w:p w14:paraId="29C0926E">
            <w:pPr>
              <w:tabs>
                <w:tab w:val="center" w:pos="3199"/>
              </w:tabs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其他 </w:t>
            </w:r>
          </w:p>
        </w:tc>
      </w:tr>
      <w:tr w14:paraId="22B67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69432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参与单位名称及人数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98C8F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t>施罗德投资管理（香港）有限公司</w:t>
            </w:r>
            <w:r>
              <w:rPr>
                <w:rFonts w:hint="eastAsia"/>
              </w:rPr>
              <w:t>、</w:t>
            </w:r>
            <w:r>
              <w:t>施罗德投资管理有限公司</w:t>
            </w:r>
            <w:r>
              <w:rPr>
                <w:rFonts w:hint="eastAsia"/>
              </w:rPr>
              <w:t>、</w:t>
            </w:r>
            <w:r>
              <w:t>鹏华基金管理有限公司</w:t>
            </w:r>
            <w:r>
              <w:rPr>
                <w:rFonts w:hint="eastAsia"/>
              </w:rPr>
              <w:t>、</w:t>
            </w:r>
            <w:r>
              <w:t>国联安基金管理有限公司</w:t>
            </w:r>
            <w:r>
              <w:rPr>
                <w:rFonts w:hint="eastAsia"/>
              </w:rPr>
              <w:t>、</w:t>
            </w:r>
            <w:r>
              <w:t>华安基金管理有限公司</w:t>
            </w:r>
            <w:r>
              <w:rPr>
                <w:rFonts w:hint="eastAsia"/>
              </w:rPr>
              <w:t>、</w:t>
            </w:r>
            <w:r>
              <w:t>博时基金管理有限公司</w:t>
            </w:r>
            <w:r>
              <w:rPr>
                <w:rFonts w:hint="eastAsia"/>
              </w:rPr>
              <w:t>、</w:t>
            </w:r>
            <w:r>
              <w:t>南方基金管理股份有限公司</w:t>
            </w:r>
            <w:r>
              <w:rPr>
                <w:rFonts w:hint="eastAsia"/>
              </w:rPr>
              <w:t>、</w:t>
            </w:r>
            <w:r>
              <w:t>申万宏源集团股份有限公司</w:t>
            </w:r>
            <w:r>
              <w:rPr>
                <w:rFonts w:hint="eastAsia"/>
              </w:rPr>
              <w:t>、</w:t>
            </w:r>
            <w:r>
              <w:t>中信证券股份有限公司</w:t>
            </w:r>
            <w:r>
              <w:rPr>
                <w:rFonts w:hint="eastAsia"/>
              </w:rPr>
              <w:t>、</w:t>
            </w:r>
            <w:r>
              <w:t>中信建投证券股份有限公司</w:t>
            </w:r>
            <w:r>
              <w:rPr>
                <w:rFonts w:hint="eastAsia"/>
              </w:rPr>
              <w:t>、</w:t>
            </w:r>
            <w:r>
              <w:t>中国中金财富证券有限公司Auerbach Grayson</w:t>
            </w:r>
            <w:r>
              <w:rPr>
                <w:rFonts w:hint="eastAsia"/>
              </w:rPr>
              <w:t>、</w:t>
            </w:r>
            <w:r>
              <w:t>Fidelity</w:t>
            </w:r>
            <w:r>
              <w:rPr>
                <w:rFonts w:hint="eastAsia"/>
              </w:rPr>
              <w:t>、</w:t>
            </w:r>
            <w:r>
              <w:t>FountainCap</w:t>
            </w:r>
            <w:r>
              <w:rPr>
                <w:rFonts w:hint="eastAsia"/>
              </w:rPr>
              <w:t>、F</w:t>
            </w:r>
            <w:r>
              <w:t xml:space="preserve">ranklin </w:t>
            </w:r>
            <w:r>
              <w:rPr>
                <w:rFonts w:hint="eastAsia"/>
              </w:rPr>
              <w:t>T</w:t>
            </w:r>
            <w:r>
              <w:t>empleton</w:t>
            </w:r>
            <w:r>
              <w:rPr>
                <w:rFonts w:hint="eastAsia"/>
              </w:rPr>
              <w:t>、</w:t>
            </w:r>
            <w:r>
              <w:t>Point72 Hong Kong Limited</w:t>
            </w:r>
            <w:r>
              <w:rPr>
                <w:rFonts w:hint="eastAsia"/>
              </w:rPr>
              <w:t>、</w:t>
            </w:r>
            <w:r>
              <w:t>Grand Alliance Asset Management</w:t>
            </w:r>
            <w:r>
              <w:rPr>
                <w:rFonts w:hint="eastAsia"/>
              </w:rPr>
              <w:t>Limited等140家机构，共计167人次。</w:t>
            </w:r>
          </w:p>
        </w:tc>
      </w:tr>
      <w:tr w14:paraId="36783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72CC3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7ABAF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 xml:space="preserve">2026年8月18日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下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午14:00-15:00</w:t>
            </w:r>
          </w:p>
        </w:tc>
      </w:tr>
      <w:tr w14:paraId="22F5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9532B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60726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电话会议</w:t>
            </w:r>
          </w:p>
        </w:tc>
      </w:tr>
      <w:tr w14:paraId="1D52E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B9269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7534E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董事会秘书：周荇</w:t>
            </w:r>
          </w:p>
          <w:p w14:paraId="308EE32E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证券事务代表：周志禹</w:t>
            </w:r>
          </w:p>
        </w:tc>
      </w:tr>
      <w:tr w14:paraId="2A8BD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084BA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投资者关系活动主要内容介绍</w:t>
            </w:r>
          </w:p>
          <w:p w14:paraId="58235F92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54CED">
            <w:pPr>
              <w:spacing w:line="480" w:lineRule="atLeast"/>
              <w:jc w:val="both"/>
              <w:rPr>
                <w:rFonts w:hint="eastAsia" w:ascii="宋体" w:hAnsi="宋体"/>
                <w:b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交流的主要内容：</w:t>
            </w:r>
          </w:p>
          <w:p w14:paraId="46DBAE3F">
            <w:pPr>
              <w:spacing w:line="480" w:lineRule="atLeast"/>
              <w:jc w:val="both"/>
              <w:rPr>
                <w:rFonts w:hint="eastAsia" w:ascii="宋体" w:hAnsi="宋体"/>
                <w:b/>
                <w:iCs/>
                <w:color w:val="000000"/>
                <w:sz w:val="24"/>
              </w:rPr>
            </w:pPr>
            <w:r>
              <w:rPr>
                <w:rFonts w:ascii="宋体" w:hAnsi="宋体"/>
                <w:b/>
                <w:iCs/>
                <w:color w:val="000000"/>
                <w:sz w:val="24"/>
              </w:rPr>
              <w:t>第一部分：公司</w:t>
            </w: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2026年半年度业绩基本</w:t>
            </w:r>
            <w:r>
              <w:rPr>
                <w:rFonts w:ascii="宋体" w:hAnsi="宋体"/>
                <w:b/>
                <w:iCs/>
                <w:color w:val="000000"/>
                <w:sz w:val="24"/>
              </w:rPr>
              <w:t>情况介绍</w:t>
            </w:r>
          </w:p>
          <w:p w14:paraId="0A8F097D">
            <w:pPr>
              <w:spacing w:line="480" w:lineRule="atLeast"/>
              <w:jc w:val="both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答：半年来，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公司实现营业收入127,825.01万元，较上年同期增加17,477.23万元，同比增长15.84%；归属于上市公司股东的净利润为78,715.03万元，较上年同期增加14,703.37万元，同比增长22.97%；归属于上市公司股东的扣除非经常性损益的净利润为71,359.95万元，较上年同期增加11,994.34万元，同比增加20.20%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。</w:t>
            </w:r>
          </w:p>
          <w:p w14:paraId="1CE21C88">
            <w:pPr>
              <w:spacing w:line="480" w:lineRule="atLeast"/>
              <w:jc w:val="both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/>
                <w:bCs/>
                <w:iCs/>
                <w:color w:val="000000"/>
                <w:sz w:val="24"/>
              </w:rPr>
              <w:t>平面业务上半年实现收入约7.07亿元，是公司占比最高的收入来源；管材解决方案业务上半年实现收入约2.8亿元，为第二大收入板块；三维解决方案业务上半年实现收入约3500万元；其余收入归属于其他业务板块，合计实现收入约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合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2.56亿元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。</w:t>
            </w:r>
          </w:p>
          <w:p w14:paraId="0A18FD3D">
            <w:pPr>
              <w:spacing w:line="480" w:lineRule="atLeast"/>
              <w:jc w:val="both"/>
              <w:rPr>
                <w:rFonts w:hint="eastAsia" w:ascii="宋体" w:hAnsi="宋体"/>
                <w:b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iCs/>
                <w:color w:val="000000"/>
                <w:sz w:val="24"/>
              </w:rPr>
              <w:t>第二部分：提问与回答环节</w:t>
            </w:r>
          </w:p>
          <w:p w14:paraId="6E2AF4EB">
            <w:pPr>
              <w:spacing w:line="480" w:lineRule="atLeast"/>
              <w:jc w:val="both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1、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切割业务未来增量方向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有哪些？</w:t>
            </w:r>
          </w:p>
          <w:p w14:paraId="6B855933">
            <w:pPr>
              <w:spacing w:line="480" w:lineRule="atLeast"/>
              <w:jc w:val="both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答：切割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业务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持续关注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细分领域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实际需求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的深度挖掘，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近年来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已在小管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类产品与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重工类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产品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取得较好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的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成效，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也通过联合设备集成商共同打造了高速机这样的现象级爆款设备，公司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后续将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持续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聚焦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细分行业，以期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实现技术与产品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的再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突破，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力争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打造出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更多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适配细分场景的行业爆款产品。</w:t>
            </w:r>
          </w:p>
          <w:p w14:paraId="48E10B56">
            <w:pPr>
              <w:spacing w:line="480" w:lineRule="atLeast"/>
              <w:jc w:val="both"/>
              <w:rPr>
                <w:rFonts w:hint="eastAsia" w:ascii="宋体" w:hAnsi="宋体" w:eastAsia="宋体"/>
                <w:bCs/>
                <w:i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2、切割业务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当前市场份额是否稳固？如何实现持续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提升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？</w:t>
            </w:r>
          </w:p>
          <w:p w14:paraId="2F827D00">
            <w:pPr>
              <w:spacing w:line="480" w:lineRule="atLeast"/>
              <w:jc w:val="both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答：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当前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切割业务整体市场份额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稳固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，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后续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持续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提升份额的核心路径主要有三点：一是输出更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丰富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的行业解决方案，覆盖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更多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细分应用场景的需求；二是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持续发挥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软硬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一体化的技术优势，打造更多产品力领先的爆款产品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；三是持续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挖掘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船舶等当前渗透率、覆盖率仍处于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上升期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的行业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，不断扩宽整体业务的市场空间。</w:t>
            </w:r>
          </w:p>
          <w:p w14:paraId="68610330">
            <w:pPr>
              <w:spacing w:line="480" w:lineRule="atLeast"/>
              <w:jc w:val="both"/>
              <w:rPr>
                <w:rFonts w:hint="eastAsia" w:ascii="宋体" w:hAnsi="宋体" w:eastAsia="宋体"/>
                <w:bCs/>
                <w:i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3、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请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介绍智能焊接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产品的均价，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应用行业分布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与出海情况。</w:t>
            </w:r>
          </w:p>
          <w:p w14:paraId="6CD0A82B">
            <w:pPr>
              <w:spacing w:line="480" w:lineRule="atLeast"/>
              <w:jc w:val="both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答：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智能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焊接产品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的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型号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比较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丰富，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并且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不同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型号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的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产品售价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存在明显差异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（比如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船舶类与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建筑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钢结构类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）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因此以当前业务的产品均价作为分析依据的意义不大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。</w:t>
            </w:r>
          </w:p>
          <w:p w14:paraId="6A88275D">
            <w:pPr>
              <w:spacing w:line="480" w:lineRule="atLeast"/>
              <w:jc w:val="both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/>
                <w:bCs/>
                <w:iCs/>
                <w:color w:val="000000"/>
                <w:sz w:val="24"/>
              </w:rPr>
              <w:t>上半年智能焊接业务的收入结构中，建筑钢结构领域的贡献占比约80%，剩余部分收入来自变压器油箱、塔角、船舶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、桥梁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等其他领域。</w:t>
            </w:r>
          </w:p>
          <w:p w14:paraId="387AF98F">
            <w:pPr>
              <w:spacing w:line="480" w:lineRule="atLeast"/>
              <w:jc w:val="both"/>
              <w:rPr>
                <w:rFonts w:hint="default" w:ascii="宋体" w:hAnsi="宋体" w:eastAsia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现有产品的出口数已占整体销量的三分之一，并且已经覆盖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50多个国家和地区。</w:t>
            </w:r>
          </w:p>
          <w:p w14:paraId="12DA04DC">
            <w:pPr>
              <w:spacing w:line="480" w:lineRule="atLeast"/>
              <w:jc w:val="both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、公司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人员与组织规划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的具体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安排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如何？</w:t>
            </w:r>
          </w:p>
          <w:p w14:paraId="6DDEAD72">
            <w:pPr>
              <w:spacing w:line="480" w:lineRule="atLeast"/>
              <w:jc w:val="both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答：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上半年新增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人员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主要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分布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焊接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业务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、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产线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业务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及其他平台能力建设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。下半年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公司将基于整体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发展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规划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持续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正常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地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推进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年度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招聘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工作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。</w:t>
            </w:r>
          </w:p>
          <w:p w14:paraId="550F1499">
            <w:pPr>
              <w:spacing w:line="480" w:lineRule="atLeast"/>
              <w:jc w:val="both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/>
                <w:bCs/>
                <w:iCs/>
                <w:color w:val="000000"/>
                <w:sz w:val="24"/>
              </w:rPr>
              <w:t>招聘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规划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主要是基于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公司整体发展战略，结合中长期业务与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技术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能力建设需求综合制定而来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，整体费用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有序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可控。管理层面，公司近期已完成组织架构调整，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并正式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导入IPD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与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大营销管理体系，为管理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提效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提供体系化支撑，正向促进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公司长期发展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并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有效匹配人员规模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化增长后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的管理需求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。</w:t>
            </w:r>
          </w:p>
          <w:p w14:paraId="4AD52842">
            <w:pPr>
              <w:spacing w:line="480" w:lineRule="atLeast"/>
              <w:jc w:val="both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、公司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产线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业务合作客户与落地规划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进展如何？</w:t>
            </w:r>
          </w:p>
          <w:p w14:paraId="31B35F66">
            <w:pPr>
              <w:spacing w:line="480" w:lineRule="atLeast"/>
              <w:jc w:val="both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答：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目前船舶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方向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已覆盖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数十家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船厂客户，整线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方面主要涉及某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内河新能源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船舶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项目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，分段产线则覆盖长三角多家头部客户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。除船舶领域外，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包括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工程机械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在内当前其他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领域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也有相应的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需求释放，但公司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今年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仍将船舶作为核心聚焦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方向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。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产线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业务短期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以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沉淀方案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设计与方案交付能力为主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，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未来仍将以整合后的标准化解决方案输出，从而有效赋能行业客户与各类设备集成商及交付商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。</w:t>
            </w:r>
          </w:p>
        </w:tc>
      </w:tr>
      <w:tr w14:paraId="049E0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BC70C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关于本次活动是否涉及应当披露重大信息的说明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ED9C8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无。</w:t>
            </w:r>
          </w:p>
        </w:tc>
      </w:tr>
      <w:tr w14:paraId="3F26F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A049E">
            <w:pPr>
              <w:spacing w:line="360" w:lineRule="auto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45717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2026年8月18日</w:t>
            </w:r>
          </w:p>
        </w:tc>
      </w:tr>
    </w:tbl>
    <w:p w14:paraId="60E53F9C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MzYzcxNmFjOWU0MDU0NjVlZWM4NTczMTA1ZTYwMDYifQ=="/>
  </w:docVars>
  <w:rsids>
    <w:rsidRoot w:val="00DB361F"/>
    <w:rsid w:val="00000601"/>
    <w:rsid w:val="0000207D"/>
    <w:rsid w:val="00003F99"/>
    <w:rsid w:val="00005DB8"/>
    <w:rsid w:val="000C1768"/>
    <w:rsid w:val="001417C0"/>
    <w:rsid w:val="001A2E1E"/>
    <w:rsid w:val="001D3494"/>
    <w:rsid w:val="00293E36"/>
    <w:rsid w:val="00295CED"/>
    <w:rsid w:val="002A2C74"/>
    <w:rsid w:val="002B0130"/>
    <w:rsid w:val="002C09B8"/>
    <w:rsid w:val="002D7C22"/>
    <w:rsid w:val="002F156E"/>
    <w:rsid w:val="002F3005"/>
    <w:rsid w:val="003035EA"/>
    <w:rsid w:val="003609BA"/>
    <w:rsid w:val="003E70FC"/>
    <w:rsid w:val="00412DA5"/>
    <w:rsid w:val="004D6884"/>
    <w:rsid w:val="0054490C"/>
    <w:rsid w:val="005964DF"/>
    <w:rsid w:val="0060334D"/>
    <w:rsid w:val="00652AE8"/>
    <w:rsid w:val="006903D5"/>
    <w:rsid w:val="006A78DE"/>
    <w:rsid w:val="00752966"/>
    <w:rsid w:val="00785F1B"/>
    <w:rsid w:val="007B158D"/>
    <w:rsid w:val="007B2ED3"/>
    <w:rsid w:val="008107E8"/>
    <w:rsid w:val="008A37DE"/>
    <w:rsid w:val="008B0754"/>
    <w:rsid w:val="008C5B78"/>
    <w:rsid w:val="008E3246"/>
    <w:rsid w:val="009148ED"/>
    <w:rsid w:val="009967E3"/>
    <w:rsid w:val="009A490D"/>
    <w:rsid w:val="009B0B11"/>
    <w:rsid w:val="009C3CC9"/>
    <w:rsid w:val="009E743C"/>
    <w:rsid w:val="00A247FA"/>
    <w:rsid w:val="00A6539A"/>
    <w:rsid w:val="00A7204B"/>
    <w:rsid w:val="00AC7C57"/>
    <w:rsid w:val="00AE4ED3"/>
    <w:rsid w:val="00B26A5B"/>
    <w:rsid w:val="00B30DD6"/>
    <w:rsid w:val="00B3268C"/>
    <w:rsid w:val="00BB2FD4"/>
    <w:rsid w:val="00C67286"/>
    <w:rsid w:val="00CF1F10"/>
    <w:rsid w:val="00D039FA"/>
    <w:rsid w:val="00DA041C"/>
    <w:rsid w:val="00DA4F8C"/>
    <w:rsid w:val="00DB361F"/>
    <w:rsid w:val="00DD17A3"/>
    <w:rsid w:val="00E33901"/>
    <w:rsid w:val="00E52443"/>
    <w:rsid w:val="00E70186"/>
    <w:rsid w:val="00E7633D"/>
    <w:rsid w:val="00EB0D2E"/>
    <w:rsid w:val="00ED430E"/>
    <w:rsid w:val="00F514E1"/>
    <w:rsid w:val="00F75EAB"/>
    <w:rsid w:val="030148E2"/>
    <w:rsid w:val="068E795F"/>
    <w:rsid w:val="07A71079"/>
    <w:rsid w:val="0C547201"/>
    <w:rsid w:val="131B45D5"/>
    <w:rsid w:val="18F03E0E"/>
    <w:rsid w:val="1939138F"/>
    <w:rsid w:val="1A397B11"/>
    <w:rsid w:val="1A4268EB"/>
    <w:rsid w:val="1B545BB3"/>
    <w:rsid w:val="1B845309"/>
    <w:rsid w:val="1CF71A15"/>
    <w:rsid w:val="23E34C9B"/>
    <w:rsid w:val="29CE74E7"/>
    <w:rsid w:val="32EA3795"/>
    <w:rsid w:val="39490A07"/>
    <w:rsid w:val="39957106"/>
    <w:rsid w:val="3B992858"/>
    <w:rsid w:val="3DBF6F19"/>
    <w:rsid w:val="44FC2531"/>
    <w:rsid w:val="4BFE6A3F"/>
    <w:rsid w:val="4EA12C53"/>
    <w:rsid w:val="4FE60077"/>
    <w:rsid w:val="530C74BB"/>
    <w:rsid w:val="56B84DAE"/>
    <w:rsid w:val="56F72230"/>
    <w:rsid w:val="57730263"/>
    <w:rsid w:val="57EB2E58"/>
    <w:rsid w:val="59FE1AB5"/>
    <w:rsid w:val="5B065111"/>
    <w:rsid w:val="5B7B213E"/>
    <w:rsid w:val="5FE62499"/>
    <w:rsid w:val="6A420314"/>
    <w:rsid w:val="6FA929EA"/>
    <w:rsid w:val="71FE04BF"/>
    <w:rsid w:val="78FB2611"/>
    <w:rsid w:val="7CD5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Emphasis"/>
    <w:basedOn w:val="8"/>
    <w:qFormat/>
    <w:uiPriority w:val="20"/>
    <w:rPr>
      <w:i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5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nt21"/>
    <w:basedOn w:val="8"/>
    <w:qFormat/>
    <w:uiPriority w:val="0"/>
    <w:rPr>
      <w:rFonts w:hint="default" w:ascii="Calibri" w:hAnsi="Calibri" w:cs="Calibri"/>
      <w:color w:val="000000"/>
      <w:sz w:val="16"/>
      <w:szCs w:val="16"/>
      <w:u w:val="none"/>
    </w:rPr>
  </w:style>
  <w:style w:type="character" w:customStyle="1" w:styleId="17">
    <w:name w:val="font3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EEFA9-4F87-439C-AC01-3D44CAB8AF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1516</Words>
  <Characters>1727</Characters>
  <Lines>142</Lines>
  <Paragraphs>135</Paragraphs>
  <TotalTime>61</TotalTime>
  <ScaleCrop>false</ScaleCrop>
  <LinksUpToDate>false</LinksUpToDate>
  <CharactersWithSpaces>1854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2026-08-19T05:22:00Z</dcterms:created>
  <dc:creator>skd004</dc:creator>
  <cp:lastModifiedBy>孙霓</cp:lastModifiedBy>
  <dcterms:modified xsi:type="dcterms:W3CDTF">2026-08-19T06:56:30Z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D099A0275B7E4A39B35296DCF28DA890_13</vt:lpwstr>
  </property>
  <property fmtid="{D5CDD505-2E9C-101B-9397-08002B2CF9AE}" pid="4" name="KSOTemplateDocerSaveRecord">
    <vt:lpwstr>eyJoZGlkIjoiYjRkOWU2YTdkMjA1MDM0MmI3YWYyYjEwN2ZmNTRmOGYiLCJ1c2VySWQiOiIzNDUzNjExMTYifQ==</vt:lpwstr>
  </property>
</Properties>
</file>