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C7050">
      <w:pPr>
        <w:jc w:val="left"/>
        <w:rPr>
          <w:bCs/>
          <w:sz w:val="24"/>
        </w:rPr>
      </w:pPr>
      <w:bookmarkStart w:id="0" w:name="_Toc359483089"/>
      <w:r>
        <w:rPr>
          <w:b/>
          <w:sz w:val="24"/>
        </w:rPr>
        <w:t>证券代码：688623                                              证券简称：双元科技</w:t>
      </w:r>
    </w:p>
    <w:p w14:paraId="700D7DD5">
      <w:pPr>
        <w:jc w:val="center"/>
        <w:rPr>
          <w:bCs/>
          <w:sz w:val="24"/>
        </w:rPr>
      </w:pPr>
    </w:p>
    <w:p w14:paraId="50A14D3D">
      <w:pPr>
        <w:spacing w:line="288" w:lineRule="auto"/>
        <w:jc w:val="center"/>
        <w:rPr>
          <w:b/>
          <w:sz w:val="32"/>
          <w:szCs w:val="32"/>
        </w:rPr>
      </w:pPr>
      <w:r>
        <w:rPr>
          <w:b/>
          <w:sz w:val="32"/>
          <w:szCs w:val="32"/>
        </w:rPr>
        <w:t>浙江双元科技股份有限公司</w:t>
      </w:r>
    </w:p>
    <w:bookmarkEnd w:id="0"/>
    <w:p w14:paraId="571CF68C">
      <w:pPr>
        <w:spacing w:line="288" w:lineRule="auto"/>
        <w:jc w:val="center"/>
        <w:rPr>
          <w:b/>
          <w:sz w:val="32"/>
          <w:szCs w:val="32"/>
        </w:rPr>
      </w:pPr>
      <w:r>
        <w:rPr>
          <w:b/>
          <w:sz w:val="32"/>
          <w:szCs w:val="32"/>
        </w:rPr>
        <w:t>投资者关系活动记录表</w:t>
      </w:r>
    </w:p>
    <w:p w14:paraId="0D2B4D74">
      <w:pPr>
        <w:spacing w:line="288" w:lineRule="auto"/>
        <w:jc w:val="center"/>
        <w:rPr>
          <w:rFonts w:hint="default" w:eastAsia="宋体"/>
          <w:bCs/>
          <w:sz w:val="24"/>
          <w:lang w:val="en-US" w:eastAsia="zh-CN"/>
        </w:rPr>
      </w:pPr>
      <w:r>
        <w:rPr>
          <w:bCs/>
          <w:sz w:val="24"/>
        </w:rPr>
        <w:t xml:space="preserve">                                                          </w:t>
      </w:r>
      <w:r>
        <w:rPr>
          <w:rFonts w:hint="eastAsia"/>
          <w:bCs/>
          <w:sz w:val="24"/>
        </w:rPr>
        <w:t xml:space="preserve">  </w:t>
      </w:r>
      <w:r>
        <w:rPr>
          <w:bCs/>
          <w:sz w:val="24"/>
        </w:rPr>
        <w:t xml:space="preserve">    </w:t>
      </w:r>
      <w:r>
        <w:rPr>
          <w:rFonts w:hint="eastAsia"/>
          <w:bCs/>
          <w:sz w:val="24"/>
        </w:rPr>
        <w:t xml:space="preserve">  </w:t>
      </w:r>
      <w:r>
        <w:rPr>
          <w:bCs/>
          <w:sz w:val="24"/>
        </w:rPr>
        <w:t xml:space="preserve"> 编号：</w:t>
      </w:r>
      <w:r>
        <w:rPr>
          <w:rFonts w:hint="eastAsia"/>
          <w:bCs/>
          <w:sz w:val="24"/>
        </w:rPr>
        <w:t>2026-0</w:t>
      </w:r>
      <w:r>
        <w:rPr>
          <w:rFonts w:hint="eastAsia"/>
          <w:bCs/>
          <w:sz w:val="24"/>
          <w:lang w:val="en-US" w:eastAsia="zh-CN"/>
        </w:rPr>
        <w:t>03</w:t>
      </w:r>
    </w:p>
    <w:tbl>
      <w:tblPr>
        <w:tblStyle w:val="14"/>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8196"/>
      </w:tblGrid>
      <w:tr w14:paraId="782B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1449" w:type="dxa"/>
            <w:vAlign w:val="center"/>
          </w:tcPr>
          <w:p w14:paraId="51470087">
            <w:pPr>
              <w:jc w:val="center"/>
              <w:rPr>
                <w:sz w:val="24"/>
              </w:rPr>
            </w:pPr>
            <w:r>
              <w:rPr>
                <w:sz w:val="24"/>
              </w:rPr>
              <w:t>投资者关系活动类别</w:t>
            </w:r>
          </w:p>
        </w:tc>
        <w:tc>
          <w:tcPr>
            <w:tcW w:w="8196" w:type="dxa"/>
            <w:vAlign w:val="center"/>
          </w:tcPr>
          <w:p w14:paraId="2BEC2D63">
            <w:pPr>
              <w:spacing w:line="540" w:lineRule="exact"/>
              <w:jc w:val="left"/>
              <w:rPr>
                <w:sz w:val="24"/>
              </w:rPr>
            </w:pPr>
            <w:r>
              <w:rPr>
                <w:sz w:val="24"/>
              </w:rPr>
              <w:sym w:font="Wingdings 2" w:char="0052"/>
            </w:r>
            <w:r>
              <w:rPr>
                <w:sz w:val="24"/>
              </w:rPr>
              <w:t xml:space="preserve">特定对象调研          </w:t>
            </w:r>
            <w:r>
              <w:rPr>
                <w:sz w:val="24"/>
              </w:rPr>
              <w:sym w:font="Wingdings 2" w:char="00A3"/>
            </w:r>
            <w:r>
              <w:rPr>
                <w:rFonts w:hint="eastAsia"/>
                <w:sz w:val="24"/>
              </w:rPr>
              <w:t xml:space="preserve"> </w:t>
            </w:r>
            <w:r>
              <w:rPr>
                <w:sz w:val="24"/>
              </w:rPr>
              <w:t xml:space="preserve">分析师会议          </w:t>
            </w:r>
            <w:r>
              <w:rPr>
                <w:sz w:val="24"/>
              </w:rPr>
              <w:sym w:font="Wingdings 2" w:char="00A3"/>
            </w:r>
            <w:r>
              <w:rPr>
                <w:rFonts w:hint="eastAsia"/>
                <w:sz w:val="24"/>
              </w:rPr>
              <w:t xml:space="preserve"> </w:t>
            </w:r>
            <w:r>
              <w:rPr>
                <w:sz w:val="24"/>
              </w:rPr>
              <w:t xml:space="preserve">媒体采访                  </w:t>
            </w:r>
            <w:r>
              <w:rPr>
                <w:sz w:val="24"/>
              </w:rPr>
              <w:sym w:font="Wingdings 2" w:char="00A3"/>
            </w:r>
            <w:r>
              <w:rPr>
                <w:rFonts w:hint="eastAsia"/>
                <w:sz w:val="24"/>
              </w:rPr>
              <w:t xml:space="preserve"> </w:t>
            </w:r>
            <w:r>
              <w:rPr>
                <w:sz w:val="24"/>
              </w:rPr>
              <w:t xml:space="preserve">业绩说明会        </w:t>
            </w:r>
            <w:r>
              <w:rPr>
                <w:rFonts w:hint="eastAsia"/>
                <w:sz w:val="24"/>
              </w:rPr>
              <w:t xml:space="preserve"> </w:t>
            </w:r>
            <w:r>
              <w:rPr>
                <w:sz w:val="24"/>
              </w:rPr>
              <w:t xml:space="preserve">   </w:t>
            </w:r>
            <w:r>
              <w:rPr>
                <w:sz w:val="24"/>
              </w:rPr>
              <w:sym w:font="Wingdings 2" w:char="00A3"/>
            </w:r>
            <w:r>
              <w:rPr>
                <w:rFonts w:hint="eastAsia"/>
                <w:sz w:val="24"/>
              </w:rPr>
              <w:t xml:space="preserve"> </w:t>
            </w:r>
            <w:r>
              <w:rPr>
                <w:sz w:val="24"/>
              </w:rPr>
              <w:t xml:space="preserve">新闻发布会      </w:t>
            </w:r>
            <w:r>
              <w:rPr>
                <w:rFonts w:hint="eastAsia"/>
                <w:sz w:val="24"/>
              </w:rPr>
              <w:t xml:space="preserve"> </w:t>
            </w:r>
            <w:r>
              <w:rPr>
                <w:sz w:val="24"/>
              </w:rPr>
              <w:t xml:space="preserve">   </w:t>
            </w:r>
            <w:r>
              <w:rPr>
                <w:sz w:val="24"/>
              </w:rPr>
              <w:sym w:font="Wingdings 2" w:char="00A3"/>
            </w:r>
            <w:r>
              <w:rPr>
                <w:rFonts w:hint="eastAsia"/>
                <w:sz w:val="24"/>
              </w:rPr>
              <w:t xml:space="preserve"> </w:t>
            </w:r>
            <w:r>
              <w:rPr>
                <w:sz w:val="24"/>
              </w:rPr>
              <w:t>路演活动</w:t>
            </w:r>
          </w:p>
          <w:p w14:paraId="1E95E97C">
            <w:pPr>
              <w:spacing w:line="540" w:lineRule="exact"/>
              <w:jc w:val="left"/>
              <w:rPr>
                <w:sz w:val="24"/>
                <w:u w:val="single"/>
              </w:rPr>
            </w:pPr>
            <w:r>
              <w:rPr>
                <w:sz w:val="24"/>
              </w:rPr>
              <w:sym w:font="Wingdings 2" w:char="00A3"/>
            </w:r>
            <w:r>
              <w:rPr>
                <w:rFonts w:hint="eastAsia"/>
                <w:sz w:val="24"/>
              </w:rPr>
              <w:t xml:space="preserve"> </w:t>
            </w:r>
            <w:r>
              <w:rPr>
                <w:sz w:val="24"/>
              </w:rPr>
              <w:t xml:space="preserve">现场参观              </w:t>
            </w:r>
            <w:r>
              <w:rPr>
                <w:sz w:val="24"/>
              </w:rPr>
              <w:sym w:font="Wingdings 2" w:char="00A3"/>
            </w:r>
            <w:r>
              <w:rPr>
                <w:rFonts w:hint="eastAsia"/>
                <w:sz w:val="24"/>
              </w:rPr>
              <w:t xml:space="preserve"> </w:t>
            </w:r>
            <w:r>
              <w:rPr>
                <w:sz w:val="24"/>
              </w:rPr>
              <w:t xml:space="preserve">电话调研            </w:t>
            </w:r>
            <w:r>
              <w:rPr>
                <w:sz w:val="24"/>
              </w:rPr>
              <w:sym w:font="Wingdings 2" w:char="00A3"/>
            </w:r>
            <w:r>
              <w:rPr>
                <w:rFonts w:hint="eastAsia"/>
                <w:sz w:val="24"/>
              </w:rPr>
              <w:t xml:space="preserve"> </w:t>
            </w:r>
            <w:r>
              <w:rPr>
                <w:sz w:val="24"/>
              </w:rPr>
              <w:t>其他</w:t>
            </w:r>
            <w:r>
              <w:rPr>
                <w:sz w:val="24"/>
                <w:u w:val="single"/>
              </w:rPr>
              <w:t xml:space="preserve">       </w:t>
            </w:r>
          </w:p>
        </w:tc>
      </w:tr>
      <w:tr w14:paraId="5E0A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449" w:type="dxa"/>
            <w:vAlign w:val="center"/>
          </w:tcPr>
          <w:p w14:paraId="26DAA652">
            <w:pPr>
              <w:jc w:val="center"/>
              <w:rPr>
                <w:sz w:val="24"/>
              </w:rPr>
            </w:pPr>
            <w:r>
              <w:rPr>
                <w:sz w:val="24"/>
              </w:rPr>
              <w:t>参与单位</w:t>
            </w:r>
          </w:p>
          <w:p w14:paraId="2D2B62F2">
            <w:pPr>
              <w:jc w:val="center"/>
              <w:rPr>
                <w:sz w:val="24"/>
              </w:rPr>
            </w:pPr>
            <w:r>
              <w:rPr>
                <w:sz w:val="24"/>
              </w:rPr>
              <w:t>名称</w:t>
            </w:r>
          </w:p>
        </w:tc>
        <w:tc>
          <w:tcPr>
            <w:tcW w:w="8196" w:type="dxa"/>
            <w:vAlign w:val="center"/>
          </w:tcPr>
          <w:p w14:paraId="747F9881">
            <w:pPr>
              <w:jc w:val="left"/>
              <w:rPr>
                <w:rFonts w:hint="default" w:eastAsia="宋体"/>
                <w:sz w:val="24"/>
                <w:lang w:val="en-US" w:eastAsia="zh-CN"/>
              </w:rPr>
            </w:pPr>
            <w:r>
              <w:rPr>
                <w:rFonts w:hint="eastAsia"/>
                <w:sz w:val="24"/>
                <w:lang w:val="en-US" w:eastAsia="zh-CN"/>
              </w:rPr>
              <w:t>华福证券、</w:t>
            </w:r>
            <w:r>
              <w:rPr>
                <w:rFonts w:hint="eastAsia"/>
                <w:sz w:val="24"/>
              </w:rPr>
              <w:t>国泰基金、汇丰晋信</w:t>
            </w:r>
            <w:r>
              <w:rPr>
                <w:rFonts w:hint="eastAsia"/>
                <w:sz w:val="24"/>
                <w:lang w:eastAsia="zh-CN"/>
              </w:rPr>
              <w:t>、</w:t>
            </w:r>
            <w:r>
              <w:rPr>
                <w:rFonts w:hint="eastAsia"/>
                <w:sz w:val="24"/>
                <w:lang w:val="en-US" w:eastAsia="zh-CN"/>
              </w:rPr>
              <w:t>山西证券、宁波宝隽、东方财富、长信基金、德邦证券、北京元程序、上海臻宜投资、何澹投资</w:t>
            </w:r>
          </w:p>
        </w:tc>
      </w:tr>
      <w:tr w14:paraId="326F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49" w:type="dxa"/>
            <w:vAlign w:val="center"/>
          </w:tcPr>
          <w:p w14:paraId="5611D414">
            <w:pPr>
              <w:jc w:val="center"/>
              <w:rPr>
                <w:sz w:val="24"/>
              </w:rPr>
            </w:pPr>
            <w:r>
              <w:rPr>
                <w:sz w:val="24"/>
              </w:rPr>
              <w:t>时间</w:t>
            </w:r>
          </w:p>
        </w:tc>
        <w:tc>
          <w:tcPr>
            <w:tcW w:w="8196" w:type="dxa"/>
            <w:vAlign w:val="center"/>
          </w:tcPr>
          <w:p w14:paraId="0501D5B1">
            <w:pPr>
              <w:jc w:val="left"/>
              <w:rPr>
                <w:rFonts w:hint="default" w:eastAsia="宋体"/>
                <w:sz w:val="24"/>
                <w:lang w:val="en-US" w:eastAsia="zh-CN"/>
              </w:rPr>
            </w:pPr>
            <w:r>
              <w:rPr>
                <w:rFonts w:hint="eastAsia"/>
                <w:sz w:val="24"/>
              </w:rPr>
              <w:t>2026年</w:t>
            </w:r>
            <w:r>
              <w:rPr>
                <w:rFonts w:hint="eastAsia"/>
                <w:sz w:val="24"/>
                <w:lang w:val="en-US" w:eastAsia="zh-CN"/>
              </w:rPr>
              <w:t>8</w:t>
            </w:r>
            <w:r>
              <w:rPr>
                <w:rFonts w:hint="eastAsia"/>
                <w:sz w:val="24"/>
              </w:rPr>
              <w:t>月</w:t>
            </w:r>
            <w:r>
              <w:rPr>
                <w:rFonts w:hint="eastAsia"/>
                <w:sz w:val="24"/>
                <w:lang w:val="en-US" w:eastAsia="zh-CN"/>
              </w:rPr>
              <w:t>18日、</w:t>
            </w:r>
            <w:r>
              <w:rPr>
                <w:rFonts w:hint="eastAsia"/>
                <w:sz w:val="24"/>
              </w:rPr>
              <w:t>2026年</w:t>
            </w:r>
            <w:r>
              <w:rPr>
                <w:rFonts w:hint="eastAsia"/>
                <w:sz w:val="24"/>
                <w:lang w:val="en-US" w:eastAsia="zh-CN"/>
              </w:rPr>
              <w:t>8</w:t>
            </w:r>
            <w:r>
              <w:rPr>
                <w:rFonts w:hint="eastAsia"/>
                <w:sz w:val="24"/>
              </w:rPr>
              <w:t>月</w:t>
            </w:r>
            <w:r>
              <w:rPr>
                <w:rFonts w:hint="eastAsia"/>
                <w:sz w:val="24"/>
                <w:lang w:val="en-US" w:eastAsia="zh-CN"/>
              </w:rPr>
              <w:t>19日</w:t>
            </w:r>
          </w:p>
        </w:tc>
      </w:tr>
      <w:tr w14:paraId="1F7C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49" w:type="dxa"/>
            <w:vAlign w:val="center"/>
          </w:tcPr>
          <w:p w14:paraId="7D7222E5">
            <w:pPr>
              <w:jc w:val="center"/>
              <w:rPr>
                <w:sz w:val="24"/>
              </w:rPr>
            </w:pPr>
            <w:r>
              <w:rPr>
                <w:sz w:val="24"/>
              </w:rPr>
              <w:t>地点</w:t>
            </w:r>
          </w:p>
        </w:tc>
        <w:tc>
          <w:tcPr>
            <w:tcW w:w="8196" w:type="dxa"/>
            <w:vAlign w:val="center"/>
          </w:tcPr>
          <w:p w14:paraId="1EB1A10E">
            <w:pPr>
              <w:jc w:val="left"/>
              <w:rPr>
                <w:sz w:val="24"/>
              </w:rPr>
            </w:pPr>
            <w:r>
              <w:rPr>
                <w:rFonts w:hint="eastAsia"/>
                <w:sz w:val="24"/>
              </w:rPr>
              <w:t>公司会议室</w:t>
            </w:r>
          </w:p>
        </w:tc>
      </w:tr>
      <w:tr w14:paraId="0090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449" w:type="dxa"/>
            <w:vAlign w:val="center"/>
          </w:tcPr>
          <w:p w14:paraId="02467B23">
            <w:pPr>
              <w:jc w:val="center"/>
              <w:rPr>
                <w:sz w:val="24"/>
              </w:rPr>
            </w:pPr>
            <w:r>
              <w:rPr>
                <w:sz w:val="24"/>
              </w:rPr>
              <w:t>上市公司接待人员姓名</w:t>
            </w:r>
          </w:p>
        </w:tc>
        <w:tc>
          <w:tcPr>
            <w:tcW w:w="8196" w:type="dxa"/>
            <w:vAlign w:val="center"/>
          </w:tcPr>
          <w:p w14:paraId="1C9C262B">
            <w:pPr>
              <w:jc w:val="left"/>
              <w:rPr>
                <w:rFonts w:hint="default" w:eastAsia="宋体"/>
                <w:sz w:val="24"/>
                <w:lang w:val="en-US" w:eastAsia="zh-CN"/>
              </w:rPr>
            </w:pPr>
            <w:r>
              <w:rPr>
                <w:rFonts w:hint="eastAsia"/>
                <w:sz w:val="24"/>
                <w:lang w:val="en-US" w:eastAsia="zh-CN"/>
              </w:rPr>
              <w:t>董事长：郑建</w:t>
            </w:r>
          </w:p>
          <w:p w14:paraId="75371949">
            <w:pPr>
              <w:jc w:val="left"/>
              <w:rPr>
                <w:rFonts w:hint="default" w:eastAsia="宋体"/>
                <w:sz w:val="24"/>
                <w:lang w:val="en-US" w:eastAsia="zh-CN"/>
              </w:rPr>
            </w:pPr>
            <w:r>
              <w:rPr>
                <w:rFonts w:hint="eastAsia"/>
                <w:sz w:val="24"/>
              </w:rPr>
              <w:t>董事会秘书：泮茜茜</w:t>
            </w:r>
          </w:p>
        </w:tc>
      </w:tr>
      <w:tr w14:paraId="6FF1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449" w:type="dxa"/>
            <w:vAlign w:val="center"/>
          </w:tcPr>
          <w:p w14:paraId="54F9ECE4">
            <w:pPr>
              <w:jc w:val="center"/>
              <w:rPr>
                <w:sz w:val="24"/>
              </w:rPr>
            </w:pPr>
            <w:r>
              <w:rPr>
                <w:sz w:val="24"/>
              </w:rPr>
              <w:t>投资者关系活动主要</w:t>
            </w:r>
          </w:p>
          <w:p w14:paraId="1301C205">
            <w:pPr>
              <w:jc w:val="center"/>
              <w:rPr>
                <w:sz w:val="24"/>
              </w:rPr>
            </w:pPr>
            <w:r>
              <w:rPr>
                <w:sz w:val="24"/>
              </w:rPr>
              <w:t>内容介绍</w:t>
            </w:r>
          </w:p>
        </w:tc>
        <w:tc>
          <w:tcPr>
            <w:tcW w:w="8196" w:type="dxa"/>
          </w:tcPr>
          <w:p w14:paraId="7D4E0A6C">
            <w:pPr>
              <w:pStyle w:val="28"/>
              <w:numPr>
                <w:ilvl w:val="0"/>
                <w:numId w:val="1"/>
              </w:numPr>
              <w:spacing w:before="0" w:beforeLines="0"/>
              <w:ind w:firstLine="0" w:firstLineChars="0"/>
              <w:rPr>
                <w:rFonts w:hint="eastAsia"/>
                <w:b/>
                <w:bCs/>
                <w:szCs w:val="24"/>
              </w:rPr>
            </w:pPr>
            <w:r>
              <w:rPr>
                <w:rFonts w:hint="eastAsia"/>
                <w:b/>
                <w:bCs/>
                <w:szCs w:val="24"/>
              </w:rPr>
              <w:t>公司情况简要介绍</w:t>
            </w:r>
          </w:p>
          <w:p w14:paraId="31013248">
            <w:pPr>
              <w:pStyle w:val="28"/>
              <w:spacing w:before="0" w:beforeLines="0"/>
              <w:ind w:firstLine="480" w:firstLineChars="200"/>
              <w:rPr>
                <w:rFonts w:hint="eastAsia"/>
                <w:szCs w:val="24"/>
              </w:rPr>
            </w:pPr>
            <w:r>
              <w:rPr>
                <w:rFonts w:hint="eastAsia"/>
                <w:szCs w:val="24"/>
              </w:rPr>
              <w:t>公</w:t>
            </w:r>
            <w:r>
              <w:rPr>
                <w:rFonts w:hint="default"/>
                <w:szCs w:val="24"/>
              </w:rPr>
              <w:t>司是生产过程质量检测及控制解决方案提供商，拥有在线自动化测控系统和机器视觉智能检测系统两大核心技术平台，助力客户实现智能化检测及自动化控制。在线自动化测控系统为企业提供产品生产过程中的面密度/厚度/克重/定量、水分、灰分等工艺参数检测并对生产过程进行高精度闭环控制；机器视觉智能检测系统适用于表面瑕疵检测、内部缺陷检测和尺寸测量。公司产品目前已拓展到多个下游领域，成为新能源电池、薄膜、无纺布及卫材、造纸等相关行业内一流企业的供应商，并逐渐向半导体领域拓展。</w:t>
            </w:r>
          </w:p>
          <w:p w14:paraId="522968EC">
            <w:pPr>
              <w:pStyle w:val="28"/>
              <w:spacing w:before="0" w:beforeLines="0"/>
              <w:ind w:firstLine="0" w:firstLineChars="0"/>
              <w:rPr>
                <w:rFonts w:hint="eastAsia"/>
                <w:b/>
                <w:bCs/>
                <w:szCs w:val="24"/>
              </w:rPr>
            </w:pPr>
          </w:p>
          <w:p w14:paraId="6387FA63">
            <w:pPr>
              <w:pStyle w:val="28"/>
              <w:spacing w:before="0" w:beforeLines="0"/>
              <w:ind w:firstLine="0" w:firstLineChars="0"/>
              <w:rPr>
                <w:rFonts w:hint="eastAsia"/>
                <w:b/>
                <w:bCs/>
                <w:szCs w:val="24"/>
              </w:rPr>
            </w:pPr>
            <w:r>
              <w:rPr>
                <w:rFonts w:hint="eastAsia"/>
                <w:b/>
                <w:bCs/>
                <w:szCs w:val="24"/>
              </w:rPr>
              <w:t>二、问答环节主要内容</w:t>
            </w:r>
          </w:p>
          <w:p w14:paraId="09209D70">
            <w:pPr>
              <w:pStyle w:val="28"/>
              <w:spacing w:before="0" w:beforeLines="0"/>
              <w:ind w:firstLine="0" w:firstLineChars="0"/>
              <w:rPr>
                <w:rFonts w:hint="eastAsia" w:eastAsia="宋体"/>
                <w:b/>
                <w:bCs/>
                <w:szCs w:val="24"/>
                <w:lang w:eastAsia="zh-CN"/>
              </w:rPr>
            </w:pPr>
            <w:r>
              <w:rPr>
                <w:rFonts w:hint="eastAsia"/>
                <w:b/>
                <w:bCs/>
                <w:szCs w:val="24"/>
              </w:rPr>
              <w:t>问题1：</w:t>
            </w:r>
            <w:bookmarkStart w:id="1" w:name="OLE_LINK1"/>
            <w:r>
              <w:rPr>
                <w:rFonts w:hint="eastAsia"/>
                <w:b/>
                <w:bCs/>
                <w:szCs w:val="24"/>
              </w:rPr>
              <w:t>公司</w:t>
            </w:r>
            <w:r>
              <w:rPr>
                <w:rFonts w:hint="eastAsia"/>
                <w:b/>
                <w:bCs/>
                <w:szCs w:val="24"/>
                <w:lang w:val="en-US" w:eastAsia="zh-CN"/>
              </w:rPr>
              <w:t>和新剑传动的合作目前的进度</w:t>
            </w:r>
            <w:bookmarkEnd w:id="1"/>
            <w:r>
              <w:rPr>
                <w:rFonts w:hint="eastAsia"/>
                <w:b/>
                <w:bCs/>
                <w:szCs w:val="24"/>
                <w:lang w:val="en-US" w:eastAsia="zh-CN"/>
              </w:rPr>
              <w:t>怎么样？</w:t>
            </w:r>
          </w:p>
          <w:p w14:paraId="38FA13CE">
            <w:pPr>
              <w:pStyle w:val="28"/>
              <w:spacing w:before="0" w:beforeLines="0"/>
              <w:ind w:firstLine="480" w:firstLineChars="200"/>
              <w:rPr>
                <w:rFonts w:hint="default"/>
                <w:szCs w:val="24"/>
                <w:lang w:val="en-US" w:eastAsia="zh-CN"/>
              </w:rPr>
            </w:pPr>
            <w:r>
              <w:rPr>
                <w:rFonts w:hint="eastAsia"/>
                <w:szCs w:val="24"/>
              </w:rPr>
              <w:t>答：2</w:t>
            </w:r>
            <w:r>
              <w:rPr>
                <w:rFonts w:hint="default"/>
                <w:szCs w:val="24"/>
              </w:rPr>
              <w:t>026</w:t>
            </w:r>
            <w:r>
              <w:rPr>
                <w:rFonts w:hint="eastAsia"/>
                <w:szCs w:val="24"/>
              </w:rPr>
              <w:t>年</w:t>
            </w:r>
            <w:r>
              <w:rPr>
                <w:rFonts w:hint="default"/>
                <w:szCs w:val="24"/>
              </w:rPr>
              <w:t>3月，公司已与杭州新剑机电传动股份有限公司签署了《战略合作协议》，拟为新剑传动生产的“人形机器人智能驾驶底盘-行星滚柱丝杠、滚珠丝杠”开发自动检测装配设备。</w:t>
            </w:r>
            <w:r>
              <w:rPr>
                <w:rFonts w:hint="eastAsia"/>
                <w:szCs w:val="24"/>
                <w:lang w:val="en-US" w:eastAsia="zh-CN"/>
              </w:rPr>
              <w:t>目前</w:t>
            </w:r>
            <w:r>
              <w:rPr>
                <w:rFonts w:hint="default"/>
                <w:szCs w:val="24"/>
              </w:rPr>
              <w:t>设备设计的完整方案及具体细节已经获得新剑传动的认可，双方正式签订了技术方案和技术协议，项目正在有序推进中。该设备为专用自动化装配设备，用于反向式滚柱丝杠总成的上料、装配、成品下料及数据追溯，替代人工装配，解决人工装配精度差、一致性低、效率低、数据不可追溯等问题，满足批量、高精度、标准化的滚柱丝杠生产需求，适配精密传动零部件量产工艺标准。上述样机主要功能为自动化装配，目前正在制造中，后续设备将叠加精度检测、物料选配等功能。</w:t>
            </w:r>
          </w:p>
          <w:p w14:paraId="49F63F7A">
            <w:pPr>
              <w:pStyle w:val="28"/>
              <w:spacing w:before="0" w:beforeLines="0"/>
              <w:ind w:firstLine="0" w:firstLineChars="0"/>
              <w:rPr>
                <w:rFonts w:hint="eastAsia"/>
                <w:szCs w:val="24"/>
              </w:rPr>
            </w:pPr>
          </w:p>
          <w:p w14:paraId="2C3868A1">
            <w:pPr>
              <w:pStyle w:val="28"/>
              <w:spacing w:before="0" w:beforeLines="0"/>
              <w:ind w:firstLine="0" w:firstLineChars="0"/>
              <w:rPr>
                <w:rFonts w:hint="default" w:eastAsia="宋体"/>
                <w:b/>
                <w:bCs/>
                <w:szCs w:val="24"/>
                <w:lang w:val="en-US" w:eastAsia="zh-CN"/>
              </w:rPr>
            </w:pPr>
            <w:r>
              <w:rPr>
                <w:rFonts w:hint="eastAsia"/>
                <w:b/>
                <w:bCs/>
                <w:szCs w:val="24"/>
              </w:rPr>
              <w:t>问题2：</w:t>
            </w:r>
            <w:r>
              <w:rPr>
                <w:rFonts w:hint="eastAsia"/>
                <w:b/>
                <w:bCs/>
                <w:szCs w:val="24"/>
                <w:lang w:val="en-US" w:eastAsia="zh-CN"/>
              </w:rPr>
              <w:t>公司未来在机器人领域会持续布局吗？</w:t>
            </w:r>
          </w:p>
          <w:p w14:paraId="766D363E">
            <w:pPr>
              <w:pStyle w:val="28"/>
              <w:spacing w:before="0" w:beforeLines="0"/>
              <w:ind w:firstLine="480" w:firstLineChars="200"/>
              <w:rPr>
                <w:rFonts w:hint="default"/>
                <w:szCs w:val="24"/>
              </w:rPr>
            </w:pPr>
            <w:r>
              <w:rPr>
                <w:rFonts w:hint="eastAsia"/>
                <w:szCs w:val="24"/>
              </w:rPr>
              <w:t>答：公</w:t>
            </w:r>
            <w:r>
              <w:rPr>
                <w:rFonts w:hint="default"/>
                <w:szCs w:val="24"/>
              </w:rPr>
              <w:t>司核心技术覆盖感知、决策、执行三大核心环节。在感知层，依托自研的高精度智能相机实现高效数据采集与环境感知；在决策层，公司自主开发了融合</w:t>
            </w:r>
            <w:r>
              <w:rPr>
                <w:rFonts w:hint="eastAsia"/>
                <w:szCs w:val="24"/>
              </w:rPr>
              <w:t>A</w:t>
            </w:r>
            <w:r>
              <w:rPr>
                <w:rFonts w:hint="default"/>
                <w:szCs w:val="24"/>
              </w:rPr>
              <w:t>I技术的机器视觉算法和图像处理软件等专用检测分析软件，完成深度分析建模与智能决策；在执行层，公司通过自研的闭环控制及解耦算法软件，凭借自动化控制平台实现精准运动控制与全流程闭环执行。上述三大核心能力深度融合，形成“感知—分析—执行”一体化自主智能闭环链路，为公司面向复杂工业场景及高端智能应用领域提供系统级解决方案奠定坚实技术基础。</w:t>
            </w:r>
          </w:p>
          <w:p w14:paraId="4F5ADEF9">
            <w:pPr>
              <w:pStyle w:val="28"/>
              <w:spacing w:before="0" w:beforeLines="0"/>
              <w:ind w:firstLine="480" w:firstLineChars="200"/>
              <w:rPr>
                <w:rFonts w:hint="default"/>
                <w:szCs w:val="24"/>
                <w:lang w:val="en-US" w:eastAsia="zh-CN"/>
              </w:rPr>
            </w:pPr>
            <w:r>
              <w:rPr>
                <w:rFonts w:hint="eastAsia"/>
                <w:szCs w:val="24"/>
                <w:lang w:val="en-US" w:eastAsia="zh-CN"/>
              </w:rPr>
              <w:t>基于上述技术积累，公司积极拓展下游应用领域，拟在具身智能领域进行重点布局与业务开拓。</w:t>
            </w:r>
            <w:r>
              <w:rPr>
                <w:rFonts w:hint="eastAsia"/>
                <w:szCs w:val="24"/>
                <w:highlight w:val="none"/>
                <w:lang w:val="en-US" w:eastAsia="zh-CN"/>
              </w:rPr>
              <w:t>公司与新剑传动的合作将作为公司的标杆案例，公司产品将持续往机器人其他核心零部件领域拓展。</w:t>
            </w:r>
          </w:p>
          <w:p w14:paraId="4B6AD975">
            <w:pPr>
              <w:pStyle w:val="28"/>
              <w:spacing w:before="0" w:beforeLines="0"/>
              <w:ind w:firstLine="0" w:firstLineChars="0"/>
              <w:rPr>
                <w:rFonts w:hint="eastAsia"/>
                <w:szCs w:val="24"/>
              </w:rPr>
            </w:pPr>
          </w:p>
          <w:p w14:paraId="667A0C9A">
            <w:pPr>
              <w:pStyle w:val="28"/>
              <w:spacing w:before="0" w:beforeLines="0"/>
              <w:ind w:firstLine="0" w:firstLineChars="0"/>
              <w:rPr>
                <w:rFonts w:hint="eastAsia"/>
                <w:b/>
                <w:bCs/>
                <w:szCs w:val="24"/>
              </w:rPr>
            </w:pPr>
            <w:r>
              <w:rPr>
                <w:rFonts w:hint="eastAsia"/>
                <w:b/>
                <w:bCs/>
                <w:szCs w:val="24"/>
              </w:rPr>
              <w:t>问题</w:t>
            </w:r>
            <w:r>
              <w:rPr>
                <w:rFonts w:hint="eastAsia"/>
                <w:b/>
                <w:bCs/>
                <w:szCs w:val="24"/>
                <w:lang w:val="en-US" w:eastAsia="zh-CN"/>
              </w:rPr>
              <w:t>3</w:t>
            </w:r>
            <w:r>
              <w:rPr>
                <w:rFonts w:hint="eastAsia"/>
                <w:b/>
                <w:bCs/>
                <w:szCs w:val="24"/>
              </w:rPr>
              <w:t>：公司</w:t>
            </w:r>
            <w:r>
              <w:rPr>
                <w:rFonts w:hint="eastAsia"/>
                <w:b/>
                <w:bCs/>
                <w:szCs w:val="24"/>
                <w:lang w:val="en-US" w:eastAsia="zh-CN"/>
              </w:rPr>
              <w:t>半导体领域有什么新布局？目前进度怎么样</w:t>
            </w:r>
            <w:r>
              <w:rPr>
                <w:rFonts w:hint="eastAsia"/>
                <w:b/>
                <w:bCs/>
                <w:szCs w:val="24"/>
              </w:rPr>
              <w:t>？</w:t>
            </w:r>
          </w:p>
          <w:p w14:paraId="6C912A95">
            <w:pPr>
              <w:pStyle w:val="28"/>
              <w:spacing w:before="0" w:beforeLines="0"/>
              <w:ind w:firstLine="0" w:firstLineChars="0"/>
              <w:rPr>
                <w:rFonts w:hint="eastAsia"/>
                <w:szCs w:val="24"/>
                <w:lang w:eastAsia="zh-CN"/>
              </w:rPr>
            </w:pPr>
            <w:r>
              <w:rPr>
                <w:rFonts w:hint="eastAsia"/>
                <w:szCs w:val="24"/>
              </w:rPr>
              <w:t>答</w:t>
            </w:r>
            <w:r>
              <w:rPr>
                <w:rFonts w:hint="eastAsia"/>
                <w:szCs w:val="24"/>
                <w:lang w:eastAsia="zh-CN"/>
              </w:rPr>
              <w:t>：</w:t>
            </w:r>
            <w:r>
              <w:rPr>
                <w:rFonts w:hint="eastAsia"/>
                <w:szCs w:val="24"/>
                <w:lang w:val="en-US" w:eastAsia="zh-CN"/>
              </w:rPr>
              <w:t>公司</w:t>
            </w:r>
            <w:r>
              <w:rPr>
                <w:rFonts w:hint="default"/>
                <w:szCs w:val="24"/>
              </w:rPr>
              <w:t>2026年1月成立了</w:t>
            </w:r>
            <w:r>
              <w:rPr>
                <w:rFonts w:hint="eastAsia"/>
                <w:szCs w:val="24"/>
                <w:lang w:val="en-US" w:eastAsia="zh-CN"/>
              </w:rPr>
              <w:t>控股子公司</w:t>
            </w:r>
            <w:r>
              <w:rPr>
                <w:rFonts w:hint="default"/>
                <w:szCs w:val="24"/>
              </w:rPr>
              <w:t>杭州芯测微讯科技有限公司，从事半导体芯片高端封装行业AOI检测设备和泛半导体行业检测设备的研发生产。截至</w:t>
            </w:r>
            <w:r>
              <w:rPr>
                <w:rFonts w:hint="eastAsia"/>
                <w:szCs w:val="24"/>
                <w:lang w:val="en-US" w:eastAsia="zh-CN"/>
              </w:rPr>
              <w:t>目前</w:t>
            </w:r>
            <w:r>
              <w:rPr>
                <w:rFonts w:hint="default"/>
                <w:szCs w:val="24"/>
              </w:rPr>
              <w:t>，相关样机开发进度为：1、电测设备：主要用于高阶PCB及IC载板的电性能检测，截至目前产品技术研发已完成，样机制造进入调试阶段；2、Reel隐裂检测设备：主要用于CoWoS、FOPLP等先进封装制程中的芯片隐裂检测，截至目前产品技术研发已完成，样机制造进入调试阶段。</w:t>
            </w:r>
          </w:p>
          <w:p w14:paraId="5FEF9B21">
            <w:pPr>
              <w:pStyle w:val="28"/>
              <w:spacing w:before="0" w:beforeLines="0"/>
              <w:ind w:firstLine="0" w:firstLineChars="0"/>
              <w:rPr>
                <w:rFonts w:hint="eastAsia"/>
                <w:b/>
                <w:bCs/>
                <w:szCs w:val="24"/>
              </w:rPr>
            </w:pPr>
          </w:p>
          <w:p w14:paraId="069CC225">
            <w:pPr>
              <w:pStyle w:val="28"/>
              <w:spacing w:before="0" w:beforeLines="0"/>
              <w:ind w:firstLine="0" w:firstLineChars="0"/>
              <w:rPr>
                <w:rFonts w:hint="default" w:eastAsia="宋体"/>
                <w:b/>
                <w:bCs/>
                <w:szCs w:val="24"/>
                <w:lang w:val="en-US" w:eastAsia="zh-CN"/>
              </w:rPr>
            </w:pPr>
            <w:r>
              <w:rPr>
                <w:rFonts w:hint="eastAsia"/>
                <w:b/>
                <w:bCs/>
                <w:szCs w:val="24"/>
              </w:rPr>
              <w:t>问题</w:t>
            </w:r>
            <w:r>
              <w:rPr>
                <w:rFonts w:hint="eastAsia"/>
                <w:b/>
                <w:bCs/>
                <w:szCs w:val="24"/>
                <w:lang w:val="en-US" w:eastAsia="zh-CN"/>
              </w:rPr>
              <w:t>4</w:t>
            </w:r>
            <w:r>
              <w:rPr>
                <w:rFonts w:hint="eastAsia"/>
                <w:b/>
                <w:bCs/>
                <w:szCs w:val="24"/>
              </w:rPr>
              <w:t>：</w:t>
            </w:r>
            <w:r>
              <w:rPr>
                <w:rFonts w:hint="eastAsia"/>
                <w:b/>
                <w:bCs/>
                <w:szCs w:val="24"/>
                <w:lang w:val="en-US" w:eastAsia="zh-CN"/>
              </w:rPr>
              <w:t>芯测微讯两款设备的目标客户主要是哪些？</w:t>
            </w:r>
          </w:p>
          <w:p w14:paraId="12B1081E">
            <w:pPr>
              <w:pStyle w:val="28"/>
              <w:spacing w:before="0" w:beforeLines="0"/>
              <w:ind w:firstLine="0" w:firstLineChars="0"/>
              <w:rPr>
                <w:rFonts w:hint="eastAsia"/>
                <w:szCs w:val="24"/>
                <w:highlight w:val="none"/>
                <w:lang w:val="en-US" w:eastAsia="zh-CN"/>
              </w:rPr>
            </w:pPr>
            <w:r>
              <w:rPr>
                <w:rFonts w:hint="eastAsia"/>
                <w:szCs w:val="24"/>
                <w:highlight w:val="none"/>
                <w:lang w:val="en-US" w:eastAsia="zh-CN"/>
              </w:rPr>
              <w:t>答：电测设备主要用于高阶PCB及IC载板的电性能检测，主要测量TDR阻抗、LOSS损耗等，目前AI服务器PCB、先进封装载板等生产厂家都需要该类设备。</w:t>
            </w:r>
          </w:p>
          <w:p w14:paraId="6FBBACB8">
            <w:pPr>
              <w:pStyle w:val="28"/>
              <w:spacing w:before="0" w:beforeLines="0"/>
              <w:ind w:firstLine="0" w:firstLineChars="0"/>
              <w:rPr>
                <w:rFonts w:hint="eastAsia"/>
                <w:szCs w:val="24"/>
                <w:highlight w:val="none"/>
                <w:lang w:val="en-US" w:eastAsia="zh-CN"/>
              </w:rPr>
            </w:pPr>
            <w:r>
              <w:rPr>
                <w:rFonts w:hint="eastAsia"/>
                <w:szCs w:val="24"/>
                <w:highlight w:val="none"/>
                <w:lang w:val="en-US" w:eastAsia="zh-CN"/>
              </w:rPr>
              <w:t>Reel隐裂检测设备主要用于CoWoS、FOPLP等先进封装制程中的芯片隐裂检测，目前先进封装制程的封装厂需要该款设备。</w:t>
            </w:r>
          </w:p>
          <w:p w14:paraId="773D942E">
            <w:pPr>
              <w:pStyle w:val="28"/>
              <w:spacing w:before="0" w:beforeLines="0"/>
              <w:ind w:firstLine="0" w:firstLineChars="0"/>
              <w:rPr>
                <w:rFonts w:hint="eastAsia"/>
                <w:szCs w:val="24"/>
                <w:lang w:val="en-US" w:eastAsia="zh-CN"/>
              </w:rPr>
            </w:pPr>
          </w:p>
          <w:p w14:paraId="6AF6AF9C">
            <w:pPr>
              <w:pStyle w:val="28"/>
              <w:spacing w:before="0" w:beforeLines="0"/>
              <w:ind w:firstLine="0" w:firstLineChars="0"/>
              <w:rPr>
                <w:rFonts w:hint="default" w:eastAsia="宋体"/>
                <w:b/>
                <w:bCs/>
                <w:szCs w:val="24"/>
                <w:lang w:val="en-US" w:eastAsia="zh-CN"/>
              </w:rPr>
            </w:pPr>
            <w:r>
              <w:rPr>
                <w:rFonts w:hint="eastAsia"/>
                <w:b/>
                <w:bCs/>
                <w:szCs w:val="24"/>
              </w:rPr>
              <w:t>问题</w:t>
            </w:r>
            <w:r>
              <w:rPr>
                <w:rFonts w:hint="eastAsia"/>
                <w:b/>
                <w:bCs/>
                <w:szCs w:val="24"/>
                <w:lang w:val="en-US" w:eastAsia="zh-CN"/>
              </w:rPr>
              <w:t>5</w:t>
            </w:r>
            <w:r>
              <w:rPr>
                <w:rFonts w:hint="eastAsia"/>
                <w:b/>
                <w:bCs/>
                <w:szCs w:val="24"/>
              </w:rPr>
              <w:t>：</w:t>
            </w:r>
            <w:r>
              <w:rPr>
                <w:rFonts w:hint="eastAsia"/>
                <w:b/>
                <w:bCs/>
                <w:szCs w:val="24"/>
                <w:lang w:val="en-US" w:eastAsia="zh-CN"/>
              </w:rPr>
              <w:t>公司目前有没有并购计划？主要想往哪些方面拓展？</w:t>
            </w:r>
          </w:p>
          <w:p w14:paraId="3688F4EA">
            <w:pPr>
              <w:pStyle w:val="28"/>
              <w:spacing w:before="0" w:beforeLines="0"/>
              <w:ind w:firstLine="0" w:firstLineChars="0"/>
              <w:rPr>
                <w:rFonts w:hint="default"/>
                <w:szCs w:val="24"/>
              </w:rPr>
            </w:pPr>
            <w:r>
              <w:rPr>
                <w:rFonts w:hint="eastAsia"/>
                <w:szCs w:val="24"/>
              </w:rPr>
              <w:t>答</w:t>
            </w:r>
            <w:r>
              <w:rPr>
                <w:rFonts w:hint="eastAsia"/>
                <w:szCs w:val="24"/>
                <w:lang w:eastAsia="zh-CN"/>
              </w:rPr>
              <w:t>：</w:t>
            </w:r>
            <w:r>
              <w:rPr>
                <w:rFonts w:hint="eastAsia"/>
                <w:szCs w:val="24"/>
                <w:highlight w:val="none"/>
                <w:lang w:val="en-US" w:eastAsia="zh-CN"/>
              </w:rPr>
              <w:t>截至2026年6月30日，公司货币资金和交易性金融资产（交易性金融资产主要为募集资金和自有资金的现金管理）总和约为18亿元，无借款，公司目前资金充裕，</w:t>
            </w:r>
            <w:r>
              <w:rPr>
                <w:rFonts w:hint="eastAsia"/>
                <w:szCs w:val="24"/>
                <w:lang w:val="en-US" w:eastAsia="zh-CN"/>
              </w:rPr>
              <w:t>公司拟</w:t>
            </w:r>
            <w:r>
              <w:rPr>
                <w:rFonts w:hint="default"/>
                <w:szCs w:val="24"/>
              </w:rPr>
              <w:t>通过内部产业培育与外部并购扩张持续优化产业布局。公司未来将重点布局具身智能和半导体量检测领域。具身智能领域，公司将重点关注视觉感知、数据处理、人形机器人零部件检测和自动化装配等方向。半导体量检测领域，公司将重点关注硅片、高端PCB、芯片封装等检测场景。</w:t>
            </w:r>
          </w:p>
          <w:p w14:paraId="107FF3EA">
            <w:pPr>
              <w:pStyle w:val="28"/>
              <w:spacing w:before="0" w:beforeLines="0"/>
              <w:ind w:firstLine="0" w:firstLineChars="0"/>
              <w:rPr>
                <w:rFonts w:hint="default"/>
                <w:szCs w:val="24"/>
              </w:rPr>
            </w:pPr>
          </w:p>
          <w:p w14:paraId="48B08426">
            <w:pPr>
              <w:pStyle w:val="28"/>
              <w:spacing w:before="0" w:beforeLines="0"/>
              <w:ind w:firstLine="0" w:firstLineChars="0"/>
              <w:rPr>
                <w:rFonts w:hint="default" w:eastAsia="宋体"/>
                <w:b/>
                <w:bCs/>
                <w:szCs w:val="24"/>
                <w:lang w:val="en-US" w:eastAsia="zh-CN"/>
              </w:rPr>
            </w:pPr>
            <w:r>
              <w:rPr>
                <w:rFonts w:hint="eastAsia"/>
                <w:b/>
                <w:bCs/>
                <w:szCs w:val="24"/>
              </w:rPr>
              <w:t>问题</w:t>
            </w:r>
            <w:r>
              <w:rPr>
                <w:rFonts w:hint="eastAsia"/>
                <w:b/>
                <w:bCs/>
                <w:szCs w:val="24"/>
                <w:lang w:val="en-US" w:eastAsia="zh-CN"/>
              </w:rPr>
              <w:t>6</w:t>
            </w:r>
            <w:r>
              <w:rPr>
                <w:rFonts w:hint="eastAsia"/>
                <w:b/>
                <w:bCs/>
                <w:szCs w:val="24"/>
              </w:rPr>
              <w:t>：</w:t>
            </w:r>
            <w:r>
              <w:rPr>
                <w:rFonts w:hint="eastAsia"/>
                <w:b/>
                <w:bCs/>
                <w:szCs w:val="24"/>
                <w:lang w:val="en-US" w:eastAsia="zh-CN"/>
              </w:rPr>
              <w:t>公司如何看待未来的业绩增长情况？</w:t>
            </w:r>
          </w:p>
          <w:p w14:paraId="2F23EFBC">
            <w:pPr>
              <w:pStyle w:val="28"/>
              <w:spacing w:before="0" w:beforeLines="0"/>
              <w:ind w:firstLine="0" w:firstLineChars="0"/>
              <w:rPr>
                <w:rFonts w:hint="default" w:eastAsia="宋体"/>
                <w:szCs w:val="24"/>
                <w:highlight w:val="none"/>
                <w:lang w:val="en-US" w:eastAsia="zh-CN"/>
              </w:rPr>
            </w:pPr>
            <w:r>
              <w:rPr>
                <w:rFonts w:hint="eastAsia"/>
                <w:szCs w:val="24"/>
              </w:rPr>
              <w:t>答</w:t>
            </w:r>
            <w:r>
              <w:rPr>
                <w:rFonts w:hint="eastAsia"/>
                <w:szCs w:val="24"/>
                <w:lang w:eastAsia="zh-CN"/>
              </w:rPr>
              <w:t>：</w:t>
            </w:r>
            <w:r>
              <w:rPr>
                <w:rFonts w:hint="eastAsia"/>
                <w:szCs w:val="24"/>
                <w:lang w:val="en-US" w:eastAsia="zh-CN"/>
              </w:rPr>
              <w:t>从行业景气度来看，</w:t>
            </w:r>
            <w:r>
              <w:rPr>
                <w:rFonts w:hint="default"/>
                <w:szCs w:val="24"/>
              </w:rPr>
              <w:t>2025年下半年开始新能源行业景气度因储能电池投资需求提升而有所回暖</w:t>
            </w:r>
            <w:r>
              <w:rPr>
                <w:rFonts w:hint="eastAsia"/>
                <w:szCs w:val="24"/>
                <w:lang w:eastAsia="zh-CN"/>
              </w:rPr>
              <w:t>，</w:t>
            </w:r>
            <w:r>
              <w:rPr>
                <w:rFonts w:hint="eastAsia"/>
                <w:szCs w:val="24"/>
                <w:lang w:val="en-US" w:eastAsia="zh-CN"/>
              </w:rPr>
              <w:t>公司经营情况也因下游行业景气度提升而有所改善。</w:t>
            </w:r>
            <w:r>
              <w:rPr>
                <w:rFonts w:hint="default"/>
                <w:szCs w:val="24"/>
              </w:rPr>
              <w:t>2026年上半年，公司营业收入18,216.97万元，较上年同期上升12.80%；2026年上半年实现归属于上市公司股东的净利润4,369.31万元，较上年同期上升19.68%。截至2026年6月30日，公司在手订单含税金额为9.45亿元。</w:t>
            </w:r>
            <w:r>
              <w:rPr>
                <w:rFonts w:hint="eastAsia"/>
                <w:szCs w:val="24"/>
                <w:highlight w:val="none"/>
                <w:lang w:val="en-US" w:eastAsia="zh-CN"/>
              </w:rPr>
              <w:t>在原有业务的基础上，公司将重点开拓</w:t>
            </w:r>
            <w:r>
              <w:rPr>
                <w:rFonts w:hint="default"/>
                <w:szCs w:val="24"/>
                <w:highlight w:val="none"/>
              </w:rPr>
              <w:t>具身智能和半导体量检测领域</w:t>
            </w:r>
            <w:r>
              <w:rPr>
                <w:rFonts w:hint="eastAsia"/>
                <w:szCs w:val="24"/>
                <w:highlight w:val="none"/>
                <w:lang w:val="en-US" w:eastAsia="zh-CN"/>
              </w:rPr>
              <w:t>相关业务，创造公司下一个利润增长点。</w:t>
            </w:r>
            <w:bookmarkStart w:id="2" w:name="_GoBack"/>
            <w:bookmarkEnd w:id="2"/>
          </w:p>
          <w:p w14:paraId="4D3FCA8B">
            <w:pPr>
              <w:pStyle w:val="28"/>
              <w:spacing w:before="0" w:beforeLines="0"/>
              <w:ind w:firstLine="0" w:firstLineChars="0"/>
              <w:rPr>
                <w:rFonts w:hint="eastAsia"/>
                <w:szCs w:val="24"/>
              </w:rPr>
            </w:pPr>
            <w:r>
              <w:rPr>
                <w:rFonts w:hint="eastAsia"/>
                <w:szCs w:val="24"/>
                <w:highlight w:val="none"/>
                <w:lang w:val="en-US" w:eastAsia="zh-CN"/>
              </w:rPr>
              <w:t xml:space="preserve">  </w:t>
            </w:r>
          </w:p>
        </w:tc>
      </w:tr>
      <w:tr w14:paraId="63F3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449" w:type="dxa"/>
            <w:vAlign w:val="center"/>
          </w:tcPr>
          <w:p w14:paraId="1FE6EB4C">
            <w:pPr>
              <w:jc w:val="center"/>
              <w:rPr>
                <w:sz w:val="24"/>
              </w:rPr>
            </w:pPr>
            <w:r>
              <w:rPr>
                <w:rFonts w:hint="eastAsia"/>
                <w:sz w:val="24"/>
              </w:rPr>
              <w:t>风险提示及说明</w:t>
            </w:r>
          </w:p>
        </w:tc>
        <w:tc>
          <w:tcPr>
            <w:tcW w:w="8196" w:type="dxa"/>
          </w:tcPr>
          <w:p w14:paraId="2D538F01">
            <w:pPr>
              <w:pStyle w:val="28"/>
              <w:spacing w:before="0" w:beforeLines="0"/>
              <w:ind w:firstLine="0" w:firstLineChars="0"/>
              <w:rPr>
                <w:szCs w:val="24"/>
              </w:rPr>
            </w:pPr>
            <w:r>
              <w:rPr>
                <w:rFonts w:hint="eastAsia"/>
                <w:szCs w:val="24"/>
              </w:rPr>
              <w:t>以上如涉及对行业的预测、公司发展规划等相关内容，不代表公司或公司管理层对行业、公司发展或业绩的盈利预测和承诺，不构成公司对投资者的实质性承诺，敬请广大投资者注意投资风险。</w:t>
            </w:r>
          </w:p>
          <w:p w14:paraId="78DD7C3A">
            <w:pPr>
              <w:pStyle w:val="28"/>
              <w:spacing w:before="0" w:beforeLines="0"/>
              <w:ind w:firstLine="0" w:firstLineChars="0"/>
              <w:rPr>
                <w:rFonts w:hint="eastAsia"/>
                <w:szCs w:val="24"/>
              </w:rPr>
            </w:pPr>
            <w:r>
              <w:rPr>
                <w:rFonts w:hint="eastAsia"/>
                <w:szCs w:val="24"/>
              </w:rPr>
              <w:t>投资者接待活动过程中，公司接待人员积极回复投资者提出的问题，严格按照有关制度规定，本次活动不存在应当披露的重大信息。</w:t>
            </w:r>
          </w:p>
        </w:tc>
      </w:tr>
      <w:tr w14:paraId="5B5D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449" w:type="dxa"/>
            <w:vAlign w:val="center"/>
          </w:tcPr>
          <w:p w14:paraId="24BF2FD4">
            <w:pPr>
              <w:jc w:val="center"/>
              <w:rPr>
                <w:sz w:val="24"/>
              </w:rPr>
            </w:pPr>
            <w:r>
              <w:rPr>
                <w:sz w:val="24"/>
              </w:rPr>
              <w:t>附件清单</w:t>
            </w:r>
          </w:p>
          <w:p w14:paraId="559A8F16">
            <w:pPr>
              <w:jc w:val="center"/>
              <w:rPr>
                <w:sz w:val="24"/>
              </w:rPr>
            </w:pPr>
            <w:r>
              <w:rPr>
                <w:sz w:val="24"/>
              </w:rPr>
              <w:t>（如有）</w:t>
            </w:r>
          </w:p>
        </w:tc>
        <w:tc>
          <w:tcPr>
            <w:tcW w:w="8196" w:type="dxa"/>
          </w:tcPr>
          <w:p w14:paraId="25702C3D">
            <w:pPr>
              <w:spacing w:line="540" w:lineRule="exact"/>
              <w:jc w:val="left"/>
              <w:rPr>
                <w:sz w:val="24"/>
              </w:rPr>
            </w:pPr>
            <w:r>
              <w:rPr>
                <w:rFonts w:hint="eastAsia"/>
                <w:sz w:val="24"/>
              </w:rPr>
              <w:t>无</w:t>
            </w:r>
          </w:p>
        </w:tc>
      </w:tr>
      <w:tr w14:paraId="7CB0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449" w:type="dxa"/>
          </w:tcPr>
          <w:p w14:paraId="3E556ECB">
            <w:pPr>
              <w:spacing w:line="540" w:lineRule="exact"/>
              <w:jc w:val="center"/>
              <w:rPr>
                <w:sz w:val="24"/>
              </w:rPr>
            </w:pPr>
            <w:r>
              <w:rPr>
                <w:sz w:val="24"/>
              </w:rPr>
              <w:t>日期</w:t>
            </w:r>
          </w:p>
        </w:tc>
        <w:tc>
          <w:tcPr>
            <w:tcW w:w="8196" w:type="dxa"/>
          </w:tcPr>
          <w:p w14:paraId="6E884446">
            <w:pPr>
              <w:spacing w:line="540" w:lineRule="exact"/>
              <w:rPr>
                <w:sz w:val="24"/>
              </w:rPr>
            </w:pPr>
            <w:r>
              <w:rPr>
                <w:rFonts w:hint="eastAsia"/>
                <w:sz w:val="24"/>
              </w:rPr>
              <w:t>2026年</w:t>
            </w:r>
            <w:r>
              <w:rPr>
                <w:rFonts w:hint="eastAsia"/>
                <w:sz w:val="24"/>
                <w:lang w:val="en-US" w:eastAsia="zh-CN"/>
              </w:rPr>
              <w:t>8</w:t>
            </w:r>
            <w:r>
              <w:rPr>
                <w:rFonts w:hint="eastAsia"/>
                <w:sz w:val="24"/>
              </w:rPr>
              <w:t>月</w:t>
            </w:r>
            <w:r>
              <w:rPr>
                <w:rFonts w:hint="eastAsia"/>
                <w:sz w:val="24"/>
                <w:lang w:val="en-US" w:eastAsia="zh-CN"/>
              </w:rPr>
              <w:t>19</w:t>
            </w:r>
            <w:r>
              <w:rPr>
                <w:rFonts w:hint="eastAsia"/>
                <w:sz w:val="24"/>
              </w:rPr>
              <w:t>日</w:t>
            </w:r>
          </w:p>
        </w:tc>
      </w:tr>
    </w:tbl>
    <w:p w14:paraId="0D9B0F1E">
      <w:pPr>
        <w:jc w:val="left"/>
        <w:rPr>
          <w:rFonts w:hint="eastAsia" w:ascii="宋体" w:hAnsi="宋体"/>
          <w:sz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576B0"/>
    <w:multiLevelType w:val="singleLevel"/>
    <w:tmpl w:val="807576B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4NWExNjBmMzA5MDg5OTk3ODg5MmU2MTRkNjFiYjAifQ=="/>
  </w:docVars>
  <w:rsids>
    <w:rsidRoot w:val="00955ED9"/>
    <w:rsid w:val="000200C0"/>
    <w:rsid w:val="00022936"/>
    <w:rsid w:val="00030AAD"/>
    <w:rsid w:val="00032291"/>
    <w:rsid w:val="000364B8"/>
    <w:rsid w:val="00043AB6"/>
    <w:rsid w:val="000449F1"/>
    <w:rsid w:val="00045340"/>
    <w:rsid w:val="0005158D"/>
    <w:rsid w:val="00056B22"/>
    <w:rsid w:val="00061D23"/>
    <w:rsid w:val="00062098"/>
    <w:rsid w:val="0006239E"/>
    <w:rsid w:val="00063E2A"/>
    <w:rsid w:val="00075B67"/>
    <w:rsid w:val="0008094F"/>
    <w:rsid w:val="000911F1"/>
    <w:rsid w:val="000922A9"/>
    <w:rsid w:val="000A08A7"/>
    <w:rsid w:val="000A123F"/>
    <w:rsid w:val="000A358D"/>
    <w:rsid w:val="000C275D"/>
    <w:rsid w:val="000C2FEB"/>
    <w:rsid w:val="000F4276"/>
    <w:rsid w:val="0010245D"/>
    <w:rsid w:val="00105829"/>
    <w:rsid w:val="001069B7"/>
    <w:rsid w:val="001407F8"/>
    <w:rsid w:val="001428C3"/>
    <w:rsid w:val="0014394F"/>
    <w:rsid w:val="0015684D"/>
    <w:rsid w:val="00160101"/>
    <w:rsid w:val="00160FA4"/>
    <w:rsid w:val="00162CB4"/>
    <w:rsid w:val="001705D8"/>
    <w:rsid w:val="00184973"/>
    <w:rsid w:val="001C7C8C"/>
    <w:rsid w:val="001E57B0"/>
    <w:rsid w:val="00200E6D"/>
    <w:rsid w:val="00225231"/>
    <w:rsid w:val="00231DD7"/>
    <w:rsid w:val="002457DD"/>
    <w:rsid w:val="00270CE2"/>
    <w:rsid w:val="00283665"/>
    <w:rsid w:val="00284774"/>
    <w:rsid w:val="00285F3A"/>
    <w:rsid w:val="002C5251"/>
    <w:rsid w:val="002D15C0"/>
    <w:rsid w:val="002E0964"/>
    <w:rsid w:val="002E773E"/>
    <w:rsid w:val="002F2765"/>
    <w:rsid w:val="002F3A1A"/>
    <w:rsid w:val="002F6292"/>
    <w:rsid w:val="003035DD"/>
    <w:rsid w:val="003036FD"/>
    <w:rsid w:val="00324BD7"/>
    <w:rsid w:val="00351CCE"/>
    <w:rsid w:val="00351CD3"/>
    <w:rsid w:val="00357E0C"/>
    <w:rsid w:val="00373B1F"/>
    <w:rsid w:val="00385F1A"/>
    <w:rsid w:val="00386468"/>
    <w:rsid w:val="00387483"/>
    <w:rsid w:val="0039232B"/>
    <w:rsid w:val="00397B26"/>
    <w:rsid w:val="003A0914"/>
    <w:rsid w:val="003A3849"/>
    <w:rsid w:val="003A60F0"/>
    <w:rsid w:val="003A7CCE"/>
    <w:rsid w:val="003C427F"/>
    <w:rsid w:val="003E47A1"/>
    <w:rsid w:val="003F36FF"/>
    <w:rsid w:val="00402C40"/>
    <w:rsid w:val="00403155"/>
    <w:rsid w:val="00412089"/>
    <w:rsid w:val="004225D2"/>
    <w:rsid w:val="00423C6D"/>
    <w:rsid w:val="00434B27"/>
    <w:rsid w:val="00441990"/>
    <w:rsid w:val="004644C9"/>
    <w:rsid w:val="00470B7C"/>
    <w:rsid w:val="00481DEF"/>
    <w:rsid w:val="00485C16"/>
    <w:rsid w:val="0049218D"/>
    <w:rsid w:val="004A576F"/>
    <w:rsid w:val="004B237A"/>
    <w:rsid w:val="004B6C1D"/>
    <w:rsid w:val="004C0EB9"/>
    <w:rsid w:val="004C7E35"/>
    <w:rsid w:val="004E40E0"/>
    <w:rsid w:val="004E6DB7"/>
    <w:rsid w:val="004F4FD9"/>
    <w:rsid w:val="00505E11"/>
    <w:rsid w:val="00511909"/>
    <w:rsid w:val="00513EE0"/>
    <w:rsid w:val="005164DF"/>
    <w:rsid w:val="00517925"/>
    <w:rsid w:val="00524F69"/>
    <w:rsid w:val="005302BF"/>
    <w:rsid w:val="00535BDE"/>
    <w:rsid w:val="0054218A"/>
    <w:rsid w:val="00547C18"/>
    <w:rsid w:val="00552308"/>
    <w:rsid w:val="00594D7E"/>
    <w:rsid w:val="005A2AAA"/>
    <w:rsid w:val="005A7270"/>
    <w:rsid w:val="005B0107"/>
    <w:rsid w:val="005C0C8B"/>
    <w:rsid w:val="005C415D"/>
    <w:rsid w:val="005C5D7C"/>
    <w:rsid w:val="005C776E"/>
    <w:rsid w:val="005F075A"/>
    <w:rsid w:val="005F1AF1"/>
    <w:rsid w:val="00610A40"/>
    <w:rsid w:val="00611636"/>
    <w:rsid w:val="00613E75"/>
    <w:rsid w:val="00614D4D"/>
    <w:rsid w:val="00636F51"/>
    <w:rsid w:val="00646D8A"/>
    <w:rsid w:val="006524AC"/>
    <w:rsid w:val="0065750D"/>
    <w:rsid w:val="00662610"/>
    <w:rsid w:val="0066658D"/>
    <w:rsid w:val="006752EA"/>
    <w:rsid w:val="00677C5C"/>
    <w:rsid w:val="00683D36"/>
    <w:rsid w:val="006A3F13"/>
    <w:rsid w:val="006A6018"/>
    <w:rsid w:val="006A63E6"/>
    <w:rsid w:val="006B5B5B"/>
    <w:rsid w:val="006B6A81"/>
    <w:rsid w:val="006C03D2"/>
    <w:rsid w:val="006D3166"/>
    <w:rsid w:val="006D55FD"/>
    <w:rsid w:val="006D6B46"/>
    <w:rsid w:val="006E39F7"/>
    <w:rsid w:val="006F2208"/>
    <w:rsid w:val="00701DC4"/>
    <w:rsid w:val="0070316D"/>
    <w:rsid w:val="007063BC"/>
    <w:rsid w:val="00716AB5"/>
    <w:rsid w:val="00722312"/>
    <w:rsid w:val="00730FD8"/>
    <w:rsid w:val="00733BED"/>
    <w:rsid w:val="00747F4E"/>
    <w:rsid w:val="00753350"/>
    <w:rsid w:val="00762620"/>
    <w:rsid w:val="007679FE"/>
    <w:rsid w:val="00770E1A"/>
    <w:rsid w:val="00771F07"/>
    <w:rsid w:val="0078559B"/>
    <w:rsid w:val="007A7B36"/>
    <w:rsid w:val="007B019D"/>
    <w:rsid w:val="007B1E06"/>
    <w:rsid w:val="007C41B7"/>
    <w:rsid w:val="007C477A"/>
    <w:rsid w:val="007C6432"/>
    <w:rsid w:val="007D59D6"/>
    <w:rsid w:val="007F4578"/>
    <w:rsid w:val="008105A2"/>
    <w:rsid w:val="00811BB7"/>
    <w:rsid w:val="00812233"/>
    <w:rsid w:val="00817CB9"/>
    <w:rsid w:val="008336F8"/>
    <w:rsid w:val="0084700E"/>
    <w:rsid w:val="00847507"/>
    <w:rsid w:val="008537DC"/>
    <w:rsid w:val="00871E32"/>
    <w:rsid w:val="00872021"/>
    <w:rsid w:val="00883CAE"/>
    <w:rsid w:val="008A64FA"/>
    <w:rsid w:val="008A6A75"/>
    <w:rsid w:val="008A7855"/>
    <w:rsid w:val="008B0CD2"/>
    <w:rsid w:val="008B499A"/>
    <w:rsid w:val="008B5F37"/>
    <w:rsid w:val="008C042F"/>
    <w:rsid w:val="008C1706"/>
    <w:rsid w:val="008C1C96"/>
    <w:rsid w:val="008D01BF"/>
    <w:rsid w:val="008D6252"/>
    <w:rsid w:val="008E30FC"/>
    <w:rsid w:val="00906FF4"/>
    <w:rsid w:val="009109AC"/>
    <w:rsid w:val="00920CA0"/>
    <w:rsid w:val="0093446B"/>
    <w:rsid w:val="00955ED9"/>
    <w:rsid w:val="009A6DF8"/>
    <w:rsid w:val="009A7936"/>
    <w:rsid w:val="009B209D"/>
    <w:rsid w:val="009C2AD9"/>
    <w:rsid w:val="009C4090"/>
    <w:rsid w:val="009C674D"/>
    <w:rsid w:val="009D1E33"/>
    <w:rsid w:val="009D769E"/>
    <w:rsid w:val="009E358A"/>
    <w:rsid w:val="009E5203"/>
    <w:rsid w:val="009E64A0"/>
    <w:rsid w:val="009E7E8A"/>
    <w:rsid w:val="00A221EB"/>
    <w:rsid w:val="00A322B5"/>
    <w:rsid w:val="00A32B10"/>
    <w:rsid w:val="00A43865"/>
    <w:rsid w:val="00A63B7A"/>
    <w:rsid w:val="00A640BB"/>
    <w:rsid w:val="00A67899"/>
    <w:rsid w:val="00A7003F"/>
    <w:rsid w:val="00A83E51"/>
    <w:rsid w:val="00A901B4"/>
    <w:rsid w:val="00A92369"/>
    <w:rsid w:val="00A93129"/>
    <w:rsid w:val="00A978BB"/>
    <w:rsid w:val="00A97B50"/>
    <w:rsid w:val="00AA1868"/>
    <w:rsid w:val="00AA1EC5"/>
    <w:rsid w:val="00AA39A2"/>
    <w:rsid w:val="00AB53C4"/>
    <w:rsid w:val="00AC0FE4"/>
    <w:rsid w:val="00AC2A4D"/>
    <w:rsid w:val="00AC7F40"/>
    <w:rsid w:val="00AE1F64"/>
    <w:rsid w:val="00AE2135"/>
    <w:rsid w:val="00AE6E40"/>
    <w:rsid w:val="00AF2B48"/>
    <w:rsid w:val="00AF6FC7"/>
    <w:rsid w:val="00B02618"/>
    <w:rsid w:val="00B11C73"/>
    <w:rsid w:val="00B4104B"/>
    <w:rsid w:val="00B41A7D"/>
    <w:rsid w:val="00B45782"/>
    <w:rsid w:val="00B45B21"/>
    <w:rsid w:val="00B47D1A"/>
    <w:rsid w:val="00B507CC"/>
    <w:rsid w:val="00B75549"/>
    <w:rsid w:val="00B82977"/>
    <w:rsid w:val="00B831A6"/>
    <w:rsid w:val="00B83708"/>
    <w:rsid w:val="00B957B3"/>
    <w:rsid w:val="00BA001F"/>
    <w:rsid w:val="00BB689D"/>
    <w:rsid w:val="00BB71ED"/>
    <w:rsid w:val="00BC0F5F"/>
    <w:rsid w:val="00BC3A10"/>
    <w:rsid w:val="00BD10F5"/>
    <w:rsid w:val="00BF0CC9"/>
    <w:rsid w:val="00BF2E82"/>
    <w:rsid w:val="00BF3F10"/>
    <w:rsid w:val="00C0492F"/>
    <w:rsid w:val="00C108F3"/>
    <w:rsid w:val="00C2292B"/>
    <w:rsid w:val="00C2780A"/>
    <w:rsid w:val="00C31162"/>
    <w:rsid w:val="00C3422C"/>
    <w:rsid w:val="00C473B0"/>
    <w:rsid w:val="00C54025"/>
    <w:rsid w:val="00C56AF4"/>
    <w:rsid w:val="00C56D43"/>
    <w:rsid w:val="00C7293C"/>
    <w:rsid w:val="00C74393"/>
    <w:rsid w:val="00C950A9"/>
    <w:rsid w:val="00C96EB9"/>
    <w:rsid w:val="00C97046"/>
    <w:rsid w:val="00C9724A"/>
    <w:rsid w:val="00CB210E"/>
    <w:rsid w:val="00CC67AC"/>
    <w:rsid w:val="00CC6BF3"/>
    <w:rsid w:val="00CE1EC5"/>
    <w:rsid w:val="00D064E8"/>
    <w:rsid w:val="00D14478"/>
    <w:rsid w:val="00D254BA"/>
    <w:rsid w:val="00D322A0"/>
    <w:rsid w:val="00D519CB"/>
    <w:rsid w:val="00D73699"/>
    <w:rsid w:val="00DA1F96"/>
    <w:rsid w:val="00DA48FB"/>
    <w:rsid w:val="00DB19E2"/>
    <w:rsid w:val="00DB2268"/>
    <w:rsid w:val="00DB27E8"/>
    <w:rsid w:val="00DC6918"/>
    <w:rsid w:val="00DD14A2"/>
    <w:rsid w:val="00DD2DBD"/>
    <w:rsid w:val="00DD4AD9"/>
    <w:rsid w:val="00DE1E62"/>
    <w:rsid w:val="00DE7045"/>
    <w:rsid w:val="00DE732D"/>
    <w:rsid w:val="00E01E3E"/>
    <w:rsid w:val="00E02570"/>
    <w:rsid w:val="00E0292C"/>
    <w:rsid w:val="00E05E49"/>
    <w:rsid w:val="00E12C0D"/>
    <w:rsid w:val="00E16BFE"/>
    <w:rsid w:val="00E3061D"/>
    <w:rsid w:val="00E32D50"/>
    <w:rsid w:val="00E74FAE"/>
    <w:rsid w:val="00E81D05"/>
    <w:rsid w:val="00E832B6"/>
    <w:rsid w:val="00E868E1"/>
    <w:rsid w:val="00E912EF"/>
    <w:rsid w:val="00E93C9A"/>
    <w:rsid w:val="00E93F5E"/>
    <w:rsid w:val="00EA2FCB"/>
    <w:rsid w:val="00EA4C20"/>
    <w:rsid w:val="00EA6E6A"/>
    <w:rsid w:val="00EC75FE"/>
    <w:rsid w:val="00ED4979"/>
    <w:rsid w:val="00ED5D58"/>
    <w:rsid w:val="00EF4272"/>
    <w:rsid w:val="00F03B54"/>
    <w:rsid w:val="00F519E3"/>
    <w:rsid w:val="00F57D55"/>
    <w:rsid w:val="00F61BFD"/>
    <w:rsid w:val="00F75FA2"/>
    <w:rsid w:val="00F85B27"/>
    <w:rsid w:val="00F86EFF"/>
    <w:rsid w:val="00FB079F"/>
    <w:rsid w:val="00FB12F8"/>
    <w:rsid w:val="00FB3D2C"/>
    <w:rsid w:val="00FD09E0"/>
    <w:rsid w:val="00FD623C"/>
    <w:rsid w:val="00FE0224"/>
    <w:rsid w:val="00FE0C8F"/>
    <w:rsid w:val="00FE44FD"/>
    <w:rsid w:val="00FF1EF3"/>
    <w:rsid w:val="00FF3A15"/>
    <w:rsid w:val="00FF6380"/>
    <w:rsid w:val="01DD1E9F"/>
    <w:rsid w:val="024B5F91"/>
    <w:rsid w:val="025A34EF"/>
    <w:rsid w:val="03064DAE"/>
    <w:rsid w:val="03653EFA"/>
    <w:rsid w:val="03F2717B"/>
    <w:rsid w:val="046A40FD"/>
    <w:rsid w:val="04A10F62"/>
    <w:rsid w:val="04A23867"/>
    <w:rsid w:val="04E452F2"/>
    <w:rsid w:val="057448C8"/>
    <w:rsid w:val="082A74C0"/>
    <w:rsid w:val="08D631A4"/>
    <w:rsid w:val="0A7A51D9"/>
    <w:rsid w:val="0ABD2BD6"/>
    <w:rsid w:val="0B9A495D"/>
    <w:rsid w:val="0BEA58E4"/>
    <w:rsid w:val="0C4B5C57"/>
    <w:rsid w:val="0CF06F2A"/>
    <w:rsid w:val="0E3A41D5"/>
    <w:rsid w:val="0E5531FB"/>
    <w:rsid w:val="0E6F0323"/>
    <w:rsid w:val="0E776122"/>
    <w:rsid w:val="0F0C2FD0"/>
    <w:rsid w:val="0F7200CA"/>
    <w:rsid w:val="10855BDB"/>
    <w:rsid w:val="10AE15C3"/>
    <w:rsid w:val="10C350C1"/>
    <w:rsid w:val="10F231DF"/>
    <w:rsid w:val="1117506F"/>
    <w:rsid w:val="111A4B70"/>
    <w:rsid w:val="11AF4195"/>
    <w:rsid w:val="122E5DFF"/>
    <w:rsid w:val="125910CE"/>
    <w:rsid w:val="12802AFE"/>
    <w:rsid w:val="129B7938"/>
    <w:rsid w:val="12C30C3D"/>
    <w:rsid w:val="14812B5E"/>
    <w:rsid w:val="14BE16BC"/>
    <w:rsid w:val="14C52A4A"/>
    <w:rsid w:val="15FD6214"/>
    <w:rsid w:val="16432F89"/>
    <w:rsid w:val="16EA2C3C"/>
    <w:rsid w:val="173043C7"/>
    <w:rsid w:val="179E7583"/>
    <w:rsid w:val="181066D2"/>
    <w:rsid w:val="1A50511F"/>
    <w:rsid w:val="1B4072CF"/>
    <w:rsid w:val="1B5E6896"/>
    <w:rsid w:val="1BCF41AF"/>
    <w:rsid w:val="1BF63E31"/>
    <w:rsid w:val="1C535F4A"/>
    <w:rsid w:val="1C6E7E6B"/>
    <w:rsid w:val="1CCC6940"/>
    <w:rsid w:val="1CE35C57"/>
    <w:rsid w:val="1DB00010"/>
    <w:rsid w:val="1DE008F5"/>
    <w:rsid w:val="1E075E82"/>
    <w:rsid w:val="1E33787C"/>
    <w:rsid w:val="1E9F430C"/>
    <w:rsid w:val="1ED22B82"/>
    <w:rsid w:val="1F66307C"/>
    <w:rsid w:val="20047259"/>
    <w:rsid w:val="20496733"/>
    <w:rsid w:val="20E05780"/>
    <w:rsid w:val="211D59BC"/>
    <w:rsid w:val="211F46C2"/>
    <w:rsid w:val="21B7196D"/>
    <w:rsid w:val="224D20BA"/>
    <w:rsid w:val="235A6E60"/>
    <w:rsid w:val="23802022"/>
    <w:rsid w:val="23BC14BC"/>
    <w:rsid w:val="25E457F2"/>
    <w:rsid w:val="260D62C5"/>
    <w:rsid w:val="263E08AF"/>
    <w:rsid w:val="26461511"/>
    <w:rsid w:val="2674607E"/>
    <w:rsid w:val="26A12BEB"/>
    <w:rsid w:val="26DB4109"/>
    <w:rsid w:val="27353746"/>
    <w:rsid w:val="27691941"/>
    <w:rsid w:val="28612632"/>
    <w:rsid w:val="288F719F"/>
    <w:rsid w:val="29D82DC8"/>
    <w:rsid w:val="2A410134"/>
    <w:rsid w:val="2A4B4BF1"/>
    <w:rsid w:val="2B4F5948"/>
    <w:rsid w:val="2B5D17D7"/>
    <w:rsid w:val="2BC25ADE"/>
    <w:rsid w:val="2C8E72AF"/>
    <w:rsid w:val="2D621714"/>
    <w:rsid w:val="2E2069F4"/>
    <w:rsid w:val="2F2A5E74"/>
    <w:rsid w:val="30662EDC"/>
    <w:rsid w:val="3102072B"/>
    <w:rsid w:val="31774C75"/>
    <w:rsid w:val="32140715"/>
    <w:rsid w:val="32252923"/>
    <w:rsid w:val="326C2300"/>
    <w:rsid w:val="337771AE"/>
    <w:rsid w:val="341D5FA7"/>
    <w:rsid w:val="3428494C"/>
    <w:rsid w:val="3442156A"/>
    <w:rsid w:val="349B38F8"/>
    <w:rsid w:val="34C53F49"/>
    <w:rsid w:val="357240D1"/>
    <w:rsid w:val="35B30245"/>
    <w:rsid w:val="35F76384"/>
    <w:rsid w:val="36AC53C0"/>
    <w:rsid w:val="36FA25D0"/>
    <w:rsid w:val="376D0FF4"/>
    <w:rsid w:val="38156F95"/>
    <w:rsid w:val="38267F5A"/>
    <w:rsid w:val="38797524"/>
    <w:rsid w:val="38EA6674"/>
    <w:rsid w:val="3AC727C9"/>
    <w:rsid w:val="3AE056A7"/>
    <w:rsid w:val="3B00217F"/>
    <w:rsid w:val="3B563B4D"/>
    <w:rsid w:val="3BC94845"/>
    <w:rsid w:val="3C2E6878"/>
    <w:rsid w:val="3C320116"/>
    <w:rsid w:val="3CFC5A39"/>
    <w:rsid w:val="3DA46DF1"/>
    <w:rsid w:val="3E8C147B"/>
    <w:rsid w:val="3EBB73C7"/>
    <w:rsid w:val="3EF61028"/>
    <w:rsid w:val="3F19744F"/>
    <w:rsid w:val="3F9D28CE"/>
    <w:rsid w:val="40907B01"/>
    <w:rsid w:val="40D1201B"/>
    <w:rsid w:val="41D54F0A"/>
    <w:rsid w:val="426C1EA8"/>
    <w:rsid w:val="42A66AD1"/>
    <w:rsid w:val="43087D58"/>
    <w:rsid w:val="434846C3"/>
    <w:rsid w:val="43E268C5"/>
    <w:rsid w:val="44366C11"/>
    <w:rsid w:val="4476700E"/>
    <w:rsid w:val="449415E2"/>
    <w:rsid w:val="44B76D66"/>
    <w:rsid w:val="44BF6C07"/>
    <w:rsid w:val="454C3CB1"/>
    <w:rsid w:val="45C67B21"/>
    <w:rsid w:val="45E3194E"/>
    <w:rsid w:val="4691012F"/>
    <w:rsid w:val="475B5D5A"/>
    <w:rsid w:val="475D6041"/>
    <w:rsid w:val="4772112D"/>
    <w:rsid w:val="47C00CCC"/>
    <w:rsid w:val="47E9650D"/>
    <w:rsid w:val="48474F56"/>
    <w:rsid w:val="48FB5D34"/>
    <w:rsid w:val="492E7EB7"/>
    <w:rsid w:val="4A9A51B6"/>
    <w:rsid w:val="4AD827D0"/>
    <w:rsid w:val="4AF84095"/>
    <w:rsid w:val="4AFD407E"/>
    <w:rsid w:val="4BAF082E"/>
    <w:rsid w:val="4C83676C"/>
    <w:rsid w:val="4DE4323A"/>
    <w:rsid w:val="4DF60BEA"/>
    <w:rsid w:val="4FE47521"/>
    <w:rsid w:val="503C110B"/>
    <w:rsid w:val="504E15BD"/>
    <w:rsid w:val="50887115"/>
    <w:rsid w:val="515B7CB7"/>
    <w:rsid w:val="516A3A56"/>
    <w:rsid w:val="51887D83"/>
    <w:rsid w:val="518A774A"/>
    <w:rsid w:val="52171E30"/>
    <w:rsid w:val="52481FEA"/>
    <w:rsid w:val="535A5977"/>
    <w:rsid w:val="53E47AF0"/>
    <w:rsid w:val="53E93358"/>
    <w:rsid w:val="54870351"/>
    <w:rsid w:val="54F621D1"/>
    <w:rsid w:val="5509043B"/>
    <w:rsid w:val="55D1679A"/>
    <w:rsid w:val="56821842"/>
    <w:rsid w:val="5798756F"/>
    <w:rsid w:val="57A33C6D"/>
    <w:rsid w:val="58331046"/>
    <w:rsid w:val="585E773A"/>
    <w:rsid w:val="58B73A25"/>
    <w:rsid w:val="58ED38EB"/>
    <w:rsid w:val="593B2894"/>
    <w:rsid w:val="59A27657"/>
    <w:rsid w:val="59C96DF2"/>
    <w:rsid w:val="5AA1498D"/>
    <w:rsid w:val="5B0E7B48"/>
    <w:rsid w:val="5B0F0F1D"/>
    <w:rsid w:val="5BA10F5E"/>
    <w:rsid w:val="5C387DB0"/>
    <w:rsid w:val="5C4750C0"/>
    <w:rsid w:val="5C81185E"/>
    <w:rsid w:val="5DBC7D30"/>
    <w:rsid w:val="5DDC06E4"/>
    <w:rsid w:val="5E5B30A5"/>
    <w:rsid w:val="5EAE7678"/>
    <w:rsid w:val="5ECE7E14"/>
    <w:rsid w:val="5F3C2ED6"/>
    <w:rsid w:val="5FE5356E"/>
    <w:rsid w:val="601E25DC"/>
    <w:rsid w:val="60457B68"/>
    <w:rsid w:val="616E30EF"/>
    <w:rsid w:val="61E17D65"/>
    <w:rsid w:val="61EF4230"/>
    <w:rsid w:val="62856942"/>
    <w:rsid w:val="634E31D8"/>
    <w:rsid w:val="635A1B7D"/>
    <w:rsid w:val="636E5628"/>
    <w:rsid w:val="63D61F40"/>
    <w:rsid w:val="63E31B72"/>
    <w:rsid w:val="63E975E8"/>
    <w:rsid w:val="63FA3360"/>
    <w:rsid w:val="64590B37"/>
    <w:rsid w:val="653B3C30"/>
    <w:rsid w:val="65B37C6A"/>
    <w:rsid w:val="65D200F0"/>
    <w:rsid w:val="66186DCB"/>
    <w:rsid w:val="66632CA7"/>
    <w:rsid w:val="6742608D"/>
    <w:rsid w:val="684B1530"/>
    <w:rsid w:val="684D1CB0"/>
    <w:rsid w:val="68AF64C7"/>
    <w:rsid w:val="68CD34B9"/>
    <w:rsid w:val="68FC5484"/>
    <w:rsid w:val="699F29DF"/>
    <w:rsid w:val="6A4B66C3"/>
    <w:rsid w:val="6B095C95"/>
    <w:rsid w:val="6CB4125F"/>
    <w:rsid w:val="6CC30793"/>
    <w:rsid w:val="6CFE20B7"/>
    <w:rsid w:val="6D374CDD"/>
    <w:rsid w:val="6DC95B6B"/>
    <w:rsid w:val="6DD61E50"/>
    <w:rsid w:val="6DD662A4"/>
    <w:rsid w:val="6E1B63AC"/>
    <w:rsid w:val="6EB760D5"/>
    <w:rsid w:val="6F7B4CFB"/>
    <w:rsid w:val="6F7B7FF9"/>
    <w:rsid w:val="6FCC5BB0"/>
    <w:rsid w:val="70346FC6"/>
    <w:rsid w:val="70904E30"/>
    <w:rsid w:val="70B64C9A"/>
    <w:rsid w:val="70FF23EA"/>
    <w:rsid w:val="71037A4C"/>
    <w:rsid w:val="71341C5F"/>
    <w:rsid w:val="71B73552"/>
    <w:rsid w:val="71CF29F1"/>
    <w:rsid w:val="72393F24"/>
    <w:rsid w:val="727918F3"/>
    <w:rsid w:val="734D092E"/>
    <w:rsid w:val="73F12089"/>
    <w:rsid w:val="741D6AA8"/>
    <w:rsid w:val="747B287D"/>
    <w:rsid w:val="74980E3C"/>
    <w:rsid w:val="74F71921"/>
    <w:rsid w:val="753C2EB5"/>
    <w:rsid w:val="7553467E"/>
    <w:rsid w:val="75631015"/>
    <w:rsid w:val="75632737"/>
    <w:rsid w:val="76B86A05"/>
    <w:rsid w:val="7726029C"/>
    <w:rsid w:val="779F004E"/>
    <w:rsid w:val="77C96E79"/>
    <w:rsid w:val="78016613"/>
    <w:rsid w:val="78646965"/>
    <w:rsid w:val="78A23952"/>
    <w:rsid w:val="78E55F35"/>
    <w:rsid w:val="795A422D"/>
    <w:rsid w:val="7AAA4D40"/>
    <w:rsid w:val="7AC34C4F"/>
    <w:rsid w:val="7B7B66DC"/>
    <w:rsid w:val="7BFC4543"/>
    <w:rsid w:val="7C37080D"/>
    <w:rsid w:val="7C40241F"/>
    <w:rsid w:val="7C683105"/>
    <w:rsid w:val="7CAA7279"/>
    <w:rsid w:val="7CCC3693"/>
    <w:rsid w:val="7D7D2BE0"/>
    <w:rsid w:val="7D985324"/>
    <w:rsid w:val="7DC963A8"/>
    <w:rsid w:val="7DFE2A11"/>
    <w:rsid w:val="7EB121D4"/>
    <w:rsid w:val="7ECC44F9"/>
    <w:rsid w:val="7F710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6"/>
    <w:semiHidden/>
    <w:unhideWhenUsed/>
    <w:qFormat/>
    <w:uiPriority w:val="99"/>
    <w:pPr>
      <w:jc w:val="left"/>
    </w:pPr>
  </w:style>
  <w:style w:type="paragraph" w:styleId="3">
    <w:name w:val="Body Text"/>
    <w:basedOn w:val="1"/>
    <w:qFormat/>
    <w:uiPriority w:val="1"/>
    <w:pPr>
      <w:ind w:left="220" w:firstLine="479"/>
    </w:pPr>
    <w:rPr>
      <w:rFonts w:ascii="宋体" w:hAnsi="宋体" w:cs="宋体"/>
      <w:sz w:val="24"/>
      <w:lang w:val="zh-CN" w:bidi="zh-CN"/>
    </w:rPr>
  </w:style>
  <w:style w:type="paragraph" w:styleId="4">
    <w:name w:val="Plain Text"/>
    <w:basedOn w:val="1"/>
    <w:qFormat/>
    <w:uiPriority w:val="0"/>
    <w:pPr>
      <w:jc w:val="left"/>
    </w:pPr>
    <w:rPr>
      <w:rFonts w:ascii="MingLiU" w:hAnsi="Courier New" w:eastAsia="MingLiU"/>
      <w:sz w:val="24"/>
      <w:szCs w:val="20"/>
      <w:lang w:eastAsia="zh-TW"/>
    </w:rPr>
  </w:style>
  <w:style w:type="paragraph" w:styleId="5">
    <w:name w:val="Balloon Text"/>
    <w:basedOn w:val="1"/>
    <w:link w:val="25"/>
    <w:semiHidden/>
    <w:unhideWhenUsed/>
    <w:qFormat/>
    <w:uiPriority w:val="99"/>
    <w:rPr>
      <w:sz w:val="18"/>
      <w:szCs w:val="18"/>
    </w:rPr>
  </w:style>
  <w:style w:type="paragraph" w:styleId="6">
    <w:name w:val="footer"/>
    <w:basedOn w:val="1"/>
    <w:link w:val="2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footnote text"/>
    <w:basedOn w:val="1"/>
    <w:qFormat/>
    <w:uiPriority w:val="99"/>
    <w:pPr>
      <w:snapToGrid w:val="0"/>
      <w:jc w:val="left"/>
    </w:pPr>
    <w:rPr>
      <w:sz w:val="18"/>
      <w:szCs w:val="18"/>
    </w:rPr>
  </w:style>
  <w:style w:type="paragraph" w:styleId="9">
    <w:name w:val="HTML Preformatted"/>
    <w:basedOn w:val="1"/>
    <w:link w:val="2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semiHidden/>
    <w:unhideWhenUsed/>
    <w:qFormat/>
    <w:uiPriority w:val="99"/>
    <w:pPr>
      <w:spacing w:beforeAutospacing="1" w:afterAutospacing="1"/>
      <w:jc w:val="left"/>
    </w:pPr>
    <w:rPr>
      <w:kern w:val="0"/>
      <w:sz w:val="24"/>
    </w:rPr>
  </w:style>
  <w:style w:type="paragraph" w:styleId="11">
    <w:name w:val="Title"/>
    <w:basedOn w:val="1"/>
    <w:next w:val="1"/>
    <w:link w:val="23"/>
    <w:qFormat/>
    <w:uiPriority w:val="0"/>
    <w:pPr>
      <w:spacing w:before="240" w:after="60"/>
      <w:jc w:val="center"/>
      <w:outlineLvl w:val="0"/>
    </w:pPr>
    <w:rPr>
      <w:rFonts w:ascii="Cambria" w:hAnsi="Cambria"/>
      <w:b/>
      <w:bCs/>
      <w:sz w:val="32"/>
      <w:szCs w:val="32"/>
    </w:rPr>
  </w:style>
  <w:style w:type="paragraph" w:styleId="12">
    <w:name w:val="annotation subject"/>
    <w:basedOn w:val="2"/>
    <w:next w:val="2"/>
    <w:link w:val="27"/>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styleId="17">
    <w:name w:val="page number"/>
    <w:basedOn w:val="15"/>
    <w:qFormat/>
    <w:uiPriority w:val="0"/>
  </w:style>
  <w:style w:type="character" w:styleId="18">
    <w:name w:val="Hyperlink"/>
    <w:basedOn w:val="15"/>
    <w:semiHidden/>
    <w:unhideWhenUsed/>
    <w:qFormat/>
    <w:uiPriority w:val="99"/>
    <w:rPr>
      <w:color w:val="0000FF"/>
      <w:u w:val="single"/>
    </w:rPr>
  </w:style>
  <w:style w:type="character" w:styleId="19">
    <w:name w:val="annotation reference"/>
    <w:basedOn w:val="15"/>
    <w:semiHidden/>
    <w:unhideWhenUsed/>
    <w:qFormat/>
    <w:uiPriority w:val="99"/>
    <w:rPr>
      <w:sz w:val="21"/>
      <w:szCs w:val="21"/>
    </w:rPr>
  </w:style>
  <w:style w:type="character" w:styleId="20">
    <w:name w:val="footnote reference"/>
    <w:qFormat/>
    <w:uiPriority w:val="99"/>
    <w:rPr>
      <w:vertAlign w:val="superscript"/>
    </w:rPr>
  </w:style>
  <w:style w:type="character" w:customStyle="1" w:styleId="21">
    <w:name w:val="页眉 字符"/>
    <w:basedOn w:val="15"/>
    <w:link w:val="7"/>
    <w:qFormat/>
    <w:uiPriority w:val="99"/>
    <w:rPr>
      <w:sz w:val="18"/>
      <w:szCs w:val="18"/>
    </w:rPr>
  </w:style>
  <w:style w:type="character" w:customStyle="1" w:styleId="22">
    <w:name w:val="页脚 字符"/>
    <w:basedOn w:val="15"/>
    <w:link w:val="6"/>
    <w:qFormat/>
    <w:uiPriority w:val="99"/>
    <w:rPr>
      <w:sz w:val="18"/>
      <w:szCs w:val="18"/>
    </w:rPr>
  </w:style>
  <w:style w:type="character" w:customStyle="1" w:styleId="23">
    <w:name w:val="标题 字符"/>
    <w:basedOn w:val="15"/>
    <w:link w:val="11"/>
    <w:qFormat/>
    <w:uiPriority w:val="0"/>
    <w:rPr>
      <w:rFonts w:ascii="Cambria" w:hAnsi="Cambria" w:eastAsia="宋体" w:cs="Times New Roman"/>
      <w:b/>
      <w:bCs/>
      <w:sz w:val="32"/>
      <w:szCs w:val="32"/>
    </w:rPr>
  </w:style>
  <w:style w:type="paragraph" w:styleId="24">
    <w:name w:val="List Paragraph"/>
    <w:basedOn w:val="1"/>
    <w:unhideWhenUsed/>
    <w:qFormat/>
    <w:uiPriority w:val="99"/>
    <w:pPr>
      <w:ind w:firstLine="420" w:firstLineChars="200"/>
    </w:pPr>
  </w:style>
  <w:style w:type="character" w:customStyle="1" w:styleId="25">
    <w:name w:val="批注框文本 字符"/>
    <w:basedOn w:val="15"/>
    <w:link w:val="5"/>
    <w:semiHidden/>
    <w:qFormat/>
    <w:uiPriority w:val="99"/>
    <w:rPr>
      <w:rFonts w:ascii="Times New Roman" w:hAnsi="Times New Roman" w:eastAsia="宋体" w:cs="Times New Roman"/>
      <w:kern w:val="2"/>
      <w:sz w:val="18"/>
      <w:szCs w:val="18"/>
    </w:rPr>
  </w:style>
  <w:style w:type="character" w:customStyle="1" w:styleId="26">
    <w:name w:val="批注文字 字符"/>
    <w:basedOn w:val="15"/>
    <w:link w:val="2"/>
    <w:semiHidden/>
    <w:qFormat/>
    <w:uiPriority w:val="99"/>
    <w:rPr>
      <w:rFonts w:ascii="Times New Roman" w:hAnsi="Times New Roman" w:eastAsia="宋体" w:cs="Times New Roman"/>
      <w:kern w:val="2"/>
      <w:sz w:val="21"/>
      <w:szCs w:val="24"/>
    </w:rPr>
  </w:style>
  <w:style w:type="character" w:customStyle="1" w:styleId="27">
    <w:name w:val="批注主题 字符"/>
    <w:basedOn w:val="26"/>
    <w:link w:val="12"/>
    <w:semiHidden/>
    <w:qFormat/>
    <w:uiPriority w:val="99"/>
    <w:rPr>
      <w:rFonts w:ascii="Times New Roman" w:hAnsi="Times New Roman" w:eastAsia="宋体" w:cs="Times New Roman"/>
      <w:b/>
      <w:bCs/>
      <w:kern w:val="2"/>
      <w:sz w:val="21"/>
      <w:szCs w:val="24"/>
    </w:rPr>
  </w:style>
  <w:style w:type="paragraph" w:customStyle="1" w:styleId="28">
    <w:name w:val="005正文"/>
    <w:qFormat/>
    <w:uiPriority w:val="0"/>
    <w:pPr>
      <w:widowControl w:val="0"/>
      <w:spacing w:before="50" w:beforeLines="50" w:line="360" w:lineRule="auto"/>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29">
    <w:name w:val="HTML 预设格式 字符"/>
    <w:basedOn w:val="15"/>
    <w:link w:val="9"/>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A98EF-3506-4A27-A3B2-2F6A24793EE9}">
  <ds:schemaRefs/>
</ds:datastoreItem>
</file>

<file path=docProps/app.xml><?xml version="1.0" encoding="utf-8"?>
<Properties xmlns="http://schemas.openxmlformats.org/officeDocument/2006/extended-properties" xmlns:vt="http://schemas.openxmlformats.org/officeDocument/2006/docPropsVTypes">
  <Template>Normal</Template>
  <Pages>4</Pages>
  <Words>2117</Words>
  <Characters>2234</Characters>
  <Lines>10</Lines>
  <Paragraphs>2</Paragraphs>
  <TotalTime>6</TotalTime>
  <ScaleCrop>false</ScaleCrop>
  <LinksUpToDate>false</LinksUpToDate>
  <CharactersWithSpaces>2450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2022-12-08T07:47:00Z</dcterms:created>
  <dc:creator>凌云光-丁文思</dc:creator>
  <cp:lastModifiedBy>包</cp:lastModifiedBy>
  <cp:lastPrinted>2022-07-14T03:06:00Z</cp:lastPrinted>
  <dcterms:modified xsi:type="dcterms:W3CDTF">2026-08-19T08:42:53Z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2CD84E9C91614684BE7E44E22CB50D4A</vt:lpwstr>
  </property>
  <property fmtid="{D5CDD505-2E9C-101B-9397-08002B2CF9AE}" pid="4" name="KSOTemplateDocerSaveRecord">
    <vt:lpwstr>eyJoZGlkIjoiZjU3NTEzYjdmZDRjOWIyZWQ0ZTBjMjdlYTU2M2M5NWUiLCJ1c2VySWQiOiI1MDAxMTg2MjEifQ==</vt:lpwstr>
  </property>
</Properties>
</file>