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42278" w14:textId="77777777" w:rsidR="00372728" w:rsidRDefault="0085061B">
      <w:pPr>
        <w:spacing w:beforeLines="50" w:before="156" w:afterLines="50" w:after="156" w:line="400" w:lineRule="exact"/>
        <w:rPr>
          <w:rFonts w:eastAsiaTheme="minorEastAsia"/>
          <w:bCs/>
          <w:iCs/>
          <w:sz w:val="24"/>
        </w:rPr>
      </w:pPr>
      <w:r>
        <w:rPr>
          <w:rFonts w:eastAsiaTheme="minorEastAsia" w:hint="eastAsia"/>
          <w:bCs/>
          <w:iCs/>
          <w:sz w:val="24"/>
        </w:rPr>
        <w:t>证券代码：</w:t>
      </w:r>
      <w:r>
        <w:rPr>
          <w:rFonts w:eastAsiaTheme="minorEastAsia" w:hint="eastAsia"/>
          <w:bCs/>
          <w:iCs/>
          <w:sz w:val="24"/>
        </w:rPr>
        <w:t>688139</w:t>
      </w:r>
      <w:r>
        <w:rPr>
          <w:rFonts w:eastAsiaTheme="minorEastAsia"/>
          <w:bCs/>
          <w:iCs/>
          <w:sz w:val="24"/>
        </w:rPr>
        <w:t xml:space="preserve">                                 </w:t>
      </w:r>
      <w:r>
        <w:rPr>
          <w:rFonts w:eastAsiaTheme="minorEastAsia" w:hint="eastAsia"/>
          <w:bCs/>
          <w:iCs/>
          <w:sz w:val="24"/>
        </w:rPr>
        <w:t xml:space="preserve">   </w:t>
      </w:r>
      <w:r>
        <w:rPr>
          <w:rFonts w:eastAsiaTheme="minorEastAsia" w:hint="eastAsia"/>
          <w:bCs/>
          <w:iCs/>
          <w:sz w:val="24"/>
        </w:rPr>
        <w:t>证券简称：海尔生物</w:t>
      </w:r>
    </w:p>
    <w:p w14:paraId="6EBB0698" w14:textId="77777777" w:rsidR="00372728" w:rsidRDefault="0085061B">
      <w:pPr>
        <w:spacing w:beforeLines="50" w:before="156" w:afterLines="50" w:after="156" w:line="400" w:lineRule="exact"/>
        <w:jc w:val="center"/>
        <w:rPr>
          <w:rFonts w:eastAsiaTheme="minorEastAsia"/>
          <w:b/>
          <w:bCs/>
          <w:iCs/>
          <w:sz w:val="30"/>
          <w:szCs w:val="30"/>
        </w:rPr>
      </w:pPr>
      <w:r>
        <w:rPr>
          <w:rFonts w:eastAsiaTheme="minorEastAsia" w:hint="eastAsia"/>
          <w:b/>
          <w:bCs/>
          <w:iCs/>
          <w:sz w:val="30"/>
          <w:szCs w:val="30"/>
        </w:rPr>
        <w:t>青岛海尔生物医疗股份有限公司</w:t>
      </w:r>
    </w:p>
    <w:p w14:paraId="17F8ED7B" w14:textId="77777777" w:rsidR="00372728" w:rsidRDefault="0085061B">
      <w:pPr>
        <w:spacing w:beforeLines="50" w:before="156" w:afterLines="50" w:after="156" w:line="400" w:lineRule="exact"/>
        <w:jc w:val="center"/>
        <w:rPr>
          <w:rFonts w:eastAsiaTheme="minorEastAsia"/>
          <w:b/>
          <w:bCs/>
          <w:iCs/>
          <w:sz w:val="30"/>
          <w:szCs w:val="30"/>
        </w:rPr>
      </w:pPr>
      <w:r>
        <w:rPr>
          <w:rFonts w:eastAsiaTheme="minorEastAsia" w:hint="eastAsia"/>
          <w:b/>
          <w:bCs/>
          <w:iCs/>
          <w:sz w:val="30"/>
          <w:szCs w:val="30"/>
        </w:rPr>
        <w:t>投资者关系活动记录表</w:t>
      </w:r>
    </w:p>
    <w:p w14:paraId="43BB4FB1" w14:textId="7DF251E0" w:rsidR="00372728" w:rsidRDefault="0085061B">
      <w:pPr>
        <w:spacing w:line="400" w:lineRule="exact"/>
        <w:rPr>
          <w:rFonts w:eastAsiaTheme="minorEastAsia"/>
          <w:bCs/>
          <w:iCs/>
          <w:sz w:val="24"/>
          <w:szCs w:val="24"/>
        </w:rPr>
      </w:pPr>
      <w:r>
        <w:rPr>
          <w:rFonts w:eastAsiaTheme="minorEastAsia"/>
          <w:bCs/>
          <w:iCs/>
          <w:sz w:val="24"/>
          <w:szCs w:val="24"/>
        </w:rPr>
        <w:t xml:space="preserve">                                                    </w:t>
      </w:r>
      <w:r>
        <w:rPr>
          <w:rFonts w:eastAsiaTheme="minorEastAsia" w:hint="eastAsia"/>
          <w:bCs/>
          <w:iCs/>
          <w:sz w:val="24"/>
          <w:szCs w:val="24"/>
        </w:rPr>
        <w:t xml:space="preserve">  </w:t>
      </w:r>
      <w:r>
        <w:rPr>
          <w:rFonts w:eastAsiaTheme="minorEastAsia"/>
          <w:bCs/>
          <w:iCs/>
          <w:sz w:val="24"/>
          <w:szCs w:val="24"/>
        </w:rPr>
        <w:t xml:space="preserve">  </w:t>
      </w:r>
      <w:r>
        <w:rPr>
          <w:rFonts w:eastAsiaTheme="minorEastAsia" w:hint="eastAsia"/>
          <w:bCs/>
          <w:iCs/>
          <w:sz w:val="24"/>
          <w:szCs w:val="24"/>
        </w:rPr>
        <w:t>编号：</w:t>
      </w:r>
      <w:r>
        <w:rPr>
          <w:rFonts w:eastAsiaTheme="minorEastAsia"/>
          <w:bCs/>
          <w:iCs/>
          <w:sz w:val="24"/>
          <w:szCs w:val="24"/>
        </w:rPr>
        <w:t>2026-0</w:t>
      </w:r>
      <w:r w:rsidR="00793AD3">
        <w:rPr>
          <w:rFonts w:eastAsiaTheme="minorEastAsia"/>
          <w:bCs/>
          <w:iCs/>
          <w:sz w:val="24"/>
          <w:szCs w:val="24"/>
        </w:rPr>
        <w:t>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6614"/>
      </w:tblGrid>
      <w:tr w:rsidR="00372728" w14:paraId="1C6485D1" w14:textId="77777777">
        <w:trPr>
          <w:trHeight w:val="90"/>
        </w:trPr>
        <w:tc>
          <w:tcPr>
            <w:tcW w:w="1908" w:type="dxa"/>
            <w:tcBorders>
              <w:top w:val="single" w:sz="4" w:space="0" w:color="auto"/>
              <w:left w:val="single" w:sz="4" w:space="0" w:color="auto"/>
              <w:bottom w:val="single" w:sz="4" w:space="0" w:color="auto"/>
              <w:right w:val="single" w:sz="4" w:space="0" w:color="auto"/>
            </w:tcBorders>
          </w:tcPr>
          <w:p w14:paraId="03ED0223" w14:textId="77777777" w:rsidR="00372728" w:rsidRDefault="0085061B">
            <w:pPr>
              <w:spacing w:line="360" w:lineRule="auto"/>
              <w:rPr>
                <w:rFonts w:eastAsiaTheme="minorEastAsia"/>
                <w:b/>
                <w:bCs/>
                <w:iCs/>
                <w:sz w:val="24"/>
                <w:szCs w:val="24"/>
              </w:rPr>
            </w:pPr>
            <w:r>
              <w:rPr>
                <w:rFonts w:eastAsiaTheme="minorEastAsia" w:hint="eastAsia"/>
                <w:b/>
                <w:bCs/>
                <w:iCs/>
                <w:sz w:val="24"/>
                <w:szCs w:val="24"/>
              </w:rPr>
              <w:t>投资者关系活动类别</w:t>
            </w:r>
          </w:p>
          <w:p w14:paraId="36779B1C" w14:textId="77777777" w:rsidR="00372728" w:rsidRDefault="00372728">
            <w:pPr>
              <w:spacing w:line="360" w:lineRule="auto"/>
              <w:rPr>
                <w:rFonts w:eastAsiaTheme="minorEastAsia"/>
                <w:b/>
                <w:bCs/>
                <w:iCs/>
                <w:sz w:val="24"/>
                <w:szCs w:val="24"/>
              </w:rPr>
            </w:pPr>
          </w:p>
        </w:tc>
        <w:tc>
          <w:tcPr>
            <w:tcW w:w="6614" w:type="dxa"/>
            <w:tcBorders>
              <w:top w:val="single" w:sz="4" w:space="0" w:color="auto"/>
              <w:left w:val="single" w:sz="4" w:space="0" w:color="auto"/>
              <w:bottom w:val="single" w:sz="4" w:space="0" w:color="auto"/>
              <w:right w:val="single" w:sz="4" w:space="0" w:color="auto"/>
            </w:tcBorders>
          </w:tcPr>
          <w:p w14:paraId="258642F6" w14:textId="77777777" w:rsidR="00372728" w:rsidRDefault="0085061B">
            <w:pPr>
              <w:spacing w:line="360" w:lineRule="auto"/>
              <w:rPr>
                <w:rFonts w:eastAsiaTheme="minorEastAsia"/>
                <w:bCs/>
                <w:iCs/>
                <w:sz w:val="24"/>
                <w:szCs w:val="24"/>
              </w:rPr>
            </w:pPr>
            <w:r>
              <w:rPr>
                <w:rFonts w:eastAsiaTheme="minorEastAsia" w:hint="eastAsia"/>
                <w:bCs/>
                <w:iCs/>
                <w:sz w:val="24"/>
                <w:szCs w:val="24"/>
              </w:rPr>
              <w:sym w:font="Wingdings 2" w:char="0052"/>
            </w:r>
            <w:r>
              <w:rPr>
                <w:rFonts w:eastAsiaTheme="minorEastAsia" w:hint="eastAsia"/>
                <w:sz w:val="24"/>
                <w:szCs w:val="24"/>
              </w:rPr>
              <w:t>特定对象调研</w:t>
            </w:r>
            <w:r>
              <w:rPr>
                <w:rFonts w:eastAsiaTheme="minorEastAsia" w:hint="eastAsia"/>
                <w:sz w:val="24"/>
                <w:szCs w:val="24"/>
              </w:rPr>
              <w:t xml:space="preserve">       </w:t>
            </w:r>
            <w:r>
              <w:rPr>
                <w:rFonts w:eastAsiaTheme="minorEastAsia" w:hint="eastAsia"/>
                <w:bCs/>
                <w:iCs/>
                <w:sz w:val="24"/>
                <w:szCs w:val="24"/>
              </w:rPr>
              <w:t>□</w:t>
            </w:r>
            <w:r>
              <w:rPr>
                <w:rFonts w:eastAsiaTheme="minorEastAsia" w:hint="eastAsia"/>
                <w:sz w:val="24"/>
                <w:szCs w:val="24"/>
              </w:rPr>
              <w:t>分析师会议</w:t>
            </w:r>
          </w:p>
          <w:p w14:paraId="2AC39D47" w14:textId="77777777" w:rsidR="00372728" w:rsidRDefault="0085061B">
            <w:pPr>
              <w:spacing w:line="360" w:lineRule="auto"/>
              <w:rPr>
                <w:rFonts w:eastAsiaTheme="minorEastAsia"/>
                <w:bCs/>
                <w:iCs/>
                <w:sz w:val="24"/>
                <w:szCs w:val="24"/>
              </w:rPr>
            </w:pPr>
            <w:r>
              <w:rPr>
                <w:rFonts w:eastAsiaTheme="minorEastAsia" w:hint="eastAsia"/>
                <w:bCs/>
                <w:iCs/>
                <w:sz w:val="24"/>
                <w:szCs w:val="24"/>
              </w:rPr>
              <w:t>□</w:t>
            </w:r>
            <w:r>
              <w:rPr>
                <w:rFonts w:eastAsiaTheme="minorEastAsia" w:hint="eastAsia"/>
                <w:sz w:val="24"/>
                <w:szCs w:val="24"/>
              </w:rPr>
              <w:t>媒体采访</w:t>
            </w:r>
            <w:r>
              <w:rPr>
                <w:rFonts w:eastAsiaTheme="minorEastAsia" w:hint="eastAsia"/>
                <w:sz w:val="24"/>
                <w:szCs w:val="24"/>
              </w:rPr>
              <w:t xml:space="preserve">            </w:t>
            </w:r>
            <w:r>
              <w:rPr>
                <w:rFonts w:eastAsiaTheme="minorEastAsia" w:hint="eastAsia"/>
                <w:bCs/>
                <w:iCs/>
                <w:sz w:val="24"/>
                <w:szCs w:val="24"/>
              </w:rPr>
              <w:t>□</w:t>
            </w:r>
            <w:r>
              <w:rPr>
                <w:rFonts w:eastAsiaTheme="minorEastAsia" w:hint="eastAsia"/>
                <w:sz w:val="24"/>
                <w:szCs w:val="24"/>
              </w:rPr>
              <w:t>业绩说明会</w:t>
            </w:r>
          </w:p>
          <w:p w14:paraId="2D757254" w14:textId="77777777" w:rsidR="00372728" w:rsidRDefault="0085061B">
            <w:pPr>
              <w:spacing w:line="360" w:lineRule="auto"/>
              <w:rPr>
                <w:rFonts w:eastAsiaTheme="minorEastAsia"/>
                <w:bCs/>
                <w:iCs/>
                <w:sz w:val="24"/>
                <w:szCs w:val="24"/>
              </w:rPr>
            </w:pPr>
            <w:r>
              <w:rPr>
                <w:rFonts w:eastAsiaTheme="minorEastAsia" w:hint="eastAsia"/>
                <w:bCs/>
                <w:iCs/>
                <w:sz w:val="24"/>
                <w:szCs w:val="24"/>
              </w:rPr>
              <w:t>□</w:t>
            </w:r>
            <w:r>
              <w:rPr>
                <w:rFonts w:eastAsiaTheme="minorEastAsia" w:hint="eastAsia"/>
                <w:sz w:val="24"/>
                <w:szCs w:val="24"/>
              </w:rPr>
              <w:t>新闻发布会</w:t>
            </w:r>
            <w:r>
              <w:rPr>
                <w:rFonts w:eastAsiaTheme="minorEastAsia" w:hint="eastAsia"/>
                <w:sz w:val="24"/>
                <w:szCs w:val="24"/>
              </w:rPr>
              <w:t xml:space="preserve">          </w:t>
            </w:r>
            <w:r>
              <w:rPr>
                <w:rFonts w:eastAsiaTheme="minorEastAsia" w:hint="eastAsia"/>
                <w:bCs/>
                <w:iCs/>
                <w:sz w:val="24"/>
                <w:szCs w:val="24"/>
              </w:rPr>
              <w:t>□</w:t>
            </w:r>
            <w:r>
              <w:rPr>
                <w:rFonts w:eastAsiaTheme="minorEastAsia" w:hint="eastAsia"/>
                <w:sz w:val="24"/>
                <w:szCs w:val="24"/>
              </w:rPr>
              <w:t>路演活动</w:t>
            </w:r>
          </w:p>
          <w:p w14:paraId="0DAFC993" w14:textId="77777777" w:rsidR="00372728" w:rsidRDefault="0085061B">
            <w:pPr>
              <w:tabs>
                <w:tab w:val="left" w:pos="3045"/>
                <w:tab w:val="center" w:pos="3199"/>
              </w:tabs>
              <w:spacing w:line="360" w:lineRule="auto"/>
              <w:rPr>
                <w:rFonts w:eastAsiaTheme="minorEastAsia"/>
                <w:bCs/>
                <w:iCs/>
                <w:sz w:val="24"/>
                <w:szCs w:val="24"/>
              </w:rPr>
            </w:pPr>
            <w:r>
              <w:rPr>
                <w:rFonts w:eastAsiaTheme="minorEastAsia" w:hint="eastAsia"/>
                <w:bCs/>
                <w:iCs/>
                <w:sz w:val="24"/>
                <w:szCs w:val="24"/>
              </w:rPr>
              <w:t>□</w:t>
            </w:r>
            <w:r>
              <w:rPr>
                <w:rFonts w:eastAsiaTheme="minorEastAsia" w:hint="eastAsia"/>
                <w:sz w:val="24"/>
                <w:szCs w:val="24"/>
              </w:rPr>
              <w:t>现场参观</w:t>
            </w:r>
            <w:r>
              <w:rPr>
                <w:rFonts w:eastAsiaTheme="minorEastAsia" w:hint="eastAsia"/>
                <w:sz w:val="24"/>
                <w:szCs w:val="24"/>
              </w:rPr>
              <w:t xml:space="preserve">            </w:t>
            </w:r>
            <w:r>
              <w:rPr>
                <w:rFonts w:eastAsiaTheme="minorEastAsia" w:hint="eastAsia"/>
                <w:bCs/>
                <w:iCs/>
                <w:sz w:val="24"/>
                <w:szCs w:val="24"/>
              </w:rPr>
              <w:t>□</w:t>
            </w:r>
            <w:r>
              <w:rPr>
                <w:rFonts w:eastAsiaTheme="minorEastAsia" w:hint="eastAsia"/>
                <w:sz w:val="24"/>
                <w:szCs w:val="24"/>
              </w:rPr>
              <w:t>电话会议</w:t>
            </w:r>
          </w:p>
          <w:p w14:paraId="2BD4C3B3" w14:textId="77777777" w:rsidR="00372728" w:rsidRDefault="0085061B">
            <w:pPr>
              <w:tabs>
                <w:tab w:val="center" w:pos="3199"/>
              </w:tabs>
              <w:spacing w:line="360" w:lineRule="auto"/>
              <w:rPr>
                <w:rFonts w:eastAsiaTheme="minorEastAsia"/>
                <w:bCs/>
                <w:iCs/>
                <w:sz w:val="24"/>
                <w:szCs w:val="24"/>
              </w:rPr>
            </w:pPr>
            <w:r>
              <w:rPr>
                <w:rFonts w:eastAsiaTheme="minorEastAsia" w:hint="eastAsia"/>
                <w:bCs/>
                <w:iCs/>
                <w:sz w:val="24"/>
                <w:szCs w:val="24"/>
              </w:rPr>
              <w:t>□</w:t>
            </w:r>
            <w:r>
              <w:rPr>
                <w:rFonts w:eastAsiaTheme="minorEastAsia" w:hint="eastAsia"/>
                <w:sz w:val="24"/>
                <w:szCs w:val="24"/>
              </w:rPr>
              <w:t>其他</w:t>
            </w:r>
            <w:r>
              <w:rPr>
                <w:rFonts w:eastAsiaTheme="minorEastAsia" w:hint="eastAsia"/>
                <w:sz w:val="24"/>
                <w:szCs w:val="24"/>
              </w:rPr>
              <w:t xml:space="preserve"> </w:t>
            </w:r>
            <w:r>
              <w:rPr>
                <w:rFonts w:eastAsiaTheme="minorEastAsia" w:hint="eastAsia"/>
                <w:sz w:val="24"/>
                <w:szCs w:val="24"/>
              </w:rPr>
              <w:t>（</w:t>
            </w:r>
            <w:r>
              <w:rPr>
                <w:rFonts w:eastAsiaTheme="minorEastAsia" w:hint="eastAsia"/>
                <w:sz w:val="24"/>
                <w:szCs w:val="24"/>
                <w:u w:val="single"/>
              </w:rPr>
              <w:t>请文字说明其他活动内容）</w:t>
            </w:r>
          </w:p>
        </w:tc>
      </w:tr>
      <w:tr w:rsidR="00372728" w14:paraId="58E36435" w14:textId="77777777">
        <w:tc>
          <w:tcPr>
            <w:tcW w:w="1908" w:type="dxa"/>
            <w:tcBorders>
              <w:top w:val="single" w:sz="4" w:space="0" w:color="auto"/>
              <w:left w:val="single" w:sz="4" w:space="0" w:color="auto"/>
              <w:bottom w:val="single" w:sz="4" w:space="0" w:color="auto"/>
              <w:right w:val="single" w:sz="4" w:space="0" w:color="auto"/>
            </w:tcBorders>
          </w:tcPr>
          <w:p w14:paraId="576E69F5" w14:textId="77777777" w:rsidR="00372728" w:rsidRDefault="0085061B">
            <w:pPr>
              <w:spacing w:line="360" w:lineRule="auto"/>
              <w:rPr>
                <w:rFonts w:eastAsiaTheme="minorEastAsia"/>
                <w:b/>
                <w:bCs/>
                <w:iCs/>
                <w:sz w:val="24"/>
                <w:szCs w:val="24"/>
              </w:rPr>
            </w:pPr>
            <w:r>
              <w:rPr>
                <w:rFonts w:eastAsiaTheme="minorEastAsia" w:hint="eastAsia"/>
                <w:b/>
                <w:bCs/>
                <w:iCs/>
                <w:sz w:val="24"/>
                <w:szCs w:val="24"/>
              </w:rPr>
              <w:t>参与单位名称</w:t>
            </w:r>
          </w:p>
        </w:tc>
        <w:tc>
          <w:tcPr>
            <w:tcW w:w="6614" w:type="dxa"/>
            <w:tcBorders>
              <w:top w:val="single" w:sz="4" w:space="0" w:color="auto"/>
              <w:left w:val="single" w:sz="4" w:space="0" w:color="auto"/>
              <w:bottom w:val="single" w:sz="4" w:space="0" w:color="auto"/>
              <w:right w:val="single" w:sz="4" w:space="0" w:color="auto"/>
            </w:tcBorders>
            <w:shd w:val="clear" w:color="auto" w:fill="auto"/>
          </w:tcPr>
          <w:p w14:paraId="41E3BD56" w14:textId="1202A7A3" w:rsidR="00372728" w:rsidRDefault="00C36281">
            <w:pPr>
              <w:widowControl/>
              <w:jc w:val="left"/>
              <w:rPr>
                <w:rFonts w:ascii="宋体" w:hAnsi="宋体" w:cs="宋体"/>
                <w:kern w:val="0"/>
                <w:sz w:val="24"/>
                <w:szCs w:val="24"/>
              </w:rPr>
            </w:pPr>
            <w:r w:rsidRPr="00C36281">
              <w:rPr>
                <w:rFonts w:ascii="宋体" w:hAnsi="宋体" w:cs="宋体" w:hint="eastAsia"/>
                <w:kern w:val="0"/>
                <w:sz w:val="24"/>
                <w:szCs w:val="24"/>
              </w:rPr>
              <w:t>共</w:t>
            </w:r>
            <w:r w:rsidR="00793AD3">
              <w:rPr>
                <w:rFonts w:ascii="宋体" w:hAnsi="宋体" w:cs="宋体"/>
                <w:kern w:val="0"/>
                <w:sz w:val="24"/>
                <w:szCs w:val="24"/>
              </w:rPr>
              <w:t>61</w:t>
            </w:r>
            <w:r w:rsidRPr="00C36281">
              <w:rPr>
                <w:rFonts w:ascii="宋体" w:hAnsi="宋体" w:cs="宋体" w:hint="eastAsia"/>
                <w:kern w:val="0"/>
                <w:sz w:val="24"/>
                <w:szCs w:val="24"/>
              </w:rPr>
              <w:t>家机构，参会机构名单详见附表。</w:t>
            </w:r>
          </w:p>
        </w:tc>
      </w:tr>
      <w:tr w:rsidR="00372728" w14:paraId="0739CCF2" w14:textId="77777777">
        <w:trPr>
          <w:trHeight w:val="506"/>
        </w:trPr>
        <w:tc>
          <w:tcPr>
            <w:tcW w:w="1908" w:type="dxa"/>
            <w:tcBorders>
              <w:top w:val="single" w:sz="4" w:space="0" w:color="auto"/>
              <w:left w:val="single" w:sz="4" w:space="0" w:color="auto"/>
              <w:bottom w:val="single" w:sz="4" w:space="0" w:color="auto"/>
              <w:right w:val="single" w:sz="4" w:space="0" w:color="auto"/>
            </w:tcBorders>
            <w:vAlign w:val="center"/>
          </w:tcPr>
          <w:p w14:paraId="26882889" w14:textId="77777777" w:rsidR="00372728" w:rsidRDefault="0085061B">
            <w:pPr>
              <w:spacing w:line="360" w:lineRule="auto"/>
              <w:rPr>
                <w:rFonts w:eastAsiaTheme="minorEastAsia"/>
                <w:b/>
                <w:bCs/>
                <w:iCs/>
                <w:sz w:val="24"/>
                <w:szCs w:val="24"/>
              </w:rPr>
            </w:pPr>
            <w:r>
              <w:rPr>
                <w:rFonts w:eastAsiaTheme="minorEastAsia" w:hint="eastAsia"/>
                <w:b/>
                <w:bCs/>
                <w:iCs/>
                <w:sz w:val="24"/>
                <w:szCs w:val="24"/>
              </w:rPr>
              <w:t>时间</w:t>
            </w:r>
          </w:p>
        </w:tc>
        <w:tc>
          <w:tcPr>
            <w:tcW w:w="6614" w:type="dxa"/>
            <w:tcBorders>
              <w:top w:val="single" w:sz="4" w:space="0" w:color="auto"/>
              <w:left w:val="single" w:sz="4" w:space="0" w:color="auto"/>
              <w:bottom w:val="single" w:sz="4" w:space="0" w:color="auto"/>
              <w:right w:val="single" w:sz="4" w:space="0" w:color="auto"/>
            </w:tcBorders>
            <w:vAlign w:val="center"/>
          </w:tcPr>
          <w:p w14:paraId="5087DD18" w14:textId="14F81A77" w:rsidR="00372728" w:rsidRDefault="0085061B">
            <w:pPr>
              <w:spacing w:line="360" w:lineRule="auto"/>
              <w:rPr>
                <w:rFonts w:eastAsiaTheme="minorEastAsia"/>
                <w:bCs/>
                <w:iCs/>
                <w:sz w:val="24"/>
                <w:szCs w:val="24"/>
              </w:rPr>
            </w:pPr>
            <w:r>
              <w:rPr>
                <w:rFonts w:eastAsiaTheme="minorEastAsia" w:hint="eastAsia"/>
                <w:bCs/>
                <w:iCs/>
                <w:sz w:val="24"/>
                <w:szCs w:val="24"/>
              </w:rPr>
              <w:t>202</w:t>
            </w:r>
            <w:r>
              <w:rPr>
                <w:rFonts w:eastAsiaTheme="minorEastAsia"/>
                <w:bCs/>
                <w:iCs/>
                <w:sz w:val="24"/>
                <w:szCs w:val="24"/>
              </w:rPr>
              <w:t>6</w:t>
            </w:r>
            <w:r>
              <w:rPr>
                <w:rFonts w:eastAsiaTheme="minorEastAsia" w:hint="eastAsia"/>
                <w:bCs/>
                <w:iCs/>
                <w:sz w:val="24"/>
                <w:szCs w:val="24"/>
              </w:rPr>
              <w:t>年</w:t>
            </w:r>
            <w:r w:rsidR="00793AD3">
              <w:rPr>
                <w:rFonts w:eastAsiaTheme="minorEastAsia" w:hint="eastAsia"/>
                <w:bCs/>
                <w:iCs/>
                <w:sz w:val="24"/>
                <w:szCs w:val="24"/>
              </w:rPr>
              <w:t>8</w:t>
            </w:r>
            <w:r>
              <w:rPr>
                <w:rFonts w:eastAsiaTheme="minorEastAsia" w:hint="eastAsia"/>
                <w:bCs/>
                <w:iCs/>
                <w:sz w:val="24"/>
                <w:szCs w:val="24"/>
              </w:rPr>
              <w:t>月</w:t>
            </w:r>
            <w:r w:rsidR="00793AD3">
              <w:rPr>
                <w:rFonts w:eastAsiaTheme="minorEastAsia" w:hint="eastAsia"/>
                <w:bCs/>
                <w:iCs/>
                <w:sz w:val="24"/>
                <w:szCs w:val="24"/>
              </w:rPr>
              <w:t>2</w:t>
            </w:r>
            <w:r w:rsidR="00FE3C95">
              <w:rPr>
                <w:rFonts w:eastAsiaTheme="minorEastAsia"/>
                <w:bCs/>
                <w:iCs/>
                <w:sz w:val="24"/>
                <w:szCs w:val="24"/>
              </w:rPr>
              <w:t>0</w:t>
            </w:r>
            <w:r>
              <w:rPr>
                <w:rFonts w:eastAsiaTheme="minorEastAsia" w:hint="eastAsia"/>
                <w:bCs/>
                <w:iCs/>
                <w:sz w:val="24"/>
                <w:szCs w:val="24"/>
              </w:rPr>
              <w:t>日</w:t>
            </w:r>
          </w:p>
        </w:tc>
      </w:tr>
      <w:tr w:rsidR="00372728" w14:paraId="5CDB4C6F" w14:textId="77777777">
        <w:tc>
          <w:tcPr>
            <w:tcW w:w="1908" w:type="dxa"/>
            <w:tcBorders>
              <w:top w:val="single" w:sz="4" w:space="0" w:color="auto"/>
              <w:left w:val="single" w:sz="4" w:space="0" w:color="auto"/>
              <w:bottom w:val="single" w:sz="4" w:space="0" w:color="auto"/>
              <w:right w:val="single" w:sz="4" w:space="0" w:color="auto"/>
            </w:tcBorders>
            <w:vAlign w:val="center"/>
          </w:tcPr>
          <w:p w14:paraId="4F78109E" w14:textId="77777777" w:rsidR="00372728" w:rsidRDefault="0085061B">
            <w:pPr>
              <w:spacing w:line="360" w:lineRule="auto"/>
              <w:rPr>
                <w:rFonts w:eastAsiaTheme="minorEastAsia"/>
                <w:b/>
                <w:bCs/>
                <w:iCs/>
                <w:sz w:val="24"/>
                <w:szCs w:val="24"/>
              </w:rPr>
            </w:pPr>
            <w:r>
              <w:rPr>
                <w:rFonts w:eastAsiaTheme="minorEastAsia" w:hint="eastAsia"/>
                <w:b/>
                <w:bCs/>
                <w:iCs/>
                <w:sz w:val="24"/>
                <w:szCs w:val="24"/>
              </w:rPr>
              <w:t>参会方式</w:t>
            </w:r>
          </w:p>
        </w:tc>
        <w:tc>
          <w:tcPr>
            <w:tcW w:w="6614" w:type="dxa"/>
            <w:tcBorders>
              <w:top w:val="single" w:sz="4" w:space="0" w:color="auto"/>
              <w:left w:val="single" w:sz="4" w:space="0" w:color="auto"/>
              <w:bottom w:val="single" w:sz="4" w:space="0" w:color="auto"/>
              <w:right w:val="single" w:sz="4" w:space="0" w:color="auto"/>
            </w:tcBorders>
            <w:vAlign w:val="center"/>
          </w:tcPr>
          <w:p w14:paraId="4C2259C9" w14:textId="77777777" w:rsidR="00372728" w:rsidRDefault="0085061B">
            <w:pPr>
              <w:spacing w:line="360" w:lineRule="auto"/>
              <w:rPr>
                <w:rFonts w:eastAsiaTheme="minorEastAsia"/>
                <w:bCs/>
                <w:iCs/>
                <w:sz w:val="24"/>
                <w:szCs w:val="24"/>
              </w:rPr>
            </w:pPr>
            <w:r>
              <w:rPr>
                <w:rFonts w:eastAsiaTheme="minorEastAsia" w:hint="eastAsia"/>
                <w:bCs/>
                <w:iCs/>
                <w:sz w:val="24"/>
                <w:szCs w:val="24"/>
              </w:rPr>
              <w:t>电话会议</w:t>
            </w:r>
          </w:p>
        </w:tc>
      </w:tr>
      <w:tr w:rsidR="00372728" w14:paraId="38F3AD0C" w14:textId="77777777">
        <w:tc>
          <w:tcPr>
            <w:tcW w:w="1908" w:type="dxa"/>
            <w:tcBorders>
              <w:top w:val="single" w:sz="4" w:space="0" w:color="auto"/>
              <w:left w:val="single" w:sz="4" w:space="0" w:color="auto"/>
              <w:bottom w:val="single" w:sz="4" w:space="0" w:color="auto"/>
              <w:right w:val="single" w:sz="4" w:space="0" w:color="auto"/>
            </w:tcBorders>
          </w:tcPr>
          <w:p w14:paraId="6410250D" w14:textId="77777777" w:rsidR="00372728" w:rsidRDefault="0085061B">
            <w:pPr>
              <w:spacing w:line="360" w:lineRule="auto"/>
              <w:rPr>
                <w:rFonts w:eastAsiaTheme="minorEastAsia"/>
                <w:b/>
                <w:bCs/>
                <w:iCs/>
                <w:sz w:val="24"/>
                <w:szCs w:val="24"/>
              </w:rPr>
            </w:pPr>
            <w:r>
              <w:rPr>
                <w:rFonts w:eastAsiaTheme="minorEastAsia" w:hint="eastAsia"/>
                <w:b/>
                <w:bCs/>
                <w:iCs/>
                <w:sz w:val="24"/>
                <w:szCs w:val="24"/>
              </w:rPr>
              <w:t>上市公司接待人员姓名</w:t>
            </w:r>
          </w:p>
        </w:tc>
        <w:tc>
          <w:tcPr>
            <w:tcW w:w="6614" w:type="dxa"/>
            <w:tcBorders>
              <w:top w:val="single" w:sz="4" w:space="0" w:color="auto"/>
              <w:left w:val="single" w:sz="4" w:space="0" w:color="auto"/>
              <w:bottom w:val="single" w:sz="4" w:space="0" w:color="auto"/>
              <w:right w:val="single" w:sz="4" w:space="0" w:color="auto"/>
            </w:tcBorders>
          </w:tcPr>
          <w:p w14:paraId="5A6A3EAF" w14:textId="77777777" w:rsidR="00372728" w:rsidRDefault="0085061B">
            <w:pPr>
              <w:spacing w:line="360" w:lineRule="auto"/>
              <w:rPr>
                <w:rFonts w:eastAsiaTheme="minorEastAsia"/>
                <w:bCs/>
                <w:iCs/>
                <w:sz w:val="24"/>
                <w:szCs w:val="24"/>
              </w:rPr>
            </w:pPr>
            <w:r>
              <w:rPr>
                <w:rFonts w:eastAsiaTheme="minorEastAsia" w:hint="eastAsia"/>
                <w:bCs/>
                <w:iCs/>
                <w:sz w:val="24"/>
                <w:szCs w:val="24"/>
              </w:rPr>
              <w:t>公司管理层</w:t>
            </w:r>
          </w:p>
        </w:tc>
      </w:tr>
      <w:tr w:rsidR="00372728" w14:paraId="39B999D9" w14:textId="77777777">
        <w:trPr>
          <w:trHeight w:val="983"/>
        </w:trPr>
        <w:tc>
          <w:tcPr>
            <w:tcW w:w="1908" w:type="dxa"/>
            <w:tcBorders>
              <w:top w:val="single" w:sz="4" w:space="0" w:color="auto"/>
              <w:left w:val="single" w:sz="4" w:space="0" w:color="auto"/>
              <w:bottom w:val="single" w:sz="4" w:space="0" w:color="auto"/>
              <w:right w:val="single" w:sz="4" w:space="0" w:color="auto"/>
            </w:tcBorders>
            <w:vAlign w:val="center"/>
          </w:tcPr>
          <w:p w14:paraId="4981A274" w14:textId="77777777" w:rsidR="00372728" w:rsidRDefault="0085061B">
            <w:pPr>
              <w:spacing w:line="480" w:lineRule="atLeast"/>
              <w:rPr>
                <w:rFonts w:eastAsiaTheme="minorEastAsia"/>
                <w:b/>
                <w:bCs/>
                <w:iCs/>
                <w:sz w:val="24"/>
                <w:szCs w:val="24"/>
              </w:rPr>
            </w:pPr>
            <w:r>
              <w:rPr>
                <w:rFonts w:eastAsiaTheme="minorEastAsia" w:hint="eastAsia"/>
                <w:b/>
                <w:bCs/>
                <w:iCs/>
                <w:sz w:val="24"/>
                <w:szCs w:val="24"/>
              </w:rPr>
              <w:t>投资者关系活动主要内容介绍</w:t>
            </w:r>
          </w:p>
        </w:tc>
        <w:tc>
          <w:tcPr>
            <w:tcW w:w="6614" w:type="dxa"/>
            <w:tcBorders>
              <w:top w:val="single" w:sz="4" w:space="0" w:color="auto"/>
              <w:left w:val="single" w:sz="4" w:space="0" w:color="auto"/>
              <w:bottom w:val="single" w:sz="4" w:space="0" w:color="auto"/>
              <w:right w:val="single" w:sz="4" w:space="0" w:color="auto"/>
            </w:tcBorders>
          </w:tcPr>
          <w:p w14:paraId="4F087B12" w14:textId="2620E26F" w:rsidR="009E6AC0" w:rsidRDefault="009E6AC0" w:rsidP="009E6AC0">
            <w:pPr>
              <w:spacing w:beforeLines="50" w:before="156" w:line="360" w:lineRule="auto"/>
              <w:jc w:val="center"/>
              <w:rPr>
                <w:rFonts w:ascii="黑体" w:eastAsia="黑体" w:hAnsi="黑体"/>
                <w:b/>
                <w:sz w:val="24"/>
                <w:szCs w:val="24"/>
              </w:rPr>
            </w:pPr>
            <w:r>
              <w:rPr>
                <w:rFonts w:ascii="黑体" w:eastAsia="黑体" w:hAnsi="黑体" w:hint="eastAsia"/>
                <w:b/>
                <w:sz w:val="24"/>
                <w:szCs w:val="24"/>
                <w:highlight w:val="lightGray"/>
              </w:rPr>
              <w:t>经营情况汇报</w:t>
            </w:r>
          </w:p>
          <w:p w14:paraId="66718234" w14:textId="78CE6053" w:rsidR="009E6AC0" w:rsidRPr="009E6AC0" w:rsidRDefault="00D75920" w:rsidP="009E6AC0">
            <w:pPr>
              <w:widowControl/>
              <w:spacing w:line="400" w:lineRule="exact"/>
              <w:ind w:firstLineChars="200" w:firstLine="482"/>
              <w:rPr>
                <w:rFonts w:ascii="宋体" w:hAnsi="宋体" w:cs="微软雅黑"/>
                <w:b/>
                <w:sz w:val="24"/>
                <w:szCs w:val="24"/>
              </w:rPr>
            </w:pPr>
            <w:r>
              <w:rPr>
                <w:rFonts w:ascii="宋体" w:hAnsi="宋体" w:cs="微软雅黑" w:hint="eastAsia"/>
                <w:b/>
                <w:sz w:val="24"/>
                <w:szCs w:val="24"/>
              </w:rPr>
              <w:t>一、</w:t>
            </w:r>
            <w:r w:rsidRPr="00D75920">
              <w:rPr>
                <w:rFonts w:ascii="宋体" w:hAnsi="宋体" w:cs="微软雅黑" w:hint="eastAsia"/>
                <w:b/>
                <w:sz w:val="24"/>
                <w:szCs w:val="24"/>
              </w:rPr>
              <w:t>财务业绩介绍</w:t>
            </w:r>
          </w:p>
          <w:p w14:paraId="751614AC" w14:textId="77777777" w:rsidR="00D75920" w:rsidRPr="001F71A8" w:rsidRDefault="00D75920" w:rsidP="00D75920">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（一）整体经营绩效</w:t>
            </w:r>
          </w:p>
          <w:p w14:paraId="6B23F6C1" w14:textId="77777777" w:rsidR="00D75920" w:rsidRPr="001F71A8" w:rsidRDefault="00D75920" w:rsidP="00D75920">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从上半年的业绩来看，我们认为公司的增长战略在持续兑现，业绩拐点明确。</w:t>
            </w:r>
          </w:p>
          <w:p w14:paraId="5DBE3615" w14:textId="77777777" w:rsidR="00D75920" w:rsidRPr="001F71A8" w:rsidRDefault="00D75920" w:rsidP="00D75920">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26年上半年实现销售收入12.96亿元，同比增长8.45%，其中二季度收入增幅27%。26年上半年的收入额是过去三年以来上半年的最高值。归母净利润1.5亿，同比增长3.28%，其中二季度同比增幅109%。扣非归母净利润同比增长11.39%，其中二季度同比增长175%。</w:t>
            </w:r>
          </w:p>
          <w:p w14:paraId="652DBA17" w14:textId="77777777" w:rsidR="00D75920" w:rsidRPr="001F71A8" w:rsidRDefault="00D75920" w:rsidP="00D75920">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如果恒定汇率下，26年上半年收入同比增长9.4%，归母净利润同比增长13.3%，扣非归母净利润同比增长23.3%。</w:t>
            </w:r>
          </w:p>
          <w:p w14:paraId="2648E4DD" w14:textId="77777777" w:rsidR="00D75920" w:rsidRPr="001F71A8" w:rsidRDefault="00D75920" w:rsidP="00D75920">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（二）收入方面</w:t>
            </w:r>
          </w:p>
          <w:p w14:paraId="5580CA53" w14:textId="77777777" w:rsidR="00D75920" w:rsidRPr="001F71A8" w:rsidRDefault="00D75920" w:rsidP="00D75920">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从市场看，得益于制药用户研发和生产的需求持续增强，和团队高效的执行力转化，上半年中国市场实现了13.7%的增长，海外市场整体同比增长0.2%，但剔除欧洲自动化药房项</w:t>
            </w:r>
            <w:r w:rsidRPr="001F71A8">
              <w:rPr>
                <w:rFonts w:ascii="宋体" w:hAnsi="宋体" w:cs="微软雅黑" w:hint="eastAsia"/>
                <w:bCs/>
                <w:sz w:val="24"/>
                <w:szCs w:val="24"/>
              </w:rPr>
              <w:lastRenderedPageBreak/>
              <w:t>目影响后增长约18%。</w:t>
            </w:r>
          </w:p>
          <w:p w14:paraId="48DEBC67" w14:textId="77777777" w:rsidR="00D75920" w:rsidRPr="001F71A8" w:rsidRDefault="00D75920" w:rsidP="00D75920">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从产业维度看，四大产业均衡发展：</w:t>
            </w:r>
          </w:p>
          <w:p w14:paraId="23EE84A0" w14:textId="77777777" w:rsidR="00D75920" w:rsidRPr="001F71A8" w:rsidRDefault="00D75920" w:rsidP="00D75920">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低温产业持续修复，上半年同比增长13%，连续四个季度实现持续增长，尤其是在制药渠道的拓展超预期，国内及海外收入增幅均为高双位数。自动化场景方案加速出海，实现海外用户的突破，获取千万级在手订单。</w:t>
            </w:r>
          </w:p>
          <w:p w14:paraId="1062B35D" w14:textId="77777777" w:rsidR="00D75920" w:rsidRPr="001F71A8" w:rsidRDefault="00D75920" w:rsidP="00D75920">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智慧用药产业增幅11%，在手订单有序执行，国内订单份额跃居第一，海外订单实现从1个国家向10个国家的复制。</w:t>
            </w:r>
          </w:p>
          <w:p w14:paraId="3587A3F8" w14:textId="77777777" w:rsidR="00D75920" w:rsidRPr="001F71A8" w:rsidRDefault="00D75920" w:rsidP="00D75920">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血液技术产业因季节性因素出清后，第二季度同比增长8%，环比增长49%，上半年降幅收窄至5%，预计年度可实现双位数增长。</w:t>
            </w:r>
          </w:p>
          <w:p w14:paraId="2FAA28E0" w14:textId="1CBCC508" w:rsidR="00D75920" w:rsidRPr="001F71A8" w:rsidRDefault="00D75920" w:rsidP="00D75920">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实验室产业实现19%的增长，在国内及海外市场均实现高双位数的增长，得益于基于全球用户需求下的持续研发投入和市场渠道的拓展，开始进入收获期。</w:t>
            </w:r>
          </w:p>
          <w:p w14:paraId="2DEEF3AA" w14:textId="5CFCB516" w:rsidR="00D75920" w:rsidRPr="001F71A8" w:rsidRDefault="00D75920" w:rsidP="00D75920">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（三）盈利方面</w:t>
            </w:r>
          </w:p>
          <w:p w14:paraId="430695E0" w14:textId="77777777" w:rsidR="00D75920" w:rsidRPr="001F71A8" w:rsidRDefault="00D75920" w:rsidP="00D75920">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得益于规模的提升、销售结构的优化，上半年经营利润率同比提升。</w:t>
            </w:r>
          </w:p>
          <w:p w14:paraId="6EB09966" w14:textId="7891544F" w:rsidR="00D75920" w:rsidRPr="001F71A8" w:rsidRDefault="00D75920" w:rsidP="00D75920">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解构来看：上半年销售毛利率47.1%，较同期提升0.85%，主要受益于产品结构优化，但本期大宗商品和采购成本的上涨对盈利产生负影响。本期公司推进</w:t>
            </w:r>
            <w:r w:rsidR="00781E50">
              <w:rPr>
                <w:rFonts w:ascii="宋体" w:hAnsi="宋体" w:cs="微软雅黑" w:hint="eastAsia"/>
                <w:bCs/>
                <w:sz w:val="24"/>
                <w:szCs w:val="24"/>
              </w:rPr>
              <w:t>数智平台</w:t>
            </w:r>
            <w:r w:rsidRPr="001F71A8">
              <w:rPr>
                <w:rFonts w:ascii="宋体" w:hAnsi="宋体" w:cs="微软雅黑" w:hint="eastAsia"/>
                <w:bCs/>
                <w:sz w:val="24"/>
                <w:szCs w:val="24"/>
              </w:rPr>
              <w:t>驱动下的全流程提效，管理和研发费用率分别下降0.7%、0.1%。出海能力建设持续投入，销售费用率同比增加1.4%。</w:t>
            </w:r>
          </w:p>
          <w:p w14:paraId="07F9D4E5" w14:textId="65BBE269" w:rsidR="00D75920" w:rsidRPr="001F71A8" w:rsidRDefault="00D75920" w:rsidP="00D75920">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（四）现金流</w:t>
            </w:r>
          </w:p>
          <w:p w14:paraId="16690BF8" w14:textId="77777777" w:rsidR="00D75920" w:rsidRPr="00D75920" w:rsidRDefault="00D75920" w:rsidP="00D75920">
            <w:pPr>
              <w:widowControl/>
              <w:spacing w:line="400" w:lineRule="exact"/>
              <w:ind w:firstLineChars="200" w:firstLine="480"/>
              <w:rPr>
                <w:rFonts w:ascii="宋体" w:hAnsi="宋体" w:cs="微软雅黑"/>
                <w:bCs/>
                <w:sz w:val="24"/>
                <w:szCs w:val="24"/>
              </w:rPr>
            </w:pPr>
            <w:r w:rsidRPr="00D75920">
              <w:rPr>
                <w:rFonts w:ascii="宋体" w:hAnsi="宋体" w:cs="微软雅黑" w:hint="eastAsia"/>
                <w:bCs/>
                <w:sz w:val="24"/>
                <w:szCs w:val="24"/>
              </w:rPr>
              <w:t>受益于业绩增长和销售回款效率的持续提升，上半年经营活动净现金流同比大幅增长达到305%。</w:t>
            </w:r>
          </w:p>
          <w:p w14:paraId="577ECD27" w14:textId="3C61CD53" w:rsidR="009E6AC0" w:rsidRPr="009E6AC0" w:rsidRDefault="00D75920" w:rsidP="00D75920">
            <w:pPr>
              <w:widowControl/>
              <w:spacing w:line="400" w:lineRule="exact"/>
              <w:ind w:firstLineChars="200" w:firstLine="480"/>
              <w:rPr>
                <w:rFonts w:ascii="宋体" w:hAnsi="宋体" w:cs="微软雅黑"/>
                <w:bCs/>
                <w:sz w:val="24"/>
                <w:szCs w:val="24"/>
              </w:rPr>
            </w:pPr>
            <w:r w:rsidRPr="00D75920">
              <w:rPr>
                <w:rFonts w:ascii="宋体" w:hAnsi="宋体" w:cs="微软雅黑" w:hint="eastAsia"/>
                <w:bCs/>
                <w:sz w:val="24"/>
                <w:szCs w:val="24"/>
              </w:rPr>
              <w:t>综上所述，得益于公司增长战略的持续兑现，26年上半年实现了收入和利润的双拐点，同时现金流健康，流动性充足。</w:t>
            </w:r>
          </w:p>
          <w:p w14:paraId="6C1D3FCC" w14:textId="0BB6D9B2" w:rsidR="009E6AC0" w:rsidRPr="009E6AC0" w:rsidRDefault="009545EB" w:rsidP="009E6AC0">
            <w:pPr>
              <w:widowControl/>
              <w:spacing w:line="400" w:lineRule="exact"/>
              <w:ind w:firstLineChars="200" w:firstLine="482"/>
              <w:rPr>
                <w:rFonts w:ascii="宋体" w:hAnsi="宋体" w:cs="微软雅黑"/>
                <w:b/>
                <w:sz w:val="24"/>
                <w:szCs w:val="24"/>
              </w:rPr>
            </w:pPr>
            <w:r>
              <w:rPr>
                <w:rFonts w:ascii="宋体" w:hAnsi="宋体" w:cs="微软雅黑" w:hint="eastAsia"/>
                <w:b/>
                <w:sz w:val="24"/>
                <w:szCs w:val="24"/>
              </w:rPr>
              <w:t>二、公司发展展望</w:t>
            </w:r>
          </w:p>
          <w:p w14:paraId="53F8C6E6" w14:textId="77777777" w:rsidR="009545EB" w:rsidRPr="009545EB" w:rsidRDefault="009545EB" w:rsidP="009545EB">
            <w:pPr>
              <w:widowControl/>
              <w:spacing w:line="400" w:lineRule="exact"/>
              <w:ind w:firstLineChars="200" w:firstLine="480"/>
              <w:rPr>
                <w:rFonts w:ascii="宋体" w:hAnsi="宋体" w:cs="微软雅黑"/>
                <w:bCs/>
                <w:sz w:val="24"/>
                <w:szCs w:val="24"/>
              </w:rPr>
            </w:pPr>
            <w:r w:rsidRPr="009545EB">
              <w:rPr>
                <w:rFonts w:ascii="宋体" w:hAnsi="宋体" w:cs="微软雅黑" w:hint="eastAsia"/>
                <w:bCs/>
                <w:sz w:val="24"/>
                <w:szCs w:val="24"/>
              </w:rPr>
              <w:t>今年年初制定战略时，公司已将增长确定为第一要位，管理层将规模增长、进攻突破确立为本年度战略方针。疫情后，海尔生物经历了连续三年的业绩波动和盈利下行周期，这主要是因为过去三年公司集中投入产品研发，并快速推进产业布局。2026年作为海尔生物新一轮五年战略计划的破局之年，上半年在公司全体团队的共同努力下，交出了一份“高含金量”</w:t>
            </w:r>
            <w:r w:rsidRPr="009545EB">
              <w:rPr>
                <w:rFonts w:ascii="宋体" w:hAnsi="宋体" w:cs="微软雅黑" w:hint="eastAsia"/>
                <w:bCs/>
                <w:sz w:val="24"/>
                <w:szCs w:val="24"/>
              </w:rPr>
              <w:lastRenderedPageBreak/>
              <w:t>的成绩单。</w:t>
            </w:r>
          </w:p>
          <w:p w14:paraId="09F34518" w14:textId="77777777" w:rsidR="009545EB" w:rsidRPr="001F71A8" w:rsidRDefault="009545EB" w:rsidP="009545EB">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（一）上半年经营回顾：</w:t>
            </w:r>
          </w:p>
          <w:p w14:paraId="54AE4D89" w14:textId="77777777" w:rsidR="009545EB" w:rsidRPr="001F71A8" w:rsidRDefault="009545EB" w:rsidP="009545EB">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年初公司通过市场研判，确定了全年三大高增长机会——空间广阔的海外市场、加速放量的新兴产业和需求旺盛的制药终端。</w:t>
            </w:r>
          </w:p>
          <w:p w14:paraId="3DE153DE" w14:textId="0C67FB25" w:rsidR="009545EB" w:rsidRPr="001F71A8" w:rsidRDefault="009545EB" w:rsidP="009545EB">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围绕这三大方向，我们及时对资源配置</w:t>
            </w:r>
            <w:r w:rsidR="006A5721" w:rsidRPr="001F71A8">
              <w:rPr>
                <w:rFonts w:ascii="宋体" w:hAnsi="宋体" w:cs="微软雅黑" w:hint="eastAsia"/>
                <w:bCs/>
                <w:sz w:val="24"/>
                <w:szCs w:val="24"/>
              </w:rPr>
              <w:t>做</w:t>
            </w:r>
            <w:r w:rsidRPr="001F71A8">
              <w:rPr>
                <w:rFonts w:ascii="宋体" w:hAnsi="宋体" w:cs="微软雅黑" w:hint="eastAsia"/>
                <w:bCs/>
                <w:sz w:val="24"/>
                <w:szCs w:val="24"/>
              </w:rPr>
              <w:t>出了针对性调整：约一半的市场费用增量投向海外市场，集中研发资源投入海外市场相关的产品研发与认证工作，并在制药端完成了大量新产品的研发与认证布局。整体来看，上述业务的增量表现亮眼，其中中国市场整体业绩实现了超预期增长，充分证明公司精准把握了市场三大机遇。</w:t>
            </w:r>
          </w:p>
          <w:p w14:paraId="085B2FFD" w14:textId="77777777" w:rsidR="009545EB" w:rsidRPr="001F71A8" w:rsidRDefault="009545EB" w:rsidP="009545EB">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取得上述成绩，主要得益于公司团队的体系化作战能力。内部管理中，公司始终强调以管理体系的确定性应对外部环境的不确定性，构建了“4+2”作战管理体系：基于生命科学上游“高壁垒、多场景、小细分”的行业特点，低温、智慧用药、实验室解决方案以及血液技术四大产业独立作战，每个产业都作为独立经营主体运营，公司充分赋予四大产业自主决策权限；同时设置中国市场、海外市场两大市场平台，实现能力体系拉通协同。这套“4+2”协同作战体系，为上半年三大市场机遇的落地转化提供了坚实保障。</w:t>
            </w:r>
          </w:p>
          <w:p w14:paraId="2D4CA333" w14:textId="77777777" w:rsidR="009545EB" w:rsidRPr="001F71A8" w:rsidRDefault="009545EB" w:rsidP="009545EB">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（二）下半年经营展望：</w:t>
            </w:r>
          </w:p>
          <w:p w14:paraId="701DAE65" w14:textId="77777777" w:rsidR="009545EB" w:rsidRPr="001F71A8" w:rsidRDefault="009545EB" w:rsidP="009545EB">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公司在半年报中给出的业绩指引，基于我们三大增长引擎的可持续性：</w:t>
            </w:r>
          </w:p>
          <w:p w14:paraId="3DB854D9" w14:textId="77777777" w:rsidR="009545EB" w:rsidRPr="001F71A8" w:rsidRDefault="009545EB" w:rsidP="009545EB">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 xml:space="preserve">①引擎1：新兴产业步入收获期，全年增长将进一步提速。 </w:t>
            </w:r>
          </w:p>
          <w:p w14:paraId="639BE1EC" w14:textId="77777777" w:rsidR="009545EB" w:rsidRPr="001F71A8" w:rsidRDefault="009545EB" w:rsidP="009545EB">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这一结论主要基于智慧用药、实验室解决方案、血液技术等产业在手订单的支撑。</w:t>
            </w:r>
          </w:p>
          <w:p w14:paraId="6E36F372" w14:textId="000EDB2E" w:rsidR="009545EB" w:rsidRPr="001F71A8" w:rsidRDefault="009545EB" w:rsidP="009545EB">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过往业绩披露中，公司业务多划分为存储业务与非存储业务两类。大家可能注意到了，我们自本季度起在定期报告中新增四大产业板块的详尽解构，源于四大核心业务、尤其三个新兴产业的全面突破</w:t>
            </w:r>
            <w:r w:rsidR="009E5CB6" w:rsidRPr="001F71A8">
              <w:rPr>
                <w:rFonts w:ascii="宋体" w:hAnsi="宋体" w:cs="微软雅黑" w:hint="eastAsia"/>
                <w:bCs/>
                <w:sz w:val="24"/>
                <w:szCs w:val="24"/>
              </w:rPr>
              <w:t>。</w:t>
            </w:r>
            <w:r w:rsidRPr="001F71A8">
              <w:rPr>
                <w:rFonts w:ascii="宋体" w:hAnsi="宋体" w:cs="微软雅黑" w:hint="eastAsia"/>
                <w:bCs/>
                <w:sz w:val="24"/>
                <w:szCs w:val="24"/>
              </w:rPr>
              <w:t>疫情结束后，在历经前期三年的资源投入和并购投入后相继步入收获期，每个产业均显露出冲击10亿级规模的态势：</w:t>
            </w:r>
          </w:p>
          <w:p w14:paraId="4D265F03" w14:textId="6BBDB6CB" w:rsidR="009545EB" w:rsidRPr="001F71A8" w:rsidRDefault="009545EB" w:rsidP="009545EB">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·实验室解决方案产业：国产替代驱动下，力争实验室基础设备5年内成为中国市场第一份额，同时依托</w:t>
            </w:r>
            <w:r w:rsidR="00781E50">
              <w:rPr>
                <w:rFonts w:ascii="宋体" w:hAnsi="宋体" w:cs="微软雅黑" w:hint="eastAsia"/>
                <w:bCs/>
                <w:sz w:val="24"/>
                <w:szCs w:val="24"/>
              </w:rPr>
              <w:t>智能体平台</w:t>
            </w:r>
            <w:r w:rsidRPr="001F71A8">
              <w:rPr>
                <w:rFonts w:ascii="宋体" w:hAnsi="宋体" w:cs="微软雅黑" w:hint="eastAsia"/>
                <w:bCs/>
                <w:sz w:val="24"/>
                <w:szCs w:val="24"/>
              </w:rPr>
              <w:t>进</w:t>
            </w:r>
            <w:r w:rsidRPr="001F71A8">
              <w:rPr>
                <w:rFonts w:ascii="宋体" w:hAnsi="宋体" w:cs="微软雅黑" w:hint="eastAsia"/>
                <w:bCs/>
                <w:sz w:val="24"/>
                <w:szCs w:val="24"/>
              </w:rPr>
              <w:lastRenderedPageBreak/>
              <w:t>一步迈向“自主实验室”、“自主生物工艺”服务商。</w:t>
            </w:r>
          </w:p>
          <w:p w14:paraId="5417E702" w14:textId="77777777" w:rsidR="009545EB" w:rsidRPr="001F71A8" w:rsidRDefault="009545EB" w:rsidP="009545EB">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·智慧用药产业：中标率首次达到了28.5%，巩固国内第一地位，并加快海外复制，力争5年内实现国内和海外收入各占1/2，并进一步成为“自主药物管理”方案提供商。</w:t>
            </w:r>
          </w:p>
          <w:p w14:paraId="3406074D" w14:textId="77777777" w:rsidR="009545EB" w:rsidRPr="001F71A8" w:rsidRDefault="009545EB" w:rsidP="009545EB">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·血液技术产业：今年进入海外头部血制品公司供应链，力争3年内海外收入过亿，由中国第一迈向全球第一。</w:t>
            </w:r>
          </w:p>
          <w:p w14:paraId="6652EB10" w14:textId="77777777" w:rsidR="009545EB" w:rsidRPr="001F71A8" w:rsidRDefault="009545EB" w:rsidP="009545EB">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每个产业10亿级规模的达成，不仅意味着公司将进入生命科学上游行业的前列，更意味着公司平台化能力的跃迁。</w:t>
            </w:r>
          </w:p>
          <w:p w14:paraId="1610B9B4" w14:textId="77777777" w:rsidR="009545EB" w:rsidRPr="001F71A8" w:rsidRDefault="009545EB" w:rsidP="009545EB">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②引擎2：上半年海外市场虽有波动但符合此前预期，全年双位数增长的确定性不变，在地化能力将加速转化为业绩。</w:t>
            </w:r>
          </w:p>
          <w:p w14:paraId="1AB0EFA8" w14:textId="77777777" w:rsidR="009545EB" w:rsidRPr="001F71A8" w:rsidRDefault="009545EB" w:rsidP="009545EB">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新加坡等海外市场是我司未来制药用户增长的重要战略区域，本次调研也进一步坚定了公司加大制药领域投入的决心，海外市场整体发展目标保持不变。</w:t>
            </w:r>
          </w:p>
          <w:p w14:paraId="10E6BB87" w14:textId="77777777" w:rsidR="009545EB" w:rsidRPr="001F71A8" w:rsidRDefault="009545EB" w:rsidP="009545EB">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③引擎3：制药终端市场全年高增长将持续，也是至少未来3年公司增长的核心动力。</w:t>
            </w:r>
          </w:p>
          <w:p w14:paraId="7EB4E60F" w14:textId="6AC00A8C" w:rsidR="009545EB" w:rsidRPr="001F71A8" w:rsidRDefault="009545EB" w:rsidP="009545EB">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我们会为这轮产业上行周期做好产品、方案、市场等方面的充分准备，从低温工艺龙头延伸为生物医药新基建</w:t>
            </w:r>
            <w:r w:rsidR="00F8349C" w:rsidRPr="0096280D">
              <w:rPr>
                <w:rFonts w:ascii="宋体" w:hAnsi="宋体" w:cs="微软雅黑" w:hint="eastAsia"/>
                <w:bCs/>
                <w:sz w:val="24"/>
                <w:szCs w:val="24"/>
              </w:rPr>
              <w:t>服务商</w:t>
            </w:r>
            <w:r w:rsidRPr="001F71A8">
              <w:rPr>
                <w:rFonts w:ascii="宋体" w:hAnsi="宋体" w:cs="微软雅黑" w:hint="eastAsia"/>
                <w:bCs/>
                <w:sz w:val="24"/>
                <w:szCs w:val="24"/>
              </w:rPr>
              <w:t>。</w:t>
            </w:r>
          </w:p>
          <w:p w14:paraId="7CEABA3E" w14:textId="77777777" w:rsidR="009545EB" w:rsidRPr="00F8349C" w:rsidRDefault="009545EB" w:rsidP="009545EB">
            <w:pPr>
              <w:widowControl/>
              <w:spacing w:line="400" w:lineRule="exact"/>
              <w:ind w:firstLineChars="200" w:firstLine="480"/>
              <w:rPr>
                <w:rFonts w:ascii="宋体" w:hAnsi="宋体" w:cs="微软雅黑"/>
                <w:b/>
                <w:sz w:val="24"/>
                <w:szCs w:val="24"/>
              </w:rPr>
            </w:pPr>
            <w:r w:rsidRPr="001F71A8">
              <w:rPr>
                <w:rFonts w:ascii="宋体" w:hAnsi="宋体" w:cs="微软雅黑" w:hint="eastAsia"/>
                <w:bCs/>
                <w:sz w:val="24"/>
                <w:szCs w:val="24"/>
              </w:rPr>
              <w:t>（三）未来5年发展战略</w:t>
            </w:r>
          </w:p>
          <w:p w14:paraId="53F7D2D6" w14:textId="77777777" w:rsidR="009545EB" w:rsidRPr="009545EB" w:rsidRDefault="009545EB" w:rsidP="009545EB">
            <w:pPr>
              <w:widowControl/>
              <w:spacing w:line="400" w:lineRule="exact"/>
              <w:ind w:firstLineChars="200" w:firstLine="480"/>
              <w:rPr>
                <w:rFonts w:ascii="宋体" w:hAnsi="宋体" w:cs="微软雅黑"/>
                <w:bCs/>
                <w:sz w:val="24"/>
                <w:szCs w:val="24"/>
              </w:rPr>
            </w:pPr>
            <w:r w:rsidRPr="009545EB">
              <w:rPr>
                <w:rFonts w:ascii="宋体" w:hAnsi="宋体" w:cs="微软雅黑" w:hint="eastAsia"/>
                <w:bCs/>
                <w:sz w:val="24"/>
                <w:szCs w:val="24"/>
              </w:rPr>
              <w:t>站在新的发展起点，我们希望海尔生物能够从产品驱动的设备提供商成长为科技驱动的科学服务平台，我们将通过三条曲线来实现这一跃升：</w:t>
            </w:r>
          </w:p>
          <w:p w14:paraId="65602E63" w14:textId="3705D34C" w:rsidR="009545EB" w:rsidRPr="009545EB" w:rsidRDefault="009545EB" w:rsidP="009545EB">
            <w:pPr>
              <w:widowControl/>
              <w:spacing w:line="400" w:lineRule="exact"/>
              <w:ind w:firstLineChars="200" w:firstLine="480"/>
              <w:rPr>
                <w:rFonts w:ascii="宋体" w:hAnsi="宋体" w:cs="微软雅黑"/>
                <w:bCs/>
                <w:sz w:val="24"/>
                <w:szCs w:val="24"/>
              </w:rPr>
            </w:pPr>
            <w:r w:rsidRPr="00F8349C">
              <w:rPr>
                <w:rFonts w:ascii="宋体" w:hAnsi="宋体" w:cs="微软雅黑" w:hint="eastAsia"/>
                <w:bCs/>
                <w:sz w:val="24"/>
                <w:szCs w:val="24"/>
              </w:rPr>
              <w:t>①第一曲线，从低温存储龙头成为一体化生命科学工具平台。</w:t>
            </w:r>
            <w:r w:rsidRPr="009545EB">
              <w:rPr>
                <w:rFonts w:ascii="宋体" w:hAnsi="宋体" w:cs="微软雅黑" w:hint="eastAsia"/>
                <w:bCs/>
                <w:sz w:val="24"/>
                <w:szCs w:val="24"/>
              </w:rPr>
              <w:t>以设备为智慧终端、将工作流沉淀为模块化的</w:t>
            </w:r>
            <w:r w:rsidR="00781E50">
              <w:rPr>
                <w:rFonts w:ascii="宋体" w:hAnsi="宋体" w:cs="微软雅黑" w:hint="eastAsia"/>
                <w:bCs/>
                <w:sz w:val="24"/>
                <w:szCs w:val="24"/>
              </w:rPr>
              <w:t>数智</w:t>
            </w:r>
            <w:r w:rsidRPr="009545EB">
              <w:rPr>
                <w:rFonts w:ascii="宋体" w:hAnsi="宋体" w:cs="微软雅黑" w:hint="eastAsia"/>
                <w:bCs/>
                <w:sz w:val="24"/>
                <w:szCs w:val="24"/>
              </w:rPr>
              <w:t>自动化方案、通过试剂耗材为用户提供持续服务。如前所述，公司将夯实“基本盘”，服务好大科研用户。</w:t>
            </w:r>
          </w:p>
          <w:p w14:paraId="35E07338" w14:textId="77777777" w:rsidR="009545EB" w:rsidRPr="009545EB" w:rsidRDefault="009545EB" w:rsidP="009545EB">
            <w:pPr>
              <w:widowControl/>
              <w:spacing w:line="400" w:lineRule="exact"/>
              <w:ind w:firstLineChars="200" w:firstLine="480"/>
              <w:rPr>
                <w:rFonts w:ascii="宋体" w:hAnsi="宋体" w:cs="微软雅黑"/>
                <w:bCs/>
                <w:sz w:val="24"/>
                <w:szCs w:val="24"/>
              </w:rPr>
            </w:pPr>
            <w:r w:rsidRPr="009545EB">
              <w:rPr>
                <w:rFonts w:ascii="宋体" w:hAnsi="宋体" w:cs="微软雅黑" w:hint="eastAsia"/>
                <w:bCs/>
                <w:sz w:val="24"/>
                <w:szCs w:val="24"/>
              </w:rPr>
              <w:t>②第二曲线，成为生物制造的智能生产力平台。切入工业用户的核心工艺，以工艺设备和配套试剂耗材为基础，以Agent集群为核心，叠加工艺问题服务能力，形成从硬件到软件、从产品到服务的完整交付闭环。</w:t>
            </w:r>
          </w:p>
          <w:p w14:paraId="7EB0EA5B" w14:textId="77777777" w:rsidR="009545EB" w:rsidRPr="009545EB" w:rsidRDefault="009545EB" w:rsidP="009545EB">
            <w:pPr>
              <w:widowControl/>
              <w:spacing w:line="400" w:lineRule="exact"/>
              <w:ind w:firstLineChars="200" w:firstLine="480"/>
              <w:rPr>
                <w:rFonts w:ascii="宋体" w:hAnsi="宋体" w:cs="微软雅黑"/>
                <w:bCs/>
                <w:sz w:val="24"/>
                <w:szCs w:val="24"/>
              </w:rPr>
            </w:pPr>
            <w:r w:rsidRPr="009545EB">
              <w:rPr>
                <w:rFonts w:ascii="宋体" w:hAnsi="宋体" w:cs="微软雅黑" w:hint="eastAsia"/>
                <w:bCs/>
                <w:sz w:val="24"/>
                <w:szCs w:val="24"/>
              </w:rPr>
              <w:t>第二曲线以大工业用户为主要服务对象，是拓展成长空间的重要引擎。推动第二曲线发展，一方面依托内生增长；另一方面依靠并购投入，内外并举、协同推进。</w:t>
            </w:r>
          </w:p>
          <w:p w14:paraId="641B9C0B" w14:textId="77777777" w:rsidR="009545EB" w:rsidRPr="009545EB" w:rsidRDefault="009545EB" w:rsidP="009545EB">
            <w:pPr>
              <w:widowControl/>
              <w:spacing w:line="400" w:lineRule="exact"/>
              <w:ind w:firstLineChars="200" w:firstLine="480"/>
              <w:rPr>
                <w:rFonts w:ascii="宋体" w:hAnsi="宋体" w:cs="微软雅黑"/>
                <w:bCs/>
                <w:sz w:val="24"/>
                <w:szCs w:val="24"/>
              </w:rPr>
            </w:pPr>
            <w:r w:rsidRPr="009545EB">
              <w:rPr>
                <w:rFonts w:ascii="宋体" w:hAnsi="宋体" w:cs="微软雅黑" w:hint="eastAsia"/>
                <w:bCs/>
                <w:sz w:val="24"/>
                <w:szCs w:val="24"/>
              </w:rPr>
              <w:t>③第三曲线，成为未来新质生产力上游平台。聚焦关键部件，突破卡脖子替代与前沿原创技术，服务好未来产业用户。</w:t>
            </w:r>
          </w:p>
          <w:p w14:paraId="123E3CEC" w14:textId="77777777" w:rsidR="009545EB" w:rsidRPr="009545EB" w:rsidRDefault="009545EB" w:rsidP="009545EB">
            <w:pPr>
              <w:widowControl/>
              <w:spacing w:line="400" w:lineRule="exact"/>
              <w:ind w:firstLineChars="200" w:firstLine="480"/>
              <w:rPr>
                <w:rFonts w:ascii="宋体" w:hAnsi="宋体" w:cs="微软雅黑"/>
                <w:bCs/>
                <w:sz w:val="24"/>
                <w:szCs w:val="24"/>
              </w:rPr>
            </w:pPr>
            <w:r w:rsidRPr="009545EB">
              <w:rPr>
                <w:rFonts w:ascii="宋体" w:hAnsi="宋体" w:cs="微软雅黑" w:hint="eastAsia"/>
                <w:bCs/>
                <w:sz w:val="24"/>
                <w:szCs w:val="24"/>
              </w:rPr>
              <w:lastRenderedPageBreak/>
              <w:t>我们将首先从优势技术突破，通过底层同源技术的跨界迁移，探索低温技术在前沿科技领域的应用，也会通过并购完善布局，卡位下一个五年。</w:t>
            </w:r>
          </w:p>
          <w:p w14:paraId="3538FAD0" w14:textId="286244F8" w:rsidR="009E6AC0" w:rsidRDefault="009545EB" w:rsidP="009545EB">
            <w:pPr>
              <w:widowControl/>
              <w:spacing w:line="400" w:lineRule="exact"/>
              <w:ind w:firstLineChars="200" w:firstLine="480"/>
              <w:rPr>
                <w:rFonts w:ascii="宋体" w:hAnsi="宋体" w:cs="微软雅黑"/>
                <w:bCs/>
                <w:sz w:val="24"/>
                <w:szCs w:val="24"/>
              </w:rPr>
            </w:pPr>
            <w:r w:rsidRPr="009545EB">
              <w:rPr>
                <w:rFonts w:ascii="宋体" w:hAnsi="宋体" w:cs="微软雅黑" w:hint="eastAsia"/>
                <w:bCs/>
                <w:sz w:val="24"/>
                <w:szCs w:val="24"/>
              </w:rPr>
              <w:t>展望未来，我们将在用户需求洞察、团队能力建设、体系化作战能力强化等方面持续发力，我们有信心推动三条曲线齐驱并进，第一曲线筑牢根基、第二曲线打开空间、第三曲线布局未来，支撑公司迈向“一体化生命科学工具与智能生产力平台”，为投资者创造可持续、高质量的长期回报。</w:t>
            </w:r>
          </w:p>
          <w:p w14:paraId="4DA1E759" w14:textId="5D1C1D84" w:rsidR="009E6AC0" w:rsidRPr="009E6AC0" w:rsidRDefault="001F71A8" w:rsidP="009E6AC0">
            <w:pPr>
              <w:widowControl/>
              <w:spacing w:line="400" w:lineRule="exact"/>
              <w:ind w:firstLineChars="200" w:firstLine="482"/>
              <w:rPr>
                <w:rFonts w:ascii="宋体" w:hAnsi="宋体" w:cs="微软雅黑"/>
                <w:b/>
                <w:sz w:val="24"/>
                <w:szCs w:val="24"/>
              </w:rPr>
            </w:pPr>
            <w:r>
              <w:rPr>
                <w:rFonts w:ascii="宋体" w:hAnsi="宋体" w:cs="微软雅黑" w:hint="eastAsia"/>
                <w:b/>
                <w:sz w:val="24"/>
                <w:szCs w:val="24"/>
              </w:rPr>
              <w:t>三、</w:t>
            </w:r>
            <w:r w:rsidRPr="001F71A8">
              <w:rPr>
                <w:rFonts w:ascii="宋体" w:hAnsi="宋体" w:cs="微软雅黑" w:hint="eastAsia"/>
                <w:b/>
                <w:sz w:val="24"/>
                <w:szCs w:val="24"/>
              </w:rPr>
              <w:t>制药场景进展介绍</w:t>
            </w:r>
          </w:p>
          <w:p w14:paraId="5D11ACA2" w14:textId="77777777" w:rsidR="001F71A8" w:rsidRPr="001F71A8" w:rsidRDefault="001F71A8" w:rsidP="001F71A8">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公司上半年在制药终端市场增长强劲，国内市场实现制药端高双位数增长、海外制药端的增速则更快，对公司整体收入增幅贡献约3个百分点。在制药场景方案层面我们做了“3个升级”来支持市场的拓展：</w:t>
            </w:r>
          </w:p>
          <w:p w14:paraId="0A18AD54" w14:textId="77777777" w:rsidR="001F71A8" w:rsidRPr="001F71A8" w:rsidRDefault="001F71A8" w:rsidP="001F71A8">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第一个升级，公司耕耘制药行业多年，我们的优势领域低温解决方案，逐步实现了从科研实验室到GMP工业应用场景的延伸。</w:t>
            </w:r>
          </w:p>
          <w:p w14:paraId="6FBE2742" w14:textId="77777777" w:rsidR="001F71A8" w:rsidRPr="001F71A8" w:rsidRDefault="001F71A8" w:rsidP="001F71A8">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大家可能会觉得，公司能为用户提供的只是科研实验室的相关产品，事实上在生物制药企业的GMP体系中有两点不能忽略：（1）工艺开发实验室和QC实验室同样需要样本的GMP管控体系；（2）低温工艺是不可或缺的关键工段，覆盖细胞种子库保藏、抗体原液冷冻和存储、细胞药物冷冻和存储、产品低温转运等环节。海尔生物可以为药企用户提供贯通实验室、生产、质控、转运等生物制药全生命周期的GXP一站式温控合规解决方案。</w:t>
            </w:r>
          </w:p>
          <w:p w14:paraId="6CF51492" w14:textId="77777777" w:rsidR="001F71A8" w:rsidRPr="001F71A8" w:rsidRDefault="001F71A8" w:rsidP="001F71A8">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从科研进入强监管工业领域壁垒很高，对设备性能、数据完整性、审计追踪、全流程验证要求严苛。公司很早瞄准了这块市场，通过长期的技术积累与合规能力打磨，持续投入GMP合规与验证体系建设，近3年已完成10大类、超100个型号产品的21CFRpart11白皮书、3Q验证模板，逐步拿到工业市场入场券。例如，我们已经与某头部CXO公司达成战略合作，为其在中国及全球多个生产基地长期供货，累计订单已超1亿元，订单规模仍在持续扩大。</w:t>
            </w:r>
          </w:p>
          <w:p w14:paraId="11232026" w14:textId="77777777" w:rsidR="001F71A8" w:rsidRPr="001F71A8" w:rsidRDefault="001F71A8" w:rsidP="001F71A8">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蛋白类药物和CGT细胞基因治疗是GMP低温工艺的主要市场，我们评估下来预计国内空间有100亿，全球空间将近500</w:t>
            </w:r>
            <w:r w:rsidRPr="001F71A8">
              <w:rPr>
                <w:rFonts w:ascii="宋体" w:hAnsi="宋体" w:cs="微软雅黑" w:hint="eastAsia"/>
                <w:bCs/>
                <w:sz w:val="24"/>
                <w:szCs w:val="24"/>
              </w:rPr>
              <w:lastRenderedPageBreak/>
              <w:t>亿元。相信对这一高市场容量、高法规门槛、高用户粘性的增量市场的切入，将会为公司低温产业注入长期增长动能。</w:t>
            </w:r>
          </w:p>
          <w:p w14:paraId="0B951611" w14:textId="77777777" w:rsidR="001F71A8" w:rsidRPr="001F71A8" w:rsidRDefault="001F71A8" w:rsidP="001F71A8">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第二个升级，温控合规方案进入制药用户后，以此为抓手继续深耕，向制药工业更多更核心的环节进行了布局。</w:t>
            </w:r>
          </w:p>
          <w:p w14:paraId="717C4FDB" w14:textId="1701E0B4" w:rsidR="001F71A8" w:rsidRPr="001F71A8" w:rsidRDefault="001F71A8" w:rsidP="001F71A8">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无论是抗体疫苗等蛋白质药物生产，还是高速增长的CGT制备，细胞培养都是其最核心环节之一。我们目前已经布局了细胞培养的多场景、多规模的产品和技术，包括：二氧化碳培养箱、全自动</w:t>
            </w:r>
            <w:r w:rsidR="0024279E">
              <w:rPr>
                <w:rFonts w:ascii="宋体" w:hAnsi="宋体" w:cs="微软雅黑" w:hint="eastAsia"/>
                <w:bCs/>
                <w:sz w:val="24"/>
                <w:szCs w:val="24"/>
              </w:rPr>
              <w:t>振荡</w:t>
            </w:r>
            <w:r w:rsidRPr="001F71A8">
              <w:rPr>
                <w:rFonts w:ascii="宋体" w:hAnsi="宋体" w:cs="微软雅黑" w:hint="eastAsia"/>
                <w:bCs/>
                <w:sz w:val="24"/>
                <w:szCs w:val="24"/>
              </w:rPr>
              <w:t>培养箱、全自动细胞培养工作站、在研的多个系列生物反应器等。其中（1）全自动细胞培养工作站，刚获得了山东省科技进步一等奖，也已在上海、海南等多个CGT企业有成功案例；（2）生物反应器技术（包括一次性生物反应器技术），已布局小试、中试、大生产等三级规模、多个系列生物反应器的研发，核心项目已获批国家“两重”项目支持，正在如期推进中。</w:t>
            </w:r>
          </w:p>
          <w:p w14:paraId="491081EA" w14:textId="0DD20AE2" w:rsidR="001F71A8" w:rsidRPr="001F71A8" w:rsidRDefault="001F71A8" w:rsidP="001F71A8">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细胞生长与代谢是多参数相互影响的非线性过程，批次间差异大，工艺难以放大，结果难以重复，给用户的新药申报和规模生产都造成了严重的卡点。我们针对这些卡点，已启动开发</w:t>
            </w:r>
            <w:r w:rsidR="00CC56A3">
              <w:rPr>
                <w:rFonts w:ascii="宋体" w:hAnsi="宋体" w:cs="微软雅黑" w:hint="eastAsia"/>
                <w:bCs/>
                <w:sz w:val="24"/>
                <w:szCs w:val="24"/>
              </w:rPr>
              <w:t>智能体</w:t>
            </w:r>
            <w:r w:rsidRPr="001F71A8">
              <w:rPr>
                <w:rFonts w:ascii="宋体" w:hAnsi="宋体" w:cs="微软雅黑" w:hint="eastAsia"/>
                <w:bCs/>
                <w:sz w:val="24"/>
                <w:szCs w:val="24"/>
              </w:rPr>
              <w:t>黄金批次智能配方管理系统，能快速锁定关键影响因子阵列，从而快速锁定黄金批次，并自动生成合规电子批记录；从正在共创合作的案例进展来看，细胞活率大于95%，批次间差异小于4%，有望IND申报周期缩短60%。</w:t>
            </w:r>
          </w:p>
          <w:p w14:paraId="1954C381" w14:textId="77777777" w:rsidR="001F71A8" w:rsidRPr="001F71A8" w:rsidRDefault="001F71A8" w:rsidP="001F71A8">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当前，从温控合规向更综合方案的升级已开始落地，例如我们在某头部CGT公司落地的首批订单近2000万元，后续订单将不断释放。</w:t>
            </w:r>
          </w:p>
          <w:p w14:paraId="63DCE901" w14:textId="77777777" w:rsidR="001F71A8" w:rsidRPr="001F71A8" w:rsidRDefault="001F71A8" w:rsidP="001F71A8">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第三个升级，是从产品供应商，开始成为用户项目全生命周期的顾问和伙伴。</w:t>
            </w:r>
          </w:p>
          <w:p w14:paraId="2CE3AD99" w14:textId="77777777" w:rsidR="001F71A8" w:rsidRPr="001F71A8" w:rsidRDefault="001F71A8" w:rsidP="001F71A8">
            <w:pPr>
              <w:widowControl/>
              <w:spacing w:line="400" w:lineRule="exact"/>
              <w:ind w:firstLineChars="200" w:firstLine="480"/>
              <w:rPr>
                <w:rFonts w:ascii="宋体" w:hAnsi="宋体" w:cs="微软雅黑"/>
                <w:bCs/>
                <w:sz w:val="24"/>
                <w:szCs w:val="24"/>
              </w:rPr>
            </w:pPr>
            <w:r w:rsidRPr="001F71A8">
              <w:rPr>
                <w:rFonts w:ascii="宋体" w:hAnsi="宋体" w:cs="微软雅黑" w:hint="eastAsia"/>
                <w:bCs/>
                <w:sz w:val="24"/>
                <w:szCs w:val="24"/>
              </w:rPr>
              <w:t>我们从原来的产品提供商，开始转变为早期就介入工艺规划的顾问伙伴，前置介入项目顶层设计、产线布局与合规方案规划。例如国内首个取得GMP证书的商业化细胞药物生产线，就是采用了这样的合作，我们协助用户顺利通过药监GMP审计。这种角色的升级，有利于增强客户粘性，提升项目赢率，也扩大了单个项目的订单金额。</w:t>
            </w:r>
          </w:p>
          <w:p w14:paraId="27F9B8FE" w14:textId="2A22FA75" w:rsidR="009E6AC0" w:rsidRDefault="001F71A8" w:rsidP="001F71A8">
            <w:pPr>
              <w:widowControl/>
              <w:spacing w:line="400" w:lineRule="exact"/>
              <w:ind w:firstLineChars="200" w:firstLine="480"/>
              <w:rPr>
                <w:rFonts w:ascii="宋体" w:hAnsi="宋体" w:cs="方正仿宋_GB2312"/>
                <w:b/>
                <w:sz w:val="24"/>
                <w:szCs w:val="24"/>
                <w:shd w:val="clear" w:color="auto" w:fill="7F7F7F"/>
              </w:rPr>
            </w:pPr>
            <w:r w:rsidRPr="001F71A8">
              <w:rPr>
                <w:rFonts w:ascii="宋体" w:hAnsi="宋体" w:cs="微软雅黑" w:hint="eastAsia"/>
                <w:bCs/>
                <w:sz w:val="24"/>
                <w:szCs w:val="24"/>
              </w:rPr>
              <w:t>总体来说，公司正在一步一个脚印努力成为生物医药新基建的核心贡献方。全年制药端增长将在上半年23%的基础上进</w:t>
            </w:r>
            <w:r w:rsidRPr="001F71A8">
              <w:rPr>
                <w:rFonts w:ascii="宋体" w:hAnsi="宋体" w:cs="微软雅黑" w:hint="eastAsia"/>
                <w:bCs/>
                <w:sz w:val="24"/>
                <w:szCs w:val="24"/>
              </w:rPr>
              <w:lastRenderedPageBreak/>
              <w:t>一步提速，同时未来将保持持续高增长态势。</w:t>
            </w:r>
          </w:p>
          <w:p w14:paraId="137B2D8B" w14:textId="77777777" w:rsidR="009E6AC0" w:rsidRDefault="009E6AC0" w:rsidP="009E6AC0">
            <w:pPr>
              <w:spacing w:beforeLines="50" w:before="156" w:line="360" w:lineRule="auto"/>
              <w:jc w:val="center"/>
              <w:rPr>
                <w:rFonts w:ascii="黑体" w:eastAsia="黑体" w:hAnsi="黑体"/>
                <w:b/>
                <w:sz w:val="24"/>
                <w:szCs w:val="24"/>
              </w:rPr>
            </w:pPr>
            <w:r>
              <w:rPr>
                <w:rFonts w:ascii="黑体" w:eastAsia="黑体" w:hAnsi="黑体" w:hint="eastAsia"/>
                <w:b/>
                <w:sz w:val="24"/>
                <w:szCs w:val="24"/>
                <w:highlight w:val="lightGray"/>
              </w:rPr>
              <w:t>互动问答</w:t>
            </w:r>
          </w:p>
          <w:p w14:paraId="778EE7DD" w14:textId="55BF3976" w:rsidR="009E6AC0" w:rsidRPr="009E6AC0" w:rsidRDefault="001E0D1F" w:rsidP="009E6AC0">
            <w:pPr>
              <w:spacing w:line="400" w:lineRule="exact"/>
              <w:ind w:firstLineChars="200" w:firstLine="482"/>
              <w:rPr>
                <w:rFonts w:ascii="宋体" w:hAnsi="宋体" w:cs="方正仿宋_GB2312"/>
                <w:b/>
                <w:sz w:val="24"/>
                <w:szCs w:val="24"/>
              </w:rPr>
            </w:pPr>
            <w:r>
              <w:rPr>
                <w:rFonts w:ascii="宋体" w:hAnsi="宋体" w:cs="方正仿宋_GB2312" w:hint="eastAsia"/>
                <w:b/>
                <w:sz w:val="24"/>
                <w:szCs w:val="24"/>
              </w:rPr>
              <w:t>问题一</w:t>
            </w:r>
            <w:r w:rsidR="009E6AC0" w:rsidRPr="009E6AC0">
              <w:rPr>
                <w:rFonts w:ascii="宋体" w:hAnsi="宋体" w:cs="方正仿宋_GB2312" w:hint="eastAsia"/>
                <w:b/>
                <w:sz w:val="24"/>
                <w:szCs w:val="24"/>
              </w:rPr>
              <w:t>：</w:t>
            </w:r>
            <w:r w:rsidR="003D05BD" w:rsidRPr="003D05BD">
              <w:rPr>
                <w:rFonts w:ascii="宋体" w:hAnsi="宋体" w:cs="方正仿宋_GB2312" w:hint="eastAsia"/>
                <w:b/>
                <w:sz w:val="24"/>
                <w:szCs w:val="24"/>
              </w:rPr>
              <w:t>上半年国内市场增长近14%，超出了资本市场预期，请管理层介绍一下背后的原因？以及这一增长态势是否可以持续？</w:t>
            </w:r>
          </w:p>
          <w:p w14:paraId="62AFDC57" w14:textId="77777777" w:rsidR="003D05BD" w:rsidRPr="003D05BD" w:rsidRDefault="001E0D1F" w:rsidP="003D05BD">
            <w:pPr>
              <w:spacing w:line="400" w:lineRule="exact"/>
              <w:ind w:firstLineChars="200" w:firstLine="480"/>
              <w:rPr>
                <w:rFonts w:ascii="宋体" w:hAnsi="宋体" w:cs="方正仿宋_GB2312"/>
                <w:sz w:val="24"/>
                <w:szCs w:val="24"/>
              </w:rPr>
            </w:pPr>
            <w:r>
              <w:rPr>
                <w:rFonts w:ascii="宋体" w:hAnsi="宋体" w:cs="方正仿宋_GB2312" w:hint="eastAsia"/>
                <w:sz w:val="24"/>
                <w:szCs w:val="24"/>
              </w:rPr>
              <w:t>答</w:t>
            </w:r>
            <w:r w:rsidR="009E6AC0" w:rsidRPr="009E6AC0">
              <w:rPr>
                <w:rFonts w:ascii="宋体" w:hAnsi="宋体" w:cs="方正仿宋_GB2312" w:hint="eastAsia"/>
                <w:sz w:val="24"/>
                <w:szCs w:val="24"/>
              </w:rPr>
              <w:t>：</w:t>
            </w:r>
            <w:r w:rsidR="003D05BD" w:rsidRPr="003D05BD">
              <w:rPr>
                <w:rFonts w:ascii="宋体" w:hAnsi="宋体" w:cs="方正仿宋_GB2312" w:hint="eastAsia"/>
                <w:sz w:val="24"/>
                <w:szCs w:val="24"/>
              </w:rPr>
              <w:t>上半年国内市场低温业务持续领跑，安全柜、培养箱、离心机、自动化药房等多品类份额稳步提升，上半年表现超预期。结合在手订单、渠道节奏与行业周期判断，下半年公司具备延续稳健增长的坚实基础，保障全年双位数增长。</w:t>
            </w:r>
          </w:p>
          <w:p w14:paraId="0FA4D571" w14:textId="77777777" w:rsidR="003D05BD" w:rsidRPr="003D05BD" w:rsidRDefault="003D05BD" w:rsidP="003D05BD">
            <w:pPr>
              <w:spacing w:line="400" w:lineRule="exact"/>
              <w:ind w:firstLineChars="200" w:firstLine="480"/>
              <w:rPr>
                <w:rFonts w:ascii="宋体" w:hAnsi="宋体" w:cs="方正仿宋_GB2312"/>
                <w:sz w:val="24"/>
                <w:szCs w:val="24"/>
              </w:rPr>
            </w:pPr>
            <w:r w:rsidRPr="003D05BD">
              <w:rPr>
                <w:rFonts w:ascii="宋体" w:hAnsi="宋体" w:cs="方正仿宋_GB2312" w:hint="eastAsia"/>
                <w:sz w:val="24"/>
                <w:szCs w:val="24"/>
              </w:rPr>
              <w:t>上半年超预期的根本原因是系统能力建设进入兑现期。上半年表现是前瞻性洞察行业趋势、系统性构建短中长期发展战略的成果，三项核心能力突破支撑增长兑现：</w:t>
            </w:r>
          </w:p>
          <w:p w14:paraId="419D0FBD" w14:textId="77777777" w:rsidR="003D05BD" w:rsidRPr="003D05BD" w:rsidRDefault="003D05BD" w:rsidP="003D05BD">
            <w:pPr>
              <w:spacing w:line="400" w:lineRule="exact"/>
              <w:ind w:firstLineChars="200" w:firstLine="480"/>
              <w:rPr>
                <w:rFonts w:ascii="宋体" w:hAnsi="宋体" w:cs="方正仿宋_GB2312"/>
                <w:sz w:val="24"/>
                <w:szCs w:val="24"/>
              </w:rPr>
            </w:pPr>
            <w:r w:rsidRPr="003D05BD">
              <w:rPr>
                <w:rFonts w:ascii="宋体" w:hAnsi="宋体" w:cs="方正仿宋_GB2312" w:hint="eastAsia"/>
                <w:sz w:val="24"/>
                <w:szCs w:val="24"/>
              </w:rPr>
              <w:t>①是全域立体化渠道能力已成型。开展创新平台型合作与打包项目模式，线上深度覆盖三类核心平台，有效下沉渗透县域医疗市场，增量贡献占比达12%。渠道体系从"单一代理商"升级为"全域多元矩阵"，用户触达的广度与深度跃升。</w:t>
            </w:r>
          </w:p>
          <w:p w14:paraId="4171AEA3" w14:textId="44FA8A07" w:rsidR="003D05BD" w:rsidRPr="003D05BD" w:rsidRDefault="003D05BD" w:rsidP="003D05BD">
            <w:pPr>
              <w:spacing w:line="400" w:lineRule="exact"/>
              <w:ind w:firstLineChars="200" w:firstLine="480"/>
              <w:rPr>
                <w:rFonts w:ascii="宋体" w:hAnsi="宋体" w:cs="方正仿宋_GB2312"/>
                <w:sz w:val="24"/>
                <w:szCs w:val="24"/>
              </w:rPr>
            </w:pPr>
            <w:r w:rsidRPr="003D05BD">
              <w:rPr>
                <w:rFonts w:ascii="宋体" w:hAnsi="宋体" w:cs="方正仿宋_GB2312" w:hint="eastAsia"/>
                <w:sz w:val="24"/>
                <w:szCs w:val="24"/>
              </w:rPr>
              <w:t>②是依托</w:t>
            </w:r>
            <w:r w:rsidR="00CC56A3">
              <w:rPr>
                <w:rFonts w:ascii="宋体" w:hAnsi="宋体" w:cs="方正仿宋_GB2312" w:hint="eastAsia"/>
                <w:sz w:val="24"/>
                <w:szCs w:val="24"/>
              </w:rPr>
              <w:t>智能体平台</w:t>
            </w:r>
            <w:r w:rsidRPr="003D05BD">
              <w:rPr>
                <w:rFonts w:ascii="宋体" w:hAnsi="宋体" w:cs="方正仿宋_GB2312" w:hint="eastAsia"/>
                <w:sz w:val="24"/>
                <w:szCs w:val="24"/>
              </w:rPr>
              <w:t>贯通“商机获取—方案设计—交付—交互”全链路，场景方案体系化能力迭代升级。“商机智能体”高效精准发现商业机会、应用一年来贡献订单过亿元；“云智销策智能体”支持场景方案自主在线设计与交互，运营效率提升30%；场景交付智能体”统一全流程交付标准，交付效率提升45%，运维交互响应提速16%。标志着公司从"单一产品供应"向"综合场景方案服务商"升级，场景可复制性成为增长核心引擎。</w:t>
            </w:r>
          </w:p>
          <w:p w14:paraId="4145690C" w14:textId="77777777" w:rsidR="003D05BD" w:rsidRPr="003D05BD" w:rsidRDefault="003D05BD" w:rsidP="003D05BD">
            <w:pPr>
              <w:spacing w:line="400" w:lineRule="exact"/>
              <w:ind w:firstLineChars="200" w:firstLine="480"/>
              <w:rPr>
                <w:rFonts w:ascii="宋体" w:hAnsi="宋体" w:cs="方正仿宋_GB2312"/>
                <w:sz w:val="24"/>
                <w:szCs w:val="24"/>
              </w:rPr>
            </w:pPr>
            <w:r w:rsidRPr="003D05BD">
              <w:rPr>
                <w:rFonts w:ascii="宋体" w:hAnsi="宋体" w:cs="方正仿宋_GB2312" w:hint="eastAsia"/>
                <w:sz w:val="24"/>
                <w:szCs w:val="24"/>
              </w:rPr>
              <w:t>③是行业周期与战略布局形成共振，生物医药行业整体复苏、医院局部复苏，为低温、实验室、自动化药房等业务带来增量。公司在行业上行周期中凭借已构建的产品矩阵与渠道能力，实现市场红利的有效捕获。</w:t>
            </w:r>
          </w:p>
          <w:p w14:paraId="1EDBD64A" w14:textId="77777777" w:rsidR="003D05BD" w:rsidRPr="003D05BD" w:rsidRDefault="003D05BD" w:rsidP="003D05BD">
            <w:pPr>
              <w:spacing w:line="400" w:lineRule="exact"/>
              <w:ind w:firstLineChars="200" w:firstLine="480"/>
              <w:rPr>
                <w:rFonts w:ascii="宋体" w:hAnsi="宋体" w:cs="方正仿宋_GB2312"/>
                <w:sz w:val="24"/>
                <w:szCs w:val="24"/>
              </w:rPr>
            </w:pPr>
            <w:r w:rsidRPr="003D05BD">
              <w:rPr>
                <w:rFonts w:ascii="宋体" w:hAnsi="宋体" w:cs="方正仿宋_GB2312" w:hint="eastAsia"/>
                <w:sz w:val="24"/>
                <w:szCs w:val="24"/>
              </w:rPr>
              <w:t>凭借能力壁垒，我们有信心在下半年继续抓住结构性增长机会，实现持续增长。</w:t>
            </w:r>
          </w:p>
          <w:p w14:paraId="72B8A20E" w14:textId="77777777" w:rsidR="003D05BD" w:rsidRPr="003D05BD" w:rsidRDefault="003D05BD" w:rsidP="003D05BD">
            <w:pPr>
              <w:spacing w:line="400" w:lineRule="exact"/>
              <w:ind w:firstLineChars="200" w:firstLine="480"/>
              <w:rPr>
                <w:rFonts w:ascii="宋体" w:hAnsi="宋体" w:cs="方正仿宋_GB2312"/>
                <w:sz w:val="24"/>
                <w:szCs w:val="24"/>
              </w:rPr>
            </w:pPr>
            <w:r w:rsidRPr="003D05BD">
              <w:rPr>
                <w:rFonts w:ascii="宋体" w:hAnsi="宋体" w:cs="方正仿宋_GB2312" w:hint="eastAsia"/>
                <w:sz w:val="24"/>
                <w:szCs w:val="24"/>
              </w:rPr>
              <w:t>①我们判断用户需求端是有结构性支撑的。生物医药产业的复苏，实验室国产替代的加速，医院自动化药房的回暖等，政策红利与用户需求叠加，为下半年增长提供了结构性的支撑。</w:t>
            </w:r>
          </w:p>
          <w:p w14:paraId="1467BADD" w14:textId="302DF6BC" w:rsidR="009E6AC0" w:rsidRPr="009E6AC0" w:rsidRDefault="003D05BD" w:rsidP="003D05BD">
            <w:pPr>
              <w:spacing w:line="400" w:lineRule="exact"/>
              <w:ind w:firstLineChars="200" w:firstLine="480"/>
              <w:rPr>
                <w:rFonts w:ascii="宋体" w:hAnsi="宋体" w:cs="方正仿宋_GB2312"/>
                <w:sz w:val="24"/>
                <w:szCs w:val="24"/>
              </w:rPr>
            </w:pPr>
            <w:r w:rsidRPr="003D05BD">
              <w:rPr>
                <w:rFonts w:ascii="宋体" w:hAnsi="宋体" w:cs="方正仿宋_GB2312" w:hint="eastAsia"/>
                <w:sz w:val="24"/>
                <w:szCs w:val="24"/>
              </w:rPr>
              <w:lastRenderedPageBreak/>
              <w:t>②凭借能力体系构筑的竞争优势，公司有信心实现更大的增长潜力。上面提到的多元渠道矩阵，能够降低单一渠道波动风险，保障增长更具韧性；而场景方案的标准化能力可以实现快速复制、高效高质交付，当前在手场景方案类订单同比增长约50%，目前，线上业务布局已拓展至45家，增量约1800万元；已开发新增合作的多元化渠道30家，预计下半年实现收入增长2000万元以上，在手订单同比增长80%。上述各项预期同比增长数据合计约8000万元，预计后续将有序落地持续获取新订单。因此，我们对下半年保持高速增长充满信心。</w:t>
            </w:r>
            <w:r w:rsidR="009C0DFC" w:rsidRPr="009E6AC0">
              <w:rPr>
                <w:rFonts w:ascii="宋体" w:hAnsi="宋体" w:cs="方正仿宋_GB2312"/>
                <w:sz w:val="24"/>
                <w:szCs w:val="24"/>
              </w:rPr>
              <w:t xml:space="preserve"> </w:t>
            </w:r>
          </w:p>
          <w:p w14:paraId="6A7862B6" w14:textId="32C6744F" w:rsidR="009E6AC0" w:rsidRPr="009E6AC0" w:rsidRDefault="001E0D1F" w:rsidP="009E6AC0">
            <w:pPr>
              <w:spacing w:beforeLines="50" w:before="156" w:line="400" w:lineRule="exact"/>
              <w:ind w:firstLineChars="200" w:firstLine="482"/>
              <w:rPr>
                <w:rFonts w:ascii="宋体" w:hAnsi="宋体" w:cs="方正仿宋_GB2312"/>
                <w:b/>
                <w:sz w:val="24"/>
                <w:szCs w:val="24"/>
              </w:rPr>
            </w:pPr>
            <w:r>
              <w:rPr>
                <w:rFonts w:ascii="宋体" w:hAnsi="宋体" w:cs="方正仿宋_GB2312" w:hint="eastAsia"/>
                <w:b/>
                <w:sz w:val="24"/>
                <w:szCs w:val="24"/>
              </w:rPr>
              <w:t>问题二</w:t>
            </w:r>
            <w:r w:rsidR="009E6AC0" w:rsidRPr="009E6AC0">
              <w:rPr>
                <w:rFonts w:ascii="宋体" w:hAnsi="宋体" w:cs="方正仿宋_GB2312" w:hint="eastAsia"/>
                <w:b/>
                <w:sz w:val="24"/>
                <w:szCs w:val="24"/>
              </w:rPr>
              <w:t>：</w:t>
            </w:r>
            <w:r w:rsidR="0096280D" w:rsidRPr="0096280D">
              <w:rPr>
                <w:rFonts w:ascii="宋体" w:hAnsi="宋体" w:cs="方正仿宋_GB2312" w:hint="eastAsia"/>
                <w:b/>
                <w:sz w:val="24"/>
                <w:szCs w:val="24"/>
              </w:rPr>
              <w:t>今年上半年，公司看到国内的制药、科研、医院、疾控等这些终端市场用户的景气度有没有什么变化，公司看到了什么机会和挑战？</w:t>
            </w:r>
          </w:p>
          <w:p w14:paraId="5D5D326F" w14:textId="77777777" w:rsidR="000824A1" w:rsidRPr="000824A1" w:rsidRDefault="001E0D1F" w:rsidP="000824A1">
            <w:pPr>
              <w:spacing w:line="400" w:lineRule="exact"/>
              <w:ind w:firstLineChars="200" w:firstLine="480"/>
              <w:rPr>
                <w:rFonts w:ascii="宋体" w:hAnsi="宋体" w:cs="方正仿宋_GB2312"/>
                <w:sz w:val="24"/>
                <w:szCs w:val="24"/>
              </w:rPr>
            </w:pPr>
            <w:r>
              <w:rPr>
                <w:rFonts w:ascii="宋体" w:hAnsi="宋体" w:cs="方正仿宋_GB2312" w:hint="eastAsia"/>
                <w:sz w:val="24"/>
                <w:szCs w:val="24"/>
              </w:rPr>
              <w:t>答</w:t>
            </w:r>
            <w:r w:rsidR="009E6AC0" w:rsidRPr="009E6AC0">
              <w:rPr>
                <w:rFonts w:ascii="宋体" w:hAnsi="宋体" w:cs="方正仿宋_GB2312" w:hint="eastAsia"/>
                <w:sz w:val="24"/>
                <w:szCs w:val="24"/>
              </w:rPr>
              <w:t>：</w:t>
            </w:r>
            <w:r w:rsidR="000824A1" w:rsidRPr="000824A1">
              <w:rPr>
                <w:rFonts w:ascii="宋体" w:hAnsi="宋体" w:cs="方正仿宋_GB2312" w:hint="eastAsia"/>
                <w:sz w:val="24"/>
                <w:szCs w:val="24"/>
              </w:rPr>
              <w:t>从终端市场的整体情况来看，用户复购开始活跃，新用户增长、装机量同比提升较好，国内市场整体发展趋势积极向好，分开来看：</w:t>
            </w:r>
          </w:p>
          <w:p w14:paraId="5B64C1F6" w14:textId="77777777" w:rsidR="000824A1" w:rsidRPr="000824A1" w:rsidRDefault="000824A1" w:rsidP="000824A1">
            <w:pPr>
              <w:spacing w:line="400" w:lineRule="exact"/>
              <w:ind w:firstLineChars="200" w:firstLine="480"/>
              <w:rPr>
                <w:rFonts w:ascii="宋体" w:hAnsi="宋体" w:cs="方正仿宋_GB2312"/>
                <w:sz w:val="24"/>
                <w:szCs w:val="24"/>
              </w:rPr>
            </w:pPr>
            <w:r w:rsidRPr="000824A1">
              <w:rPr>
                <w:rFonts w:ascii="宋体" w:hAnsi="宋体" w:cs="方正仿宋_GB2312" w:hint="eastAsia"/>
                <w:sz w:val="24"/>
                <w:szCs w:val="24"/>
              </w:rPr>
              <w:t>①制药端是最景气、也是当前公司最具增长潜力的终端市场，上半年复购老用户约60%，新用户占比40%，创新药用户占比达到70%，驱动国内市场在制药端实现了高双位数增长。</w:t>
            </w:r>
          </w:p>
          <w:p w14:paraId="4371DAF3" w14:textId="77777777" w:rsidR="000824A1" w:rsidRPr="000824A1" w:rsidRDefault="000824A1" w:rsidP="000824A1">
            <w:pPr>
              <w:spacing w:line="400" w:lineRule="exact"/>
              <w:ind w:firstLineChars="200" w:firstLine="480"/>
              <w:rPr>
                <w:rFonts w:ascii="宋体" w:hAnsi="宋体" w:cs="方正仿宋_GB2312"/>
                <w:sz w:val="24"/>
                <w:szCs w:val="24"/>
              </w:rPr>
            </w:pPr>
            <w:r w:rsidRPr="000824A1">
              <w:rPr>
                <w:rFonts w:ascii="宋体" w:hAnsi="宋体" w:cs="方正仿宋_GB2312" w:hint="eastAsia"/>
                <w:sz w:val="24"/>
                <w:szCs w:val="24"/>
              </w:rPr>
              <w:t>25年以来全球创新药一级市场融资额已明显回暖，26年上半年同比增长约60%，上半年中国License-out总金额已达到25年全年的73%、2024年全年的2倍，这也为我们生命科学上游企业创造了内外双向增长的市场空间。例如刚刚提到的头部CXO企业一直是我们的战略合作用户，今年的采购订单大幅增长。国内市场同步成立了制药渠道的无边界团队，预期会在下半年从应用、技术、效率、合规等方面有进一步的快速的完善，我们会取得比上半年更好的市场效果。</w:t>
            </w:r>
          </w:p>
          <w:p w14:paraId="01E97B4A" w14:textId="77777777" w:rsidR="000824A1" w:rsidRPr="000824A1" w:rsidRDefault="000824A1" w:rsidP="000824A1">
            <w:pPr>
              <w:spacing w:line="400" w:lineRule="exact"/>
              <w:ind w:firstLineChars="200" w:firstLine="480"/>
              <w:rPr>
                <w:rFonts w:ascii="宋体" w:hAnsi="宋体" w:cs="方正仿宋_GB2312"/>
                <w:sz w:val="24"/>
                <w:szCs w:val="24"/>
              </w:rPr>
            </w:pPr>
            <w:r w:rsidRPr="000824A1">
              <w:rPr>
                <w:rFonts w:ascii="宋体" w:hAnsi="宋体" w:cs="方正仿宋_GB2312" w:hint="eastAsia"/>
                <w:sz w:val="24"/>
                <w:szCs w:val="24"/>
              </w:rPr>
              <w:t>②科研端稳步扩容。公司在国内高校、科研院所的整体覆盖率超 90%，当前用户颗粒度已细化至各高校二级学院、独立科研课题组等，通过服务深度和黏度的提升，上半年复购老用户约65%，新用户占比35%，驱动国内市场在科研端实现了双位数的增长。</w:t>
            </w:r>
          </w:p>
          <w:p w14:paraId="752B85A5" w14:textId="77777777" w:rsidR="000824A1" w:rsidRPr="000824A1" w:rsidRDefault="000824A1" w:rsidP="000824A1">
            <w:pPr>
              <w:spacing w:line="400" w:lineRule="exact"/>
              <w:ind w:firstLineChars="200" w:firstLine="480"/>
              <w:rPr>
                <w:rFonts w:ascii="宋体" w:hAnsi="宋体" w:cs="方正仿宋_GB2312"/>
                <w:sz w:val="24"/>
                <w:szCs w:val="24"/>
              </w:rPr>
            </w:pPr>
            <w:r w:rsidRPr="000824A1">
              <w:rPr>
                <w:rFonts w:ascii="宋体" w:hAnsi="宋体" w:cs="方正仿宋_GB2312" w:hint="eastAsia"/>
                <w:sz w:val="24"/>
                <w:szCs w:val="24"/>
              </w:rPr>
              <w:t>全国科研经费持续增加，叠加国产替代的趋势，用户采购量整体增长，其中头部用户机会尤其突出，如双一流重点实验室、国家/区域重点实验室、生物医药研究院等用户，前沿基</w:t>
            </w:r>
            <w:r w:rsidRPr="000824A1">
              <w:rPr>
                <w:rFonts w:ascii="宋体" w:hAnsi="宋体" w:cs="方正仿宋_GB2312" w:hint="eastAsia"/>
                <w:sz w:val="24"/>
                <w:szCs w:val="24"/>
              </w:rPr>
              <w:lastRenderedPageBreak/>
              <w:t>础课题、CGT、合成生物等专项项目，带动实验室、低温、样本管理、自动化等场景方案需求增加。但是市场竞争不再局限单一产品性能比拼，而是升级为全场景方案的体系化竞争，这方面海尔生物具有显著的先发优势，场景方案已落地广州实验室、昌平实验室、中科院微生物所、武汉病毒所、天津血研所、北京发酵研究院等头部用户，打造自动化生物样本库、前沿细胞实验一体化示范平台，我们有信心未来凭借产品迭代能力、方案定制交付能力、科工共创能力、服务增值能力等体系化优势进一步提升市占率。就公司推动科工共创的落地成效来看，截至目前，公司已有共创项目约10个，全部共创项目的整体体量接近一亿元。项目推进速度充分体现了场景方案与核心优势相结合的突出成效。</w:t>
            </w:r>
          </w:p>
          <w:p w14:paraId="21B2FAE4" w14:textId="77777777" w:rsidR="000824A1" w:rsidRPr="000824A1" w:rsidRDefault="000824A1" w:rsidP="000824A1">
            <w:pPr>
              <w:spacing w:line="400" w:lineRule="exact"/>
              <w:ind w:firstLineChars="200" w:firstLine="480"/>
              <w:rPr>
                <w:rFonts w:ascii="宋体" w:hAnsi="宋体" w:cs="方正仿宋_GB2312"/>
                <w:sz w:val="24"/>
                <w:szCs w:val="24"/>
              </w:rPr>
            </w:pPr>
            <w:r w:rsidRPr="000824A1">
              <w:rPr>
                <w:rFonts w:ascii="宋体" w:hAnsi="宋体" w:cs="方正仿宋_GB2312" w:hint="eastAsia"/>
                <w:sz w:val="24"/>
                <w:szCs w:val="24"/>
              </w:rPr>
              <w:t>③医院端出现结构性机会。医院用户的预算状况整体还处于恢复中，但是已经看到自动化药房率先回暖，我们凭借完善且有竞争力的产品组合，上半年在医院端实现了高双位数的增长。国内自动化静配中心、自动化中药房等院内自动化方案的渗透率还很低，我们认为用户需求持续复苏具有延续性。此外，针对三甲医院公司将加强一体化方案能力、长期服务能力的提升，并积极把握基层医疗“千县工程”、“医共体建设”等政策，以确保医院基本盘的稳健发展。</w:t>
            </w:r>
          </w:p>
          <w:p w14:paraId="3405DBD8" w14:textId="0E0333D2" w:rsidR="009E6AC0" w:rsidRPr="009E6AC0" w:rsidRDefault="000824A1" w:rsidP="000824A1">
            <w:pPr>
              <w:spacing w:line="400" w:lineRule="exact"/>
              <w:ind w:firstLineChars="200" w:firstLine="480"/>
              <w:rPr>
                <w:rFonts w:ascii="宋体" w:hAnsi="宋体" w:cs="方正仿宋_GB2312"/>
                <w:sz w:val="24"/>
                <w:szCs w:val="24"/>
              </w:rPr>
            </w:pPr>
            <w:r w:rsidRPr="000824A1">
              <w:rPr>
                <w:rFonts w:ascii="宋体" w:hAnsi="宋体" w:cs="方正仿宋_GB2312" w:hint="eastAsia"/>
                <w:sz w:val="24"/>
                <w:szCs w:val="24"/>
              </w:rPr>
              <w:t>此外，公司还有一小部分疾控、血站等公共卫生用户，其景气度未见明显复苏，但是公司紧抓头部用户机会，市占率进一步提升，较大程度上对冲了市场的下行</w:t>
            </w:r>
            <w:r>
              <w:rPr>
                <w:rFonts w:ascii="宋体" w:hAnsi="宋体" w:cs="方正仿宋_GB2312" w:hint="eastAsia"/>
                <w:sz w:val="24"/>
                <w:szCs w:val="24"/>
              </w:rPr>
              <w:t>。</w:t>
            </w:r>
            <w:r w:rsidR="009C0DFC" w:rsidRPr="009E6AC0">
              <w:rPr>
                <w:rFonts w:ascii="宋体" w:hAnsi="宋体" w:cs="方正仿宋_GB2312"/>
                <w:sz w:val="24"/>
                <w:szCs w:val="24"/>
              </w:rPr>
              <w:t xml:space="preserve"> </w:t>
            </w:r>
          </w:p>
          <w:p w14:paraId="5FCFB420" w14:textId="42718542" w:rsidR="009E6AC0" w:rsidRPr="009E6AC0" w:rsidRDefault="001E0D1F" w:rsidP="009E6AC0">
            <w:pPr>
              <w:spacing w:beforeLines="50" w:before="156" w:line="400" w:lineRule="exact"/>
              <w:ind w:firstLineChars="200" w:firstLine="482"/>
              <w:rPr>
                <w:rFonts w:ascii="宋体" w:hAnsi="宋体" w:cs="方正仿宋_GB2312"/>
                <w:b/>
                <w:sz w:val="24"/>
                <w:szCs w:val="24"/>
              </w:rPr>
            </w:pPr>
            <w:r>
              <w:rPr>
                <w:rFonts w:ascii="宋体" w:hAnsi="宋体" w:cs="方正仿宋_GB2312" w:hint="eastAsia"/>
                <w:b/>
                <w:sz w:val="24"/>
                <w:szCs w:val="24"/>
              </w:rPr>
              <w:t>问题三</w:t>
            </w:r>
            <w:r w:rsidR="009E6AC0" w:rsidRPr="009E6AC0">
              <w:rPr>
                <w:rFonts w:ascii="宋体" w:hAnsi="宋体" w:cs="方正仿宋_GB2312" w:hint="eastAsia"/>
                <w:b/>
                <w:sz w:val="24"/>
                <w:szCs w:val="24"/>
              </w:rPr>
              <w:t>：</w:t>
            </w:r>
            <w:r w:rsidR="00CA74AD" w:rsidRPr="00CA74AD">
              <w:rPr>
                <w:rFonts w:ascii="宋体" w:hAnsi="宋体" w:cs="方正仿宋_GB2312" w:hint="eastAsia"/>
                <w:b/>
                <w:sz w:val="24"/>
                <w:szCs w:val="24"/>
              </w:rPr>
              <w:t>公司能详细介绍一下国内市场准备如何实现在制药端的发展，包括半年报说到的向国内TOP100药企拓展？</w:t>
            </w:r>
          </w:p>
          <w:p w14:paraId="065851E1" w14:textId="77777777" w:rsidR="001A1065" w:rsidRPr="001A1065" w:rsidRDefault="001E0D1F" w:rsidP="001A1065">
            <w:pPr>
              <w:spacing w:line="400" w:lineRule="exact"/>
              <w:ind w:firstLineChars="200" w:firstLine="480"/>
              <w:rPr>
                <w:rFonts w:ascii="宋体" w:hAnsi="宋体" w:cs="方正仿宋_GB2312"/>
                <w:sz w:val="24"/>
                <w:szCs w:val="24"/>
              </w:rPr>
            </w:pPr>
            <w:r>
              <w:rPr>
                <w:rFonts w:ascii="宋体" w:hAnsi="宋体" w:cs="方正仿宋_GB2312" w:hint="eastAsia"/>
                <w:sz w:val="24"/>
                <w:szCs w:val="24"/>
              </w:rPr>
              <w:t>答</w:t>
            </w:r>
            <w:r w:rsidR="009E6AC0" w:rsidRPr="009E6AC0">
              <w:rPr>
                <w:rFonts w:ascii="宋体" w:hAnsi="宋体" w:cs="方正仿宋_GB2312" w:hint="eastAsia"/>
                <w:sz w:val="24"/>
                <w:szCs w:val="24"/>
              </w:rPr>
              <w:t>：</w:t>
            </w:r>
            <w:r w:rsidR="001A1065" w:rsidRPr="001A1065">
              <w:rPr>
                <w:rFonts w:ascii="宋体" w:hAnsi="宋体" w:cs="方正仿宋_GB2312" w:hint="eastAsia"/>
                <w:sz w:val="24"/>
                <w:szCs w:val="24"/>
              </w:rPr>
              <w:t>针对国内市场的业务发展，下一步我们将从两个方向推进后续业务拓展。整体而言，我们将延续上半年增长势头，确保全年增长不低于20%：</w:t>
            </w:r>
          </w:p>
          <w:p w14:paraId="0549DFB6" w14:textId="4DBE4F4D" w:rsidR="001A1065" w:rsidRPr="001A1065" w:rsidRDefault="001A1065" w:rsidP="001A1065">
            <w:pPr>
              <w:spacing w:line="400" w:lineRule="exact"/>
              <w:ind w:firstLineChars="200" w:firstLine="480"/>
              <w:rPr>
                <w:rFonts w:ascii="宋体" w:hAnsi="宋体" w:cs="方正仿宋_GB2312"/>
                <w:sz w:val="24"/>
                <w:szCs w:val="24"/>
              </w:rPr>
            </w:pPr>
            <w:r w:rsidRPr="001A1065">
              <w:rPr>
                <w:rFonts w:ascii="宋体" w:hAnsi="宋体" w:cs="方正仿宋_GB2312" w:hint="eastAsia"/>
                <w:sz w:val="24"/>
                <w:szCs w:val="24"/>
              </w:rPr>
              <w:t>一方面，重点聚焦药企的新建机遇，提升机会获取与执行能力</w:t>
            </w:r>
            <w:r w:rsidR="0077008D">
              <w:rPr>
                <w:rFonts w:ascii="宋体" w:hAnsi="宋体" w:cs="方正仿宋_GB2312" w:hint="eastAsia"/>
                <w:sz w:val="24"/>
                <w:szCs w:val="24"/>
              </w:rPr>
              <w:t>。</w:t>
            </w:r>
          </w:p>
          <w:p w14:paraId="7E17FAB7" w14:textId="77777777" w:rsidR="001A1065" w:rsidRPr="001A1065" w:rsidRDefault="001A1065" w:rsidP="001A1065">
            <w:pPr>
              <w:spacing w:line="400" w:lineRule="exact"/>
              <w:ind w:firstLineChars="200" w:firstLine="480"/>
              <w:rPr>
                <w:rFonts w:ascii="宋体" w:hAnsi="宋体" w:cs="方正仿宋_GB2312"/>
                <w:sz w:val="24"/>
                <w:szCs w:val="24"/>
              </w:rPr>
            </w:pPr>
            <w:r w:rsidRPr="001A1065">
              <w:rPr>
                <w:rFonts w:ascii="宋体" w:hAnsi="宋体" w:cs="方正仿宋_GB2312" w:hint="eastAsia"/>
                <w:sz w:val="24"/>
                <w:szCs w:val="24"/>
              </w:rPr>
              <w:t>药企用户准入门槛是最高的，当前的市场成果得益于前几年在行业低迷时，公司沉下心扎根用户、直面需求、做好服务，才能在行业上行周期时把握用户研发和生产需求新建的机遇。接下来，我们要加强三项能力建设：</w:t>
            </w:r>
          </w:p>
          <w:p w14:paraId="78FA481F" w14:textId="77777777" w:rsidR="001A1065" w:rsidRPr="001A1065" w:rsidRDefault="001A1065" w:rsidP="001A1065">
            <w:pPr>
              <w:spacing w:line="400" w:lineRule="exact"/>
              <w:ind w:firstLineChars="200" w:firstLine="480"/>
              <w:rPr>
                <w:rFonts w:ascii="宋体" w:hAnsi="宋体" w:cs="方正仿宋_GB2312"/>
                <w:sz w:val="24"/>
                <w:szCs w:val="24"/>
              </w:rPr>
            </w:pPr>
            <w:r w:rsidRPr="001A1065">
              <w:rPr>
                <w:rFonts w:ascii="宋体" w:hAnsi="宋体" w:cs="方正仿宋_GB2312" w:hint="eastAsia"/>
                <w:sz w:val="24"/>
                <w:szCs w:val="24"/>
              </w:rPr>
              <w:lastRenderedPageBreak/>
              <w:t>①药工共创能力：制药用户验证标准是高于国标的，对精度、性能、稳定性要求极高，“一个标准化产品适用于所有用户”的模式行不通。海尔生物凭借强大的模块化研发设计、一流的精益化制造质控能力，根据用户的需求大规模定制，如刚刚所说的头部CXO用户，我们可以6个月响应用户的定制产品需求，配合用户完成DQ设计确认，确保产品完全满足用户定制需求，加速药企的研发与生产落地，为合作伙伴实现更大的经济价值。随着后续合作药企的增多，我们要同步提升与之匹配的产品共创能力，更快的满足用户需求。</w:t>
            </w:r>
          </w:p>
          <w:p w14:paraId="34ADC107" w14:textId="77777777" w:rsidR="001A1065" w:rsidRPr="001A1065" w:rsidRDefault="001A1065" w:rsidP="001A1065">
            <w:pPr>
              <w:spacing w:line="400" w:lineRule="exact"/>
              <w:ind w:firstLineChars="200" w:firstLine="480"/>
              <w:rPr>
                <w:rFonts w:ascii="宋体" w:hAnsi="宋体" w:cs="方正仿宋_GB2312"/>
                <w:sz w:val="24"/>
                <w:szCs w:val="24"/>
              </w:rPr>
            </w:pPr>
            <w:r w:rsidRPr="001A1065">
              <w:rPr>
                <w:rFonts w:ascii="宋体" w:hAnsi="宋体" w:cs="方正仿宋_GB2312" w:hint="eastAsia"/>
                <w:sz w:val="24"/>
                <w:szCs w:val="24"/>
              </w:rPr>
              <w:t>②持续服务能力：我统计了一下，光是超低温保存箱在制药行业已经累计10万台，经过多年的用户体验沉淀和验证，已建立了制药用户铁三角组织，可提供设备全生命周期服务，目前全国29省均具备3Q验证服务能力，可以实现2小时验证服务响应，同时计量校准等定制化服务也已经开展起来。接下来，公司要继续扩大用户持续服务的广度，进一步丰富持续服务内容，为用户持续创造价值。</w:t>
            </w:r>
          </w:p>
          <w:p w14:paraId="08D2F573" w14:textId="77777777" w:rsidR="001A1065" w:rsidRPr="001A1065" w:rsidRDefault="001A1065" w:rsidP="001A1065">
            <w:pPr>
              <w:spacing w:line="400" w:lineRule="exact"/>
              <w:ind w:firstLineChars="200" w:firstLine="480"/>
              <w:rPr>
                <w:rFonts w:ascii="宋体" w:hAnsi="宋体" w:cs="方正仿宋_GB2312"/>
                <w:sz w:val="24"/>
                <w:szCs w:val="24"/>
              </w:rPr>
            </w:pPr>
            <w:r w:rsidRPr="001A1065">
              <w:rPr>
                <w:rFonts w:ascii="宋体" w:hAnsi="宋体" w:cs="方正仿宋_GB2312" w:hint="eastAsia"/>
                <w:sz w:val="24"/>
                <w:szCs w:val="24"/>
              </w:rPr>
              <w:t>③拓展头部用户合作，丰富多元化渠道覆盖：我们将首先锚定制药TOP100制药用户，建立总对总战略合作体系，基于上面提到的药工共创能力开展深度合作，目前已经达成20余家战略合作落地。同时，我们也打通了TO B用户线上阳光采购渠道，赋能渠道加速覆盖服务制药用户。</w:t>
            </w:r>
          </w:p>
          <w:p w14:paraId="201EF055" w14:textId="18F5208E" w:rsidR="001A1065" w:rsidRPr="001A1065" w:rsidRDefault="001A1065" w:rsidP="001A1065">
            <w:pPr>
              <w:spacing w:line="400" w:lineRule="exact"/>
              <w:ind w:firstLineChars="200" w:firstLine="480"/>
              <w:rPr>
                <w:rFonts w:ascii="宋体" w:hAnsi="宋体" w:cs="方正仿宋_GB2312"/>
                <w:sz w:val="24"/>
                <w:szCs w:val="24"/>
              </w:rPr>
            </w:pPr>
            <w:r w:rsidRPr="001A1065">
              <w:rPr>
                <w:rFonts w:ascii="宋体" w:hAnsi="宋体" w:cs="方正仿宋_GB2312" w:hint="eastAsia"/>
                <w:sz w:val="24"/>
                <w:szCs w:val="24"/>
              </w:rPr>
              <w:t>另一方面，锚定细胞治疗等创新疗法的市场机会</w:t>
            </w:r>
            <w:r w:rsidR="0077008D">
              <w:rPr>
                <w:rFonts w:ascii="宋体" w:hAnsi="宋体" w:cs="方正仿宋_GB2312" w:hint="eastAsia"/>
                <w:sz w:val="24"/>
                <w:szCs w:val="24"/>
              </w:rPr>
              <w:t>。</w:t>
            </w:r>
          </w:p>
          <w:p w14:paraId="4AAF70BB" w14:textId="5DF69F27" w:rsidR="009E6AC0" w:rsidRPr="009E6AC0" w:rsidRDefault="001A1065" w:rsidP="001A1065">
            <w:pPr>
              <w:spacing w:line="400" w:lineRule="exact"/>
              <w:ind w:firstLineChars="200" w:firstLine="480"/>
              <w:rPr>
                <w:rFonts w:ascii="宋体" w:hAnsi="宋体" w:cs="方正仿宋_GB2312"/>
                <w:sz w:val="24"/>
                <w:szCs w:val="24"/>
              </w:rPr>
            </w:pPr>
            <w:r w:rsidRPr="001A1065">
              <w:rPr>
                <w:rFonts w:ascii="宋体" w:hAnsi="宋体" w:cs="方正仿宋_GB2312" w:hint="eastAsia"/>
                <w:sz w:val="24"/>
                <w:szCs w:val="24"/>
              </w:rPr>
              <w:t>前面提到了，公司可以提供包括温控合规、细胞培养等越来越综合的制药工业解决方案。未来，随着818和828号令为前沿技术转化开辟了合法通道，我们将不断完善公司制药场景方案，全力抢占双轨制下的市场先机。</w:t>
            </w:r>
            <w:r w:rsidR="009C0DFC" w:rsidRPr="009E6AC0">
              <w:rPr>
                <w:rFonts w:ascii="宋体" w:hAnsi="宋体" w:cs="方正仿宋_GB2312"/>
                <w:sz w:val="24"/>
                <w:szCs w:val="24"/>
              </w:rPr>
              <w:t xml:space="preserve"> </w:t>
            </w:r>
          </w:p>
          <w:p w14:paraId="47849518" w14:textId="59E6E9A5" w:rsidR="009E6AC0" w:rsidRPr="009E6AC0" w:rsidRDefault="001E0D1F" w:rsidP="009E6AC0">
            <w:pPr>
              <w:spacing w:beforeLines="50" w:before="156" w:line="400" w:lineRule="exact"/>
              <w:ind w:firstLineChars="200" w:firstLine="482"/>
              <w:rPr>
                <w:rFonts w:ascii="宋体" w:hAnsi="宋体" w:cs="方正仿宋_GB2312"/>
                <w:sz w:val="24"/>
                <w:szCs w:val="24"/>
              </w:rPr>
            </w:pPr>
            <w:r>
              <w:rPr>
                <w:rFonts w:ascii="宋体" w:hAnsi="宋体" w:cs="方正仿宋_GB2312" w:hint="eastAsia"/>
                <w:b/>
                <w:sz w:val="24"/>
                <w:szCs w:val="24"/>
              </w:rPr>
              <w:t>问题四</w:t>
            </w:r>
            <w:r w:rsidR="009E6AC0" w:rsidRPr="009E6AC0">
              <w:rPr>
                <w:rFonts w:ascii="宋体" w:hAnsi="宋体" w:cs="方正仿宋_GB2312" w:hint="eastAsia"/>
                <w:b/>
                <w:sz w:val="24"/>
                <w:szCs w:val="24"/>
              </w:rPr>
              <w:t>：</w:t>
            </w:r>
            <w:r w:rsidR="00F76C5E" w:rsidRPr="00F76C5E">
              <w:rPr>
                <w:rFonts w:ascii="宋体" w:hAnsi="宋体" w:cs="方正仿宋_GB2312" w:hint="eastAsia"/>
                <w:b/>
                <w:sz w:val="24"/>
                <w:szCs w:val="24"/>
              </w:rPr>
              <w:t>除了欧洲有自动化药房的节奏影响外，我们看到上半年公司海外各区域增长整体都还不错，请问公司如何看待海外不同区域和国家的增长前景？</w:t>
            </w:r>
          </w:p>
          <w:p w14:paraId="6A23B5AB" w14:textId="77777777" w:rsidR="00F76C5E" w:rsidRPr="00F76C5E" w:rsidRDefault="001E0D1F" w:rsidP="00F76C5E">
            <w:pPr>
              <w:spacing w:line="400" w:lineRule="exact"/>
              <w:ind w:firstLineChars="200" w:firstLine="480"/>
              <w:rPr>
                <w:rFonts w:ascii="宋体" w:hAnsi="宋体" w:cs="方正仿宋_GB2312"/>
                <w:sz w:val="24"/>
                <w:szCs w:val="24"/>
              </w:rPr>
            </w:pPr>
            <w:r>
              <w:rPr>
                <w:rFonts w:ascii="宋体" w:hAnsi="宋体" w:cs="方正仿宋_GB2312" w:hint="eastAsia"/>
                <w:sz w:val="24"/>
                <w:szCs w:val="24"/>
              </w:rPr>
              <w:t>答</w:t>
            </w:r>
            <w:r w:rsidR="009E6AC0" w:rsidRPr="009E6AC0">
              <w:rPr>
                <w:rFonts w:ascii="宋体" w:hAnsi="宋体" w:cs="方正仿宋_GB2312" w:hint="eastAsia"/>
                <w:sz w:val="24"/>
                <w:szCs w:val="24"/>
              </w:rPr>
              <w:t>：</w:t>
            </w:r>
            <w:r w:rsidR="00F76C5E" w:rsidRPr="00F76C5E">
              <w:rPr>
                <w:rFonts w:ascii="宋体" w:hAnsi="宋体" w:cs="方正仿宋_GB2312" w:hint="eastAsia"/>
                <w:sz w:val="24"/>
                <w:szCs w:val="24"/>
              </w:rPr>
              <w:t>概括来说，在海外主流市场，公司将继续保持高增长；在其他市场，公司有能力把握市场机遇、形成增长弹性。</w:t>
            </w:r>
          </w:p>
          <w:p w14:paraId="76FD4393"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（1）结论：首先看占全球约2/3市场规模的欧、美主流市场，作为公司海外业务的基本盘，上半年实现了17%的同比增长。下半年的增速预期会优于上半年，并且高于整体的平均</w:t>
            </w:r>
            <w:r w:rsidRPr="00F76C5E">
              <w:rPr>
                <w:rFonts w:ascii="宋体" w:hAnsi="宋体" w:cs="方正仿宋_GB2312" w:hint="eastAsia"/>
                <w:sz w:val="24"/>
                <w:szCs w:val="24"/>
              </w:rPr>
              <w:lastRenderedPageBreak/>
              <w:t>增速。主要因为公司在地化能力持续验证，构建了“新用户×新市场×新产品”的增长飞轮。</w:t>
            </w:r>
          </w:p>
          <w:p w14:paraId="6D16522A"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用户：当前最显著的市场机遇，莫过于生物医药的转产和拓产等新建机遇，会为海尔生物进入头部药企提供了战略窗口期。上半年，全球Top25的药企我们覆盖约一半，在瑞士、德国、意大利、丹麦等市场持续发力，带动海外制药用户群实现了高双位数增长。同时在东南亚我们上半年和全球头部药企签订了近3000万的方案合同，后续还会有多个采购Lot放出来，整体项目有近8000万到1亿的采购额会在3年内逐步交付转化。类似新建药厂全球还有超过20个在筹备和进行中。我们非常有信心在这一波新建浪潮中抓住机会。</w:t>
            </w:r>
          </w:p>
          <w:p w14:paraId="0C5B0787"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产品：上半年海外市场新品上市31款：低温产业上半年保持了双位数增长；实验室产业作为空间数倍于低温的新赛道：离心纯化、生物培养等新品类翻番增长，5月份公司被欧睿国际认证为“生命科学实验室设备中国自主品牌海外销售额第一”；同时海外积极布局耗材等经常性业务，血浆分离设备和耗材继年初获得MDR认证后，正与全球头部血制品公司建立合作机制，制定区域性验证方案，年内有望突破。尽管当前整体业务已实现高增长，但增长空间仍十分广阔，我们有信心持续拉动整体业务增长。</w:t>
            </w:r>
          </w:p>
          <w:p w14:paraId="1B3C79AC"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市场：公司将加速对主流市场的当地化销售、营销、服务等能力的建设投入，并推进合作模式创新。上半年公司与全球头部高端品牌商达成战略生态合作，是另一个亿级的新增量，下半年北美市场将增长提速，并提前锁定未来多年高速增长。</w:t>
            </w:r>
          </w:p>
          <w:p w14:paraId="7A1474BA"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以上都为在主流市场的持续增长注入了确定性。</w:t>
            </w:r>
          </w:p>
          <w:p w14:paraId="7E72F8DC" w14:textId="7DCEFB14" w:rsidR="009E6AC0" w:rsidRPr="009E6AC0"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2）主流市场之外，其他市场也正涌现出充沛的区域性机会，诸如医疗新基建等。上半年公司亚太&amp;中东区域增长17%，非洲区稳健增长12%。尤其在自动化等深入用户工作流程的业务上，自动化药房、自动化样本库、自动化血站已在中亚、东南亚、拉美、中东非等完成众多样板建设。同时，接下来公司会在多个区域，与区域合作伙伴一起在中东、拉美、亚太等新兴经济体建设区域战略供应链中心，服务中心，品牌中心强化对市场需求的敏捷洞察和高效响应能力，加快增长红利的兑现。</w:t>
            </w:r>
            <w:r w:rsidR="009C0DFC" w:rsidRPr="009E6AC0">
              <w:rPr>
                <w:rFonts w:ascii="宋体" w:hAnsi="宋体" w:cs="方正仿宋_GB2312"/>
                <w:sz w:val="24"/>
                <w:szCs w:val="24"/>
              </w:rPr>
              <w:t xml:space="preserve"> </w:t>
            </w:r>
          </w:p>
          <w:p w14:paraId="1BC2148C" w14:textId="56B8FBA5" w:rsidR="009E6AC0" w:rsidRPr="009E6AC0" w:rsidRDefault="001E0D1F" w:rsidP="009E6AC0">
            <w:pPr>
              <w:spacing w:beforeLines="50" w:before="156" w:line="400" w:lineRule="exact"/>
              <w:ind w:firstLineChars="200" w:firstLine="482"/>
              <w:rPr>
                <w:rFonts w:ascii="宋体" w:hAnsi="宋体" w:cs="方正仿宋_GB2312"/>
                <w:b/>
                <w:sz w:val="24"/>
                <w:szCs w:val="24"/>
              </w:rPr>
            </w:pPr>
            <w:r>
              <w:rPr>
                <w:rFonts w:ascii="宋体" w:hAnsi="宋体" w:cs="方正仿宋_GB2312" w:hint="eastAsia"/>
                <w:b/>
                <w:sz w:val="24"/>
                <w:szCs w:val="24"/>
              </w:rPr>
              <w:lastRenderedPageBreak/>
              <w:t>问题五</w:t>
            </w:r>
            <w:r w:rsidR="009E6AC0" w:rsidRPr="009E6AC0">
              <w:rPr>
                <w:rFonts w:ascii="宋体" w:hAnsi="宋体" w:cs="方正仿宋_GB2312" w:hint="eastAsia"/>
                <w:b/>
                <w:sz w:val="24"/>
                <w:szCs w:val="24"/>
              </w:rPr>
              <w:t>：</w:t>
            </w:r>
            <w:r w:rsidR="00F76C5E" w:rsidRPr="00F76C5E">
              <w:rPr>
                <w:rFonts w:ascii="宋体" w:hAnsi="宋体" w:cs="方正仿宋_GB2312" w:hint="eastAsia"/>
                <w:b/>
                <w:sz w:val="24"/>
                <w:szCs w:val="24"/>
              </w:rPr>
              <w:t>公司半年报中说欧洲自动化药房业务的节奏影响了上半年增速，也说了海外是全年公司增长提速的重要来源，那么全年来看海外业务是什么增长预期？</w:t>
            </w:r>
          </w:p>
          <w:p w14:paraId="11FCD43E" w14:textId="77777777" w:rsidR="00F76C5E" w:rsidRPr="00F76C5E" w:rsidRDefault="001E0D1F" w:rsidP="00F76C5E">
            <w:pPr>
              <w:spacing w:line="400" w:lineRule="exact"/>
              <w:ind w:firstLineChars="200" w:firstLine="480"/>
              <w:rPr>
                <w:rFonts w:ascii="宋体" w:hAnsi="宋体" w:cs="方正仿宋_GB2312"/>
                <w:sz w:val="24"/>
                <w:szCs w:val="24"/>
              </w:rPr>
            </w:pPr>
            <w:r>
              <w:rPr>
                <w:rFonts w:ascii="宋体" w:hAnsi="宋体" w:cs="方正仿宋_GB2312" w:hint="eastAsia"/>
                <w:sz w:val="24"/>
                <w:szCs w:val="24"/>
              </w:rPr>
              <w:t>答</w:t>
            </w:r>
            <w:r w:rsidR="009E6AC0" w:rsidRPr="009E6AC0">
              <w:rPr>
                <w:rFonts w:ascii="宋体" w:hAnsi="宋体" w:cs="方正仿宋_GB2312" w:hint="eastAsia"/>
                <w:sz w:val="24"/>
                <w:szCs w:val="24"/>
              </w:rPr>
              <w:t>：</w:t>
            </w:r>
            <w:r w:rsidR="00F76C5E" w:rsidRPr="00F76C5E">
              <w:rPr>
                <w:rFonts w:ascii="宋体" w:hAnsi="宋体" w:cs="方正仿宋_GB2312" w:hint="eastAsia"/>
                <w:sz w:val="24"/>
                <w:szCs w:val="24"/>
              </w:rPr>
              <w:t>先说结论，今年海外全年双位数增长是非常有保障的，而且从全年来看有望首次海外突破10亿。</w:t>
            </w:r>
          </w:p>
          <w:p w14:paraId="2B66F81C"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欧洲自动化药房业务只是季度性的影响了同期基数，当前其二期项目的首个订单海尔生物已经中标，后续还会有多个订单继续释放。</w:t>
            </w:r>
          </w:p>
          <w:p w14:paraId="072F797D" w14:textId="28491CBF" w:rsidR="009E6AC0" w:rsidRPr="009E6AC0"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下半年海外市场增速将在北美大规模定制业务开展、自动化药房订单转化、意大利和德国在地化公司启动运营、多个海外供应链中心/服务中心/战略品牌中心落地等多重驱动力共同作用下大大加快。</w:t>
            </w:r>
          </w:p>
          <w:p w14:paraId="4354696E" w14:textId="6A6B995C" w:rsidR="009E6AC0" w:rsidRPr="009E6AC0" w:rsidRDefault="001E0D1F" w:rsidP="009E6AC0">
            <w:pPr>
              <w:spacing w:beforeLines="50" w:before="156" w:line="400" w:lineRule="exact"/>
              <w:ind w:firstLineChars="200" w:firstLine="482"/>
              <w:rPr>
                <w:rFonts w:ascii="宋体" w:hAnsi="宋体"/>
                <w:sz w:val="24"/>
                <w:szCs w:val="24"/>
              </w:rPr>
            </w:pPr>
            <w:r>
              <w:rPr>
                <w:rFonts w:ascii="宋体" w:hAnsi="宋体" w:cs="方正仿宋_GB2312" w:hint="eastAsia"/>
                <w:b/>
                <w:sz w:val="24"/>
                <w:szCs w:val="24"/>
              </w:rPr>
              <w:t>问题六</w:t>
            </w:r>
            <w:r w:rsidR="009E6AC0" w:rsidRPr="009E6AC0">
              <w:rPr>
                <w:rFonts w:ascii="宋体" w:hAnsi="宋体" w:cs="方正仿宋_GB2312" w:hint="eastAsia"/>
                <w:b/>
                <w:sz w:val="24"/>
                <w:szCs w:val="24"/>
              </w:rPr>
              <w:t>：</w:t>
            </w:r>
            <w:r w:rsidR="00F76C5E" w:rsidRPr="00F76C5E">
              <w:rPr>
                <w:rFonts w:ascii="宋体" w:hAnsi="宋体" w:cs="方正仿宋_GB2312" w:hint="eastAsia"/>
                <w:b/>
                <w:sz w:val="24"/>
                <w:szCs w:val="24"/>
              </w:rPr>
              <w:t>我对制药终端市场比较感兴趣，公司也披露了在英国、新加坡等多个国家的药企用户都推进的很好，请问管理层怎么展望在海外制药用户的进一步发展呢？</w:t>
            </w:r>
          </w:p>
          <w:p w14:paraId="4F3323E8" w14:textId="77777777" w:rsidR="00F76C5E" w:rsidRPr="00F76C5E" w:rsidRDefault="001E0D1F" w:rsidP="00F76C5E">
            <w:pPr>
              <w:spacing w:line="400" w:lineRule="exact"/>
              <w:ind w:firstLineChars="200" w:firstLine="480"/>
              <w:rPr>
                <w:rFonts w:ascii="宋体" w:hAnsi="宋体" w:cs="方正仿宋_GB2312"/>
                <w:sz w:val="24"/>
                <w:szCs w:val="24"/>
              </w:rPr>
            </w:pPr>
            <w:r>
              <w:rPr>
                <w:rFonts w:ascii="宋体" w:hAnsi="宋体" w:cs="方正仿宋_GB2312" w:hint="eastAsia"/>
                <w:sz w:val="24"/>
                <w:szCs w:val="24"/>
              </w:rPr>
              <w:t>答</w:t>
            </w:r>
            <w:r w:rsidR="009E6AC0" w:rsidRPr="009E6AC0">
              <w:rPr>
                <w:rFonts w:ascii="宋体" w:hAnsi="宋体" w:cs="方正仿宋_GB2312" w:hint="eastAsia"/>
                <w:sz w:val="24"/>
                <w:szCs w:val="24"/>
              </w:rPr>
              <w:t>：</w:t>
            </w:r>
            <w:r w:rsidR="00F76C5E" w:rsidRPr="00F76C5E">
              <w:rPr>
                <w:rFonts w:ascii="宋体" w:hAnsi="宋体" w:cs="方正仿宋_GB2312" w:hint="eastAsia"/>
                <w:sz w:val="24"/>
                <w:szCs w:val="24"/>
              </w:rPr>
              <w:t>正如前面提到的，制药终端市场是海外战略布局极其重要的构成，该用户群体的整体增速有望提升至30%以上，若要达成这一目标，我们仍需持续推进相关业务调整，简单来说是要做到2个“坚定”：</w:t>
            </w:r>
          </w:p>
          <w:p w14:paraId="77F5580A"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①坚定产品创新，做差异化的价值共创方</w:t>
            </w:r>
          </w:p>
          <w:p w14:paraId="1A3F72E4"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历经多年发展，公司产品海外已经形成了差异化优势，尤其是优势低温产品，在绿色和智能方面处于引领地位。</w:t>
            </w:r>
          </w:p>
          <w:p w14:paraId="0F276707"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绿色方面，我们首创Eco-driver超绿技术能效较行业最高水平提升80%，产品包揽美国“能源之星”排行榜前八，我们会在冻存、冻融等场景方案上持续延展，做制药用户可持续发展的价值伙伴。</w:t>
            </w:r>
          </w:p>
          <w:p w14:paraId="75A834FB"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智能方面，公司更是凭借自动化、数字化的方案优势在手订单千万级并持续放量，后续我们会加快自动化在冻存、QC等场景的应用，以过程数据的贯通，成为制药用户未来新基建升级的可靠底座。</w:t>
            </w:r>
          </w:p>
          <w:p w14:paraId="51057F4A"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②坚定场景创新，进入生物制药用户核心工艺</w:t>
            </w:r>
          </w:p>
          <w:p w14:paraId="6B70A47C" w14:textId="5AF10855" w:rsidR="009E6AC0" w:rsidRPr="009E6AC0"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场景定制能力和数智化升级能力一直是海尔生物的核心竞争力，已经在原液冻存、冻融、纯化、研发、QC等核心场景验证。未来将继续做场景创新，成为客户信任的生态战略伙</w:t>
            </w:r>
            <w:r w:rsidRPr="00F76C5E">
              <w:rPr>
                <w:rFonts w:ascii="宋体" w:hAnsi="宋体" w:cs="方正仿宋_GB2312" w:hint="eastAsia"/>
                <w:sz w:val="24"/>
                <w:szCs w:val="24"/>
              </w:rPr>
              <w:lastRenderedPageBreak/>
              <w:t>伴，提升单用户价值。</w:t>
            </w:r>
            <w:r w:rsidR="009C0DFC" w:rsidRPr="009E6AC0">
              <w:rPr>
                <w:rFonts w:ascii="宋体" w:hAnsi="宋体" w:cs="方正仿宋_GB2312"/>
                <w:sz w:val="24"/>
                <w:szCs w:val="24"/>
              </w:rPr>
              <w:t xml:space="preserve"> </w:t>
            </w:r>
          </w:p>
          <w:p w14:paraId="5B630971" w14:textId="7F40711B" w:rsidR="009E6AC0" w:rsidRPr="009E6AC0" w:rsidRDefault="001E0D1F" w:rsidP="009E6AC0">
            <w:pPr>
              <w:spacing w:beforeLines="50" w:before="156" w:line="400" w:lineRule="exact"/>
              <w:ind w:firstLineChars="200" w:firstLine="482"/>
              <w:rPr>
                <w:rFonts w:ascii="宋体" w:hAnsi="宋体"/>
                <w:sz w:val="24"/>
                <w:szCs w:val="24"/>
              </w:rPr>
            </w:pPr>
            <w:r>
              <w:rPr>
                <w:rFonts w:ascii="宋体" w:hAnsi="宋体" w:cs="方正仿宋_GB2312" w:hint="eastAsia"/>
                <w:b/>
                <w:sz w:val="24"/>
                <w:szCs w:val="24"/>
              </w:rPr>
              <w:t>问题七</w:t>
            </w:r>
            <w:r w:rsidR="009E6AC0" w:rsidRPr="009E6AC0">
              <w:rPr>
                <w:rFonts w:ascii="宋体" w:hAnsi="宋体" w:cs="方正仿宋_GB2312" w:hint="eastAsia"/>
                <w:b/>
                <w:sz w:val="24"/>
                <w:szCs w:val="24"/>
              </w:rPr>
              <w:t>：</w:t>
            </w:r>
            <w:r w:rsidR="00F76C5E" w:rsidRPr="00F76C5E">
              <w:rPr>
                <w:rFonts w:ascii="宋体" w:hAnsi="宋体" w:cs="方正仿宋_GB2312" w:hint="eastAsia"/>
                <w:b/>
                <w:sz w:val="24"/>
                <w:szCs w:val="24"/>
              </w:rPr>
              <w:t>很高兴看到公司实验室解决方案产业增长提速，公司介绍说得益于分析仪器的放量和出海，请管理层再深入介绍一下</w:t>
            </w:r>
            <w:r w:rsidR="009E6AC0" w:rsidRPr="009E6AC0">
              <w:rPr>
                <w:rFonts w:ascii="宋体" w:hAnsi="宋体" w:cs="方正仿宋_GB2312" w:hint="eastAsia"/>
                <w:b/>
                <w:sz w:val="24"/>
                <w:szCs w:val="24"/>
              </w:rPr>
              <w:t>？</w:t>
            </w:r>
          </w:p>
          <w:p w14:paraId="40842A6B" w14:textId="77777777" w:rsidR="00F76C5E" w:rsidRPr="00F76C5E" w:rsidRDefault="001E0D1F" w:rsidP="00F76C5E">
            <w:pPr>
              <w:spacing w:line="400" w:lineRule="exact"/>
              <w:ind w:firstLineChars="200" w:firstLine="480"/>
              <w:rPr>
                <w:rFonts w:ascii="宋体" w:hAnsi="宋体" w:cs="方正仿宋_GB2312"/>
                <w:sz w:val="24"/>
                <w:szCs w:val="24"/>
              </w:rPr>
            </w:pPr>
            <w:r>
              <w:rPr>
                <w:rFonts w:ascii="宋体" w:hAnsi="宋体" w:cs="方正仿宋_GB2312" w:hint="eastAsia"/>
                <w:sz w:val="24"/>
                <w:szCs w:val="24"/>
              </w:rPr>
              <w:t>答</w:t>
            </w:r>
            <w:r w:rsidR="009E6AC0" w:rsidRPr="009E6AC0">
              <w:rPr>
                <w:rFonts w:ascii="宋体" w:hAnsi="宋体" w:cs="方正仿宋_GB2312" w:hint="eastAsia"/>
                <w:sz w:val="24"/>
                <w:szCs w:val="24"/>
              </w:rPr>
              <w:t>：</w:t>
            </w:r>
            <w:r w:rsidR="009C0DFC" w:rsidRPr="009E6AC0">
              <w:rPr>
                <w:rFonts w:ascii="宋体" w:hAnsi="宋体" w:cs="方正仿宋_GB2312"/>
                <w:sz w:val="24"/>
                <w:szCs w:val="24"/>
              </w:rPr>
              <w:t xml:space="preserve"> </w:t>
            </w:r>
            <w:r w:rsidR="00F76C5E" w:rsidRPr="00F76C5E">
              <w:rPr>
                <w:rFonts w:ascii="宋体" w:hAnsi="宋体" w:cs="方正仿宋_GB2312" w:hint="eastAsia"/>
                <w:sz w:val="24"/>
                <w:szCs w:val="24"/>
              </w:rPr>
              <w:t>上半年实验室解决方案产业19%的同比增速，整体超公司前期经营预期，二季度收入同比大幅提速、环比较一季度改善。全年来看本产业的增速将会突破20%，出海扩张、分析仪器放量是两大增长动力，具备长期可持续性。接下来就这两点和各位分享一下：</w:t>
            </w:r>
          </w:p>
          <w:p w14:paraId="295C2F47"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首先是分析仪器，我们认为，国产替代持续抢占外资份额，放量仅处于起步阶段。十四五和十五五以来，国家政策一直在倡导和推动分析仪器的国产化进程。十四五期间，导向是首台套，整机研制的突破，而进入十五五之后，政策引导采购国产逐一落地。</w:t>
            </w:r>
          </w:p>
          <w:p w14:paraId="508E8504"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公司聚焦两类产品，经过十多年技术开发和市场验证，总有机碳分析仪、紫外分光光度计分别位列国产品牌市占第一、第二，过去外资品牌长期垄断制药、水质检测、石化、新能源材料等高端检测市场，当下国产替代进入加速窗口期后，来自于这些市场中的需求机会明显上升。我们持续深耕传统制药赛道，同时成功切入新能源、石化等高景气增量赛道，下游客户降本、供应链自主可控需求明确，客户采购意愿持续提升，直接带动分析仪器收入大幅增长。</w:t>
            </w:r>
          </w:p>
          <w:p w14:paraId="0691DC93"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之所以判断我们的放量只是开端，核心依托整体政策利好以及公司的三重壁垒：</w:t>
            </w:r>
          </w:p>
          <w:p w14:paraId="24C79905"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① 产品性能壁垒：目前公司分析仪器产品指标对标进口设备，实验效果不管是精度还是一致性都媲美进口同类产品。同时公司配置的用户体验实验室，不仅给用户提供样品检测方法开发工作，同时还积极研究和适配国内实验室的一般检测标准、本土样品工况，定制化服务响应速度远快于海外品牌；</w:t>
            </w:r>
          </w:p>
          <w:p w14:paraId="18460F57"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② 场景方案壁垒：区别于外资单一仪器销售模式，我们整合公司自动化和智慧实验室平台能力，可提供给用户配套样品前处理、智慧实验室软硬件一体化解决方案的交付，客户粘性更强；</w:t>
            </w:r>
          </w:p>
          <w:p w14:paraId="52C72AC3"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③ 渠道壁垒：公司在国内覆盖各省市检测院、药企、新</w:t>
            </w:r>
            <w:r w:rsidRPr="00F76C5E">
              <w:rPr>
                <w:rFonts w:ascii="宋体" w:hAnsi="宋体" w:cs="方正仿宋_GB2312" w:hint="eastAsia"/>
                <w:sz w:val="24"/>
                <w:szCs w:val="24"/>
              </w:rPr>
              <w:lastRenderedPageBreak/>
              <w:t>能源材料企业等大量用户，可以支持我们持续切入外资存量市场份额。</w:t>
            </w:r>
          </w:p>
          <w:p w14:paraId="1211027B" w14:textId="15DC7021" w:rsidR="009E6AC0" w:rsidRPr="009E6AC0"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其次关于出海，公司聚焦双50战略，持续投入大量资源，推动在地化建设，落地一国一策。产品端，我们根据欧、美、非、东南亚等各地区的用户需求差异点，快速落地符合当地化需求的产品，从市场表现上来看，取得了一定的成效。中国市场占全球科研仪器市场的15-20%，更大的增量来自于海外的需求，我们会持续不断的贴合当地化需求，提供更有竞争力的产品交付市场</w:t>
            </w:r>
            <w:r>
              <w:rPr>
                <w:rFonts w:ascii="宋体" w:hAnsi="宋体" w:cs="方正仿宋_GB2312" w:hint="eastAsia"/>
                <w:sz w:val="24"/>
                <w:szCs w:val="24"/>
              </w:rPr>
              <w:t>。</w:t>
            </w:r>
          </w:p>
          <w:p w14:paraId="3198EF58" w14:textId="732AFFA8" w:rsidR="009E6AC0" w:rsidRPr="009E6AC0" w:rsidRDefault="001E0D1F" w:rsidP="009E6AC0">
            <w:pPr>
              <w:spacing w:beforeLines="50" w:before="156" w:line="400" w:lineRule="exact"/>
              <w:ind w:firstLineChars="200" w:firstLine="482"/>
              <w:rPr>
                <w:rFonts w:ascii="宋体" w:hAnsi="宋体" w:cs="方正仿宋_GB2312"/>
                <w:b/>
                <w:sz w:val="24"/>
                <w:szCs w:val="24"/>
              </w:rPr>
            </w:pPr>
            <w:r>
              <w:rPr>
                <w:rFonts w:ascii="宋体" w:hAnsi="宋体" w:cs="方正仿宋_GB2312" w:hint="eastAsia"/>
                <w:b/>
                <w:sz w:val="24"/>
                <w:szCs w:val="24"/>
              </w:rPr>
              <w:t>问题八</w:t>
            </w:r>
            <w:r w:rsidR="009E6AC0" w:rsidRPr="009E6AC0">
              <w:rPr>
                <w:rFonts w:ascii="宋体" w:hAnsi="宋体" w:cs="方正仿宋_GB2312" w:hint="eastAsia"/>
                <w:b/>
                <w:sz w:val="24"/>
                <w:szCs w:val="24"/>
              </w:rPr>
              <w:t>：</w:t>
            </w:r>
            <w:r w:rsidR="00F76C5E" w:rsidRPr="00F76C5E">
              <w:rPr>
                <w:rFonts w:ascii="宋体" w:hAnsi="宋体" w:cs="方正仿宋_GB2312" w:hint="eastAsia"/>
                <w:b/>
                <w:sz w:val="24"/>
                <w:szCs w:val="24"/>
              </w:rPr>
              <w:t>公司的实验室产业有安全柜、培养箱、离心机还有分析仪器，也有智慧实验室这种场景方案，请问管理层怎么展望这些品类的发展？以及接下来有哪些让我们期待的产品和方案？</w:t>
            </w:r>
          </w:p>
          <w:p w14:paraId="5ECE97E1" w14:textId="77777777" w:rsidR="00F76C5E" w:rsidRPr="00F76C5E" w:rsidRDefault="001E0D1F" w:rsidP="00F76C5E">
            <w:pPr>
              <w:spacing w:line="400" w:lineRule="exact"/>
              <w:ind w:firstLineChars="200" w:firstLine="480"/>
              <w:rPr>
                <w:rFonts w:ascii="宋体" w:hAnsi="宋体" w:cs="方正仿宋_GB2312"/>
                <w:sz w:val="24"/>
                <w:szCs w:val="24"/>
              </w:rPr>
            </w:pPr>
            <w:r>
              <w:rPr>
                <w:rFonts w:ascii="宋体" w:hAnsi="宋体" w:cs="方正仿宋_GB2312" w:hint="eastAsia"/>
                <w:sz w:val="24"/>
                <w:szCs w:val="24"/>
              </w:rPr>
              <w:t>答</w:t>
            </w:r>
            <w:r w:rsidR="009E6AC0" w:rsidRPr="009E6AC0">
              <w:rPr>
                <w:rFonts w:ascii="宋体" w:hAnsi="宋体" w:cs="方正仿宋_GB2312" w:hint="eastAsia"/>
                <w:sz w:val="24"/>
                <w:szCs w:val="24"/>
              </w:rPr>
              <w:t>：</w:t>
            </w:r>
            <w:r w:rsidR="00F76C5E" w:rsidRPr="00F76C5E">
              <w:rPr>
                <w:rFonts w:ascii="宋体" w:hAnsi="宋体" w:cs="方正仿宋_GB2312" w:hint="eastAsia"/>
                <w:sz w:val="24"/>
                <w:szCs w:val="24"/>
              </w:rPr>
              <w:t>结合前期市场分析与当前行业发展现状，我们判断实验室解决方案产业整体增长中枢是20%，支撑来自于：</w:t>
            </w:r>
          </w:p>
          <w:p w14:paraId="36A56A7B"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1、安全柜、培养箱是我们基本盘的品类，能够保持双位数增长。国产市占第一，海外上半年高增长，未来基于国内各类实验室新建机会涌现和海外广阔的市场空间，我们有信心国内份额持续提升以及海外保持高增长。</w:t>
            </w:r>
          </w:p>
          <w:p w14:paraId="02F2BF10"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2、离心机目前国内行业前五，增量具有高弹性。普通款离心机国内外市场都在同步起量，海外翻倍增长的势头能维持。自研的十万转超速离心机，现在在用户试用，该产品壁垒极高全球只有3个品牌，在高端药企、科研院所等有很大的国产替代空间，未来其放量将贡献很好的收入和利润的增量弹性。</w:t>
            </w:r>
          </w:p>
          <w:p w14:paraId="35987C24"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3、分析仪器是接下来几年拉动产业增长的核心主力，有望实现20%以上增长。正如前面说的，现在放量才刚起步，下半年会有2个光谱类产品和1个样本制备的产品上市，可以很好的拓展用户应用的场景。</w:t>
            </w:r>
          </w:p>
          <w:p w14:paraId="312BE9A2" w14:textId="17983B3F" w:rsidR="009E6AC0" w:rsidRPr="009E6AC0"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4、从单一设备向智慧实验室的升级是中长期重要的增长曲线，预计智慧实验室明年收入过千万，接下来几年保持倍速增长。在</w:t>
            </w:r>
            <w:r w:rsidR="00524683">
              <w:rPr>
                <w:rFonts w:ascii="宋体" w:hAnsi="宋体" w:cs="方正仿宋_GB2312" w:hint="eastAsia"/>
                <w:sz w:val="24"/>
                <w:szCs w:val="24"/>
              </w:rPr>
              <w:t>数智化</w:t>
            </w:r>
            <w:r w:rsidRPr="00F76C5E">
              <w:rPr>
                <w:rFonts w:ascii="宋体" w:hAnsi="宋体" w:cs="方正仿宋_GB2312" w:hint="eastAsia"/>
                <w:sz w:val="24"/>
                <w:szCs w:val="24"/>
              </w:rPr>
              <w:t>产业趋势下，公司凭借日益丰富的品类、智慧实验室管理系统和</w:t>
            </w:r>
            <w:r w:rsidR="00524683">
              <w:rPr>
                <w:rFonts w:ascii="宋体" w:hAnsi="宋体" w:cs="方正仿宋_GB2312" w:hint="eastAsia"/>
                <w:sz w:val="24"/>
                <w:szCs w:val="24"/>
              </w:rPr>
              <w:t>数智</w:t>
            </w:r>
            <w:r w:rsidRPr="00F76C5E">
              <w:rPr>
                <w:rFonts w:ascii="宋体" w:hAnsi="宋体" w:cs="方正仿宋_GB2312" w:hint="eastAsia"/>
                <w:sz w:val="24"/>
                <w:szCs w:val="24"/>
              </w:rPr>
              <w:t>自动化技术等积累，正在加快形成自动化检测单元、标准化智能工作站和整体智慧实验室解决方案。</w:t>
            </w:r>
            <w:r w:rsidRPr="00F76C5E">
              <w:rPr>
                <w:rFonts w:ascii="宋体" w:hAnsi="宋体" w:cs="方正仿宋_GB2312" w:hint="eastAsia"/>
                <w:sz w:val="24"/>
                <w:szCs w:val="24"/>
              </w:rPr>
              <w:lastRenderedPageBreak/>
              <w:t>上半年公司从生物制药实验室，拓展至水质分析、理化检测、微生物检测、新能源材料和危化品检测等领域，已取得多家用户订单，形成多个代表性解决方案，相关商机储备超过亿元。预计今年新拓展领域的收入将突破千万元，未来该领域收入将呈现倍增增长态势</w:t>
            </w:r>
            <w:r>
              <w:rPr>
                <w:rFonts w:ascii="宋体" w:hAnsi="宋体" w:cs="方正仿宋_GB2312" w:hint="eastAsia"/>
                <w:sz w:val="24"/>
                <w:szCs w:val="24"/>
              </w:rPr>
              <w:t>。</w:t>
            </w:r>
            <w:r w:rsidR="009C0DFC" w:rsidRPr="009E6AC0">
              <w:rPr>
                <w:rFonts w:ascii="宋体" w:hAnsi="宋体" w:cs="方正仿宋_GB2312"/>
                <w:sz w:val="24"/>
                <w:szCs w:val="24"/>
              </w:rPr>
              <w:t xml:space="preserve"> </w:t>
            </w:r>
          </w:p>
          <w:p w14:paraId="7CAECB02" w14:textId="0DD05108" w:rsidR="009E6AC0" w:rsidRPr="009E6AC0" w:rsidRDefault="001E0D1F" w:rsidP="009E6AC0">
            <w:pPr>
              <w:spacing w:beforeLines="50" w:before="156" w:line="400" w:lineRule="exact"/>
              <w:ind w:firstLineChars="200" w:firstLine="482"/>
              <w:rPr>
                <w:rFonts w:ascii="宋体" w:hAnsi="宋体" w:cs="方正仿宋_GB2312"/>
                <w:b/>
                <w:sz w:val="24"/>
                <w:szCs w:val="24"/>
              </w:rPr>
            </w:pPr>
            <w:r>
              <w:rPr>
                <w:rFonts w:ascii="宋体" w:hAnsi="宋体" w:cs="方正仿宋_GB2312" w:hint="eastAsia"/>
                <w:b/>
                <w:sz w:val="24"/>
                <w:szCs w:val="24"/>
              </w:rPr>
              <w:t>问题九</w:t>
            </w:r>
            <w:r w:rsidR="009E6AC0" w:rsidRPr="009E6AC0">
              <w:rPr>
                <w:rFonts w:ascii="宋体" w:hAnsi="宋体" w:cs="方正仿宋_GB2312" w:hint="eastAsia"/>
                <w:b/>
                <w:sz w:val="24"/>
                <w:szCs w:val="24"/>
              </w:rPr>
              <w:t>：</w:t>
            </w:r>
            <w:r w:rsidR="00F76C5E" w:rsidRPr="00F76C5E">
              <w:rPr>
                <w:rFonts w:ascii="宋体" w:hAnsi="宋体" w:cs="方正仿宋_GB2312" w:hint="eastAsia"/>
                <w:b/>
                <w:sz w:val="24"/>
                <w:szCs w:val="24"/>
              </w:rPr>
              <w:t>刚刚说到汇兑侵蚀了不少利润，但是公司仍然有信心指引“全年利润增幅与收入增幅相当”，这说明经营利润需要有很好的提升，公司采取了什么措施？长期来看，我们该怎么去预期公司利润表现？</w:t>
            </w:r>
          </w:p>
          <w:p w14:paraId="1212C8FE" w14:textId="77777777" w:rsidR="00F76C5E" w:rsidRPr="00F76C5E" w:rsidRDefault="001E0D1F" w:rsidP="00F76C5E">
            <w:pPr>
              <w:spacing w:line="400" w:lineRule="exact"/>
              <w:ind w:firstLineChars="200" w:firstLine="480"/>
              <w:rPr>
                <w:rFonts w:ascii="宋体" w:hAnsi="宋体" w:cs="方正仿宋_GB2312"/>
                <w:sz w:val="24"/>
                <w:szCs w:val="24"/>
              </w:rPr>
            </w:pPr>
            <w:r>
              <w:rPr>
                <w:rFonts w:ascii="宋体" w:hAnsi="宋体" w:cs="方正仿宋_GB2312" w:hint="eastAsia"/>
                <w:sz w:val="24"/>
                <w:szCs w:val="24"/>
              </w:rPr>
              <w:t>答</w:t>
            </w:r>
            <w:r w:rsidR="009E6AC0" w:rsidRPr="009E6AC0">
              <w:rPr>
                <w:rFonts w:ascii="宋体" w:hAnsi="宋体" w:cs="方正仿宋_GB2312" w:hint="eastAsia"/>
                <w:sz w:val="24"/>
                <w:szCs w:val="24"/>
              </w:rPr>
              <w:t>：</w:t>
            </w:r>
            <w:r w:rsidR="00F76C5E" w:rsidRPr="00F76C5E">
              <w:rPr>
                <w:rFonts w:ascii="宋体" w:hAnsi="宋体" w:cs="方正仿宋_GB2312" w:hint="eastAsia"/>
                <w:sz w:val="24"/>
                <w:szCs w:val="24"/>
              </w:rPr>
              <w:t>虽然从上半年的利润总额看，归母净利润增幅低于收入增幅，但是解构价值链来看，上半年的经营利润和扣非归母净利润均实现双位数增长，增幅大于收入增幅，说明经营质量持续优化，经营策略是有效的。</w:t>
            </w:r>
          </w:p>
          <w:p w14:paraId="75B56C58"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盈利提升策略主要包括以下方面：</w:t>
            </w:r>
          </w:p>
          <w:p w14:paraId="4C0A7563"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①产品结构升级，提升销售毛利率：持续升级产品策略和市场策略，提升产品及方案在终端市场的竞争力；</w:t>
            </w:r>
          </w:p>
          <w:p w14:paraId="484635E6"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②加速出海，拓展海外高毛利市场，提高核心区域市场的用户覆盖及份额；</w:t>
            </w:r>
          </w:p>
          <w:p w14:paraId="488E97B7" w14:textId="1F808FB6"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③内部提质增效，</w:t>
            </w:r>
            <w:r w:rsidR="003C2DD1">
              <w:rPr>
                <w:rFonts w:ascii="宋体" w:hAnsi="宋体" w:cs="方正仿宋_GB2312" w:hint="eastAsia"/>
                <w:sz w:val="24"/>
                <w:szCs w:val="24"/>
              </w:rPr>
              <w:t>智能体</w:t>
            </w:r>
            <w:r w:rsidRPr="00F76C5E">
              <w:rPr>
                <w:rFonts w:ascii="宋体" w:hAnsi="宋体" w:cs="方正仿宋_GB2312" w:hint="eastAsia"/>
                <w:sz w:val="24"/>
                <w:szCs w:val="24"/>
              </w:rPr>
              <w:t>应用于运营全流程管理体系的升级，从商机获取/转化、精益制造、到资金回款闭环，提升整体的运营效率和效益。</w:t>
            </w:r>
          </w:p>
          <w:p w14:paraId="2810104B" w14:textId="00E159F2" w:rsidR="009E6AC0" w:rsidRPr="009E6AC0"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从结果看策略是行之有效的，将继续推进。预计下半年公司将实现更高的利润增速，经营利润将在规模增长、结构优化、</w:t>
            </w:r>
            <w:r w:rsidR="00524683">
              <w:rPr>
                <w:rFonts w:ascii="宋体" w:hAnsi="宋体" w:cs="方正仿宋_GB2312" w:hint="eastAsia"/>
                <w:sz w:val="24"/>
                <w:szCs w:val="24"/>
              </w:rPr>
              <w:t>数智化</w:t>
            </w:r>
            <w:r w:rsidRPr="00F76C5E">
              <w:rPr>
                <w:rFonts w:ascii="宋体" w:hAnsi="宋体" w:cs="方正仿宋_GB2312" w:hint="eastAsia"/>
                <w:sz w:val="24"/>
                <w:szCs w:val="24"/>
              </w:rPr>
              <w:t>提效等正向拉动下继续提升，尽管预计汇率波动、大宗成本等宏观不利因素仍将对利润产生不利影响，但公司仍有信心将实现全年利润增幅与收入增幅大致相当，且若宏观因素改善的情况下将有进一步上行空间。从一个更加长期的视角，公司预计从今年起盈利能力进入提升通道。</w:t>
            </w:r>
            <w:r w:rsidR="009C0DFC" w:rsidRPr="009E6AC0">
              <w:rPr>
                <w:rFonts w:ascii="宋体" w:hAnsi="宋体" w:cs="方正仿宋_GB2312"/>
                <w:sz w:val="24"/>
                <w:szCs w:val="24"/>
              </w:rPr>
              <w:t xml:space="preserve"> </w:t>
            </w:r>
          </w:p>
          <w:p w14:paraId="0B4DD482" w14:textId="4DB2CBC4" w:rsidR="009E6AC0" w:rsidRPr="009E6AC0" w:rsidRDefault="001E0D1F" w:rsidP="009E6AC0">
            <w:pPr>
              <w:spacing w:beforeLines="50" w:before="156" w:line="400" w:lineRule="exact"/>
              <w:ind w:firstLineChars="200" w:firstLine="482"/>
              <w:rPr>
                <w:rFonts w:ascii="宋体" w:hAnsi="宋体" w:cs="方正仿宋_GB2312"/>
                <w:b/>
                <w:sz w:val="24"/>
                <w:szCs w:val="24"/>
              </w:rPr>
            </w:pPr>
            <w:r>
              <w:rPr>
                <w:rFonts w:ascii="宋体" w:hAnsi="宋体" w:cs="方正仿宋_GB2312" w:hint="eastAsia"/>
                <w:b/>
                <w:sz w:val="24"/>
                <w:szCs w:val="24"/>
              </w:rPr>
              <w:t>问题十</w:t>
            </w:r>
            <w:r w:rsidR="009E6AC0" w:rsidRPr="009E6AC0">
              <w:rPr>
                <w:rFonts w:ascii="宋体" w:hAnsi="宋体" w:cs="方正仿宋_GB2312" w:hint="eastAsia"/>
                <w:b/>
                <w:sz w:val="24"/>
                <w:szCs w:val="24"/>
              </w:rPr>
              <w:t>：</w:t>
            </w:r>
            <w:r w:rsidR="00F76C5E" w:rsidRPr="00F76C5E">
              <w:rPr>
                <w:rFonts w:ascii="宋体" w:hAnsi="宋体" w:cs="方正仿宋_GB2312" w:hint="eastAsia"/>
                <w:b/>
                <w:sz w:val="24"/>
                <w:szCs w:val="24"/>
              </w:rPr>
              <w:t>请管理层谈一下并购方面的进展</w:t>
            </w:r>
            <w:r w:rsidR="00F76C5E">
              <w:rPr>
                <w:rFonts w:ascii="宋体" w:hAnsi="宋体" w:cs="方正仿宋_GB2312" w:hint="eastAsia"/>
                <w:b/>
                <w:sz w:val="24"/>
                <w:szCs w:val="24"/>
              </w:rPr>
              <w:t>？</w:t>
            </w:r>
          </w:p>
          <w:p w14:paraId="28D3731A" w14:textId="77777777" w:rsidR="00F76C5E" w:rsidRPr="00F76C5E" w:rsidRDefault="001E0D1F" w:rsidP="00F76C5E">
            <w:pPr>
              <w:spacing w:line="400" w:lineRule="exact"/>
              <w:ind w:firstLineChars="200" w:firstLine="480"/>
              <w:rPr>
                <w:rFonts w:ascii="宋体" w:hAnsi="宋体" w:cs="方正仿宋_GB2312"/>
                <w:sz w:val="24"/>
                <w:szCs w:val="24"/>
              </w:rPr>
            </w:pPr>
            <w:r>
              <w:rPr>
                <w:rFonts w:ascii="宋体" w:hAnsi="宋体" w:cs="方正仿宋_GB2312" w:hint="eastAsia"/>
                <w:sz w:val="24"/>
                <w:szCs w:val="24"/>
              </w:rPr>
              <w:t>答</w:t>
            </w:r>
            <w:r w:rsidR="009E6AC0" w:rsidRPr="009E6AC0">
              <w:rPr>
                <w:rFonts w:ascii="宋体" w:hAnsi="宋体" w:cs="方正仿宋_GB2312" w:hint="eastAsia"/>
                <w:sz w:val="24"/>
                <w:szCs w:val="24"/>
              </w:rPr>
              <w:t>：</w:t>
            </w:r>
            <w:r w:rsidR="00F76C5E" w:rsidRPr="00F76C5E">
              <w:rPr>
                <w:rFonts w:ascii="宋体" w:hAnsi="宋体" w:cs="方正仿宋_GB2312" w:hint="eastAsia"/>
                <w:sz w:val="24"/>
                <w:szCs w:val="24"/>
              </w:rPr>
              <w:t>公司并购的方向主要围绕两方面：</w:t>
            </w:r>
          </w:p>
          <w:p w14:paraId="52F377D3"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①生物制造的核心装备和试剂耗材，聚焦高增长（用户需求持续扩容）、高壁垒（技术门槛高，国产化率低＜20%）、高复购赛道（设备+耗材模式）；</w:t>
            </w:r>
          </w:p>
          <w:p w14:paraId="6148A926" w14:textId="77777777" w:rsidR="00F76C5E" w:rsidRPr="00F76C5E"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②高点卡位技术外延支持新场景拓展，比如低温技术的外</w:t>
            </w:r>
            <w:r w:rsidRPr="00F76C5E">
              <w:rPr>
                <w:rFonts w:ascii="宋体" w:hAnsi="宋体" w:cs="方正仿宋_GB2312" w:hint="eastAsia"/>
                <w:sz w:val="24"/>
                <w:szCs w:val="24"/>
              </w:rPr>
              <w:lastRenderedPageBreak/>
              <w:t>延布局至前沿科技领域的广泛应用。</w:t>
            </w:r>
          </w:p>
          <w:p w14:paraId="47FE9790" w14:textId="77777777" w:rsidR="00372728" w:rsidRDefault="00F76C5E" w:rsidP="00F76C5E">
            <w:pPr>
              <w:spacing w:line="400" w:lineRule="exact"/>
              <w:ind w:firstLineChars="200" w:firstLine="480"/>
              <w:rPr>
                <w:rFonts w:ascii="宋体" w:hAnsi="宋体" w:cs="方正仿宋_GB2312"/>
                <w:sz w:val="24"/>
                <w:szCs w:val="24"/>
              </w:rPr>
            </w:pPr>
            <w:r w:rsidRPr="00F76C5E">
              <w:rPr>
                <w:rFonts w:ascii="宋体" w:hAnsi="宋体" w:cs="方正仿宋_GB2312" w:hint="eastAsia"/>
                <w:sz w:val="24"/>
                <w:szCs w:val="24"/>
              </w:rPr>
              <w:t>目前已有目标标的持续推进，力争年内取得实质性进展，我们将严格按照监管要求履行信息披露义务。</w:t>
            </w:r>
            <w:r w:rsidR="009C0DFC" w:rsidRPr="009E6AC0">
              <w:rPr>
                <w:rFonts w:ascii="宋体" w:hAnsi="宋体" w:cs="方正仿宋_GB2312"/>
                <w:sz w:val="24"/>
                <w:szCs w:val="24"/>
              </w:rPr>
              <w:t xml:space="preserve"> </w:t>
            </w:r>
          </w:p>
          <w:p w14:paraId="3A47AD1A" w14:textId="38F271A5" w:rsidR="00F76C5E" w:rsidRPr="001E0D1F" w:rsidRDefault="00F76C5E" w:rsidP="00F76C5E">
            <w:pPr>
              <w:spacing w:line="400" w:lineRule="exact"/>
              <w:ind w:firstLineChars="200" w:firstLine="480"/>
              <w:rPr>
                <w:rFonts w:ascii="宋体" w:hAnsi="宋体" w:cs="方正仿宋_GB2312"/>
                <w:sz w:val="24"/>
                <w:szCs w:val="24"/>
              </w:rPr>
            </w:pPr>
          </w:p>
        </w:tc>
      </w:tr>
      <w:tr w:rsidR="00372728" w14:paraId="381D7499" w14:textId="77777777">
        <w:tc>
          <w:tcPr>
            <w:tcW w:w="1908" w:type="dxa"/>
            <w:tcBorders>
              <w:top w:val="single" w:sz="4" w:space="0" w:color="auto"/>
              <w:left w:val="single" w:sz="4" w:space="0" w:color="auto"/>
              <w:bottom w:val="single" w:sz="4" w:space="0" w:color="auto"/>
              <w:right w:val="single" w:sz="4" w:space="0" w:color="auto"/>
            </w:tcBorders>
            <w:vAlign w:val="center"/>
          </w:tcPr>
          <w:p w14:paraId="204FDC98" w14:textId="77777777" w:rsidR="00372728" w:rsidRDefault="0085061B">
            <w:pPr>
              <w:spacing w:line="480" w:lineRule="atLeast"/>
              <w:rPr>
                <w:rFonts w:eastAsiaTheme="minorEastAsia"/>
                <w:b/>
                <w:bCs/>
                <w:iCs/>
                <w:sz w:val="24"/>
                <w:szCs w:val="24"/>
              </w:rPr>
            </w:pPr>
            <w:r>
              <w:rPr>
                <w:rFonts w:eastAsiaTheme="minorEastAsia" w:hint="eastAsia"/>
                <w:b/>
                <w:bCs/>
                <w:iCs/>
                <w:sz w:val="24"/>
                <w:szCs w:val="24"/>
              </w:rPr>
              <w:lastRenderedPageBreak/>
              <w:t>附件清单</w:t>
            </w:r>
          </w:p>
        </w:tc>
        <w:tc>
          <w:tcPr>
            <w:tcW w:w="6614" w:type="dxa"/>
            <w:tcBorders>
              <w:top w:val="single" w:sz="4" w:space="0" w:color="auto"/>
              <w:left w:val="single" w:sz="4" w:space="0" w:color="auto"/>
              <w:bottom w:val="single" w:sz="4" w:space="0" w:color="auto"/>
              <w:right w:val="single" w:sz="4" w:space="0" w:color="auto"/>
            </w:tcBorders>
          </w:tcPr>
          <w:p w14:paraId="32CE86FD" w14:textId="77777777" w:rsidR="00372728" w:rsidRDefault="0085061B">
            <w:pPr>
              <w:spacing w:line="480" w:lineRule="atLeast"/>
              <w:rPr>
                <w:rFonts w:eastAsiaTheme="minorEastAsia"/>
                <w:bCs/>
                <w:iCs/>
                <w:sz w:val="24"/>
                <w:szCs w:val="24"/>
              </w:rPr>
            </w:pPr>
            <w:r>
              <w:rPr>
                <w:rFonts w:eastAsiaTheme="minorEastAsia"/>
                <w:bCs/>
                <w:iCs/>
                <w:sz w:val="24"/>
                <w:szCs w:val="24"/>
              </w:rPr>
              <w:t>无</w:t>
            </w:r>
          </w:p>
        </w:tc>
      </w:tr>
      <w:tr w:rsidR="00372728" w14:paraId="2E325C0F" w14:textId="77777777">
        <w:tc>
          <w:tcPr>
            <w:tcW w:w="1908" w:type="dxa"/>
            <w:tcBorders>
              <w:top w:val="single" w:sz="4" w:space="0" w:color="auto"/>
              <w:left w:val="single" w:sz="4" w:space="0" w:color="auto"/>
              <w:bottom w:val="single" w:sz="4" w:space="0" w:color="auto"/>
              <w:right w:val="single" w:sz="4" w:space="0" w:color="auto"/>
            </w:tcBorders>
            <w:vAlign w:val="center"/>
          </w:tcPr>
          <w:p w14:paraId="5D0EDF82" w14:textId="77777777" w:rsidR="00372728" w:rsidRDefault="0085061B">
            <w:pPr>
              <w:spacing w:line="480" w:lineRule="atLeast"/>
              <w:rPr>
                <w:rFonts w:eastAsiaTheme="minorEastAsia"/>
                <w:b/>
                <w:bCs/>
                <w:iCs/>
                <w:sz w:val="24"/>
                <w:szCs w:val="24"/>
              </w:rPr>
            </w:pPr>
            <w:r>
              <w:rPr>
                <w:rFonts w:eastAsiaTheme="minorEastAsia" w:hint="eastAsia"/>
                <w:b/>
                <w:bCs/>
                <w:iCs/>
                <w:sz w:val="24"/>
                <w:szCs w:val="24"/>
              </w:rPr>
              <w:t>日期</w:t>
            </w:r>
          </w:p>
        </w:tc>
        <w:tc>
          <w:tcPr>
            <w:tcW w:w="6614" w:type="dxa"/>
            <w:tcBorders>
              <w:top w:val="single" w:sz="4" w:space="0" w:color="auto"/>
              <w:left w:val="single" w:sz="4" w:space="0" w:color="auto"/>
              <w:bottom w:val="single" w:sz="4" w:space="0" w:color="auto"/>
              <w:right w:val="single" w:sz="4" w:space="0" w:color="auto"/>
            </w:tcBorders>
          </w:tcPr>
          <w:p w14:paraId="1EA15479" w14:textId="108E7017" w:rsidR="00372728" w:rsidRDefault="0085061B">
            <w:pPr>
              <w:spacing w:line="480" w:lineRule="atLeast"/>
              <w:rPr>
                <w:rFonts w:eastAsiaTheme="minorEastAsia"/>
                <w:bCs/>
                <w:iCs/>
                <w:sz w:val="24"/>
                <w:szCs w:val="24"/>
              </w:rPr>
            </w:pPr>
            <w:r>
              <w:rPr>
                <w:rFonts w:eastAsiaTheme="minorEastAsia" w:hint="eastAsia"/>
                <w:bCs/>
                <w:iCs/>
                <w:sz w:val="24"/>
                <w:szCs w:val="24"/>
              </w:rPr>
              <w:t>202</w:t>
            </w:r>
            <w:r>
              <w:rPr>
                <w:rFonts w:eastAsiaTheme="minorEastAsia"/>
                <w:bCs/>
                <w:iCs/>
                <w:sz w:val="24"/>
                <w:szCs w:val="24"/>
              </w:rPr>
              <w:t>6</w:t>
            </w:r>
            <w:r>
              <w:rPr>
                <w:rFonts w:eastAsiaTheme="minorEastAsia" w:hint="eastAsia"/>
                <w:bCs/>
                <w:iCs/>
                <w:sz w:val="24"/>
                <w:szCs w:val="24"/>
              </w:rPr>
              <w:t>年</w:t>
            </w:r>
            <w:r w:rsidR="00793AD3">
              <w:rPr>
                <w:rFonts w:eastAsiaTheme="minorEastAsia" w:hint="eastAsia"/>
                <w:bCs/>
                <w:iCs/>
                <w:sz w:val="24"/>
                <w:szCs w:val="24"/>
              </w:rPr>
              <w:t>8</w:t>
            </w:r>
            <w:r>
              <w:rPr>
                <w:rFonts w:eastAsiaTheme="minorEastAsia" w:hint="eastAsia"/>
                <w:bCs/>
                <w:iCs/>
                <w:sz w:val="24"/>
                <w:szCs w:val="24"/>
              </w:rPr>
              <w:t>月</w:t>
            </w:r>
            <w:r w:rsidR="00793AD3">
              <w:rPr>
                <w:rFonts w:eastAsiaTheme="minorEastAsia" w:hint="eastAsia"/>
                <w:bCs/>
                <w:iCs/>
                <w:sz w:val="24"/>
                <w:szCs w:val="24"/>
              </w:rPr>
              <w:t>2</w:t>
            </w:r>
            <w:r w:rsidR="001E0D1F">
              <w:rPr>
                <w:rFonts w:eastAsiaTheme="minorEastAsia"/>
                <w:bCs/>
                <w:iCs/>
                <w:sz w:val="24"/>
                <w:szCs w:val="24"/>
              </w:rPr>
              <w:t>0</w:t>
            </w:r>
            <w:r>
              <w:rPr>
                <w:rFonts w:eastAsiaTheme="minorEastAsia" w:hint="eastAsia"/>
                <w:bCs/>
                <w:iCs/>
                <w:sz w:val="24"/>
                <w:szCs w:val="24"/>
              </w:rPr>
              <w:t>日</w:t>
            </w:r>
          </w:p>
        </w:tc>
      </w:tr>
    </w:tbl>
    <w:p w14:paraId="1CF085B1" w14:textId="2C87A119" w:rsidR="00CB472A" w:rsidRDefault="00CB472A">
      <w:pPr>
        <w:widowControl/>
        <w:jc w:val="left"/>
        <w:rPr>
          <w:b/>
          <w:sz w:val="24"/>
        </w:rPr>
      </w:pPr>
    </w:p>
    <w:p w14:paraId="6A3C04AF" w14:textId="77777777" w:rsidR="00CB472A" w:rsidRDefault="00CB472A">
      <w:pPr>
        <w:widowControl/>
        <w:jc w:val="left"/>
        <w:rPr>
          <w:b/>
          <w:sz w:val="24"/>
        </w:rPr>
      </w:pPr>
      <w:r>
        <w:rPr>
          <w:b/>
          <w:sz w:val="24"/>
        </w:rPr>
        <w:br w:type="page"/>
      </w:r>
    </w:p>
    <w:p w14:paraId="20B3CB36" w14:textId="69D8F73A" w:rsidR="00372728" w:rsidRPr="00CB472A" w:rsidRDefault="00CB472A">
      <w:pPr>
        <w:widowControl/>
        <w:jc w:val="left"/>
        <w:rPr>
          <w:rFonts w:ascii="楷体" w:eastAsia="楷体" w:hAnsi="楷体"/>
          <w:b/>
          <w:sz w:val="24"/>
        </w:rPr>
      </w:pPr>
      <w:r w:rsidRPr="00CB472A">
        <w:rPr>
          <w:rFonts w:ascii="楷体" w:eastAsia="楷体" w:hAnsi="楷体" w:hint="eastAsia"/>
          <w:b/>
          <w:sz w:val="24"/>
        </w:rPr>
        <w:lastRenderedPageBreak/>
        <w:t>附表：参会机构名单（排名不分先后）</w:t>
      </w:r>
    </w:p>
    <w:tbl>
      <w:tblPr>
        <w:tblW w:w="5000" w:type="pct"/>
        <w:tblLook w:val="04A0" w:firstRow="1" w:lastRow="0" w:firstColumn="1" w:lastColumn="0" w:noHBand="0" w:noVBand="1"/>
      </w:tblPr>
      <w:tblGrid>
        <w:gridCol w:w="1007"/>
        <w:gridCol w:w="3150"/>
        <w:gridCol w:w="1006"/>
        <w:gridCol w:w="3365"/>
      </w:tblGrid>
      <w:tr w:rsidR="00CB472A" w:rsidRPr="00793AD3" w14:paraId="35DF7E7A" w14:textId="77777777" w:rsidTr="00CB472A">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hideMark/>
          </w:tcPr>
          <w:p w14:paraId="1E8F3AD5" w14:textId="77777777" w:rsidR="00CB472A" w:rsidRPr="00793AD3" w:rsidRDefault="00CB472A" w:rsidP="00CB472A">
            <w:pPr>
              <w:widowControl/>
              <w:jc w:val="center"/>
              <w:rPr>
                <w:rFonts w:ascii="楷体" w:eastAsia="楷体" w:hAnsi="楷体" w:cs="宋体"/>
                <w:color w:val="000000"/>
                <w:kern w:val="0"/>
                <w:sz w:val="22"/>
                <w:szCs w:val="22"/>
              </w:rPr>
            </w:pPr>
            <w:r w:rsidRPr="00793AD3">
              <w:rPr>
                <w:rFonts w:ascii="楷体" w:eastAsia="楷体" w:hAnsi="楷体" w:cs="宋体" w:hint="eastAsia"/>
                <w:color w:val="000000"/>
                <w:kern w:val="0"/>
                <w:sz w:val="22"/>
                <w:szCs w:val="22"/>
              </w:rPr>
              <w:t>序号</w:t>
            </w:r>
          </w:p>
        </w:tc>
        <w:tc>
          <w:tcPr>
            <w:tcW w:w="184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hideMark/>
          </w:tcPr>
          <w:p w14:paraId="77D0BF2A" w14:textId="77777777" w:rsidR="00CB472A" w:rsidRPr="00793AD3" w:rsidRDefault="00CB472A" w:rsidP="00CB472A">
            <w:pPr>
              <w:widowControl/>
              <w:jc w:val="center"/>
              <w:rPr>
                <w:rFonts w:ascii="楷体" w:eastAsia="楷体" w:hAnsi="楷体" w:cs="宋体"/>
                <w:color w:val="000000"/>
                <w:kern w:val="0"/>
                <w:sz w:val="22"/>
                <w:szCs w:val="22"/>
              </w:rPr>
            </w:pPr>
            <w:r w:rsidRPr="00793AD3">
              <w:rPr>
                <w:rFonts w:ascii="楷体" w:eastAsia="楷体" w:hAnsi="楷体" w:cs="宋体" w:hint="eastAsia"/>
                <w:color w:val="000000"/>
                <w:kern w:val="0"/>
                <w:sz w:val="22"/>
                <w:szCs w:val="22"/>
              </w:rPr>
              <w:t>机构名称</w:t>
            </w:r>
          </w:p>
        </w:tc>
        <w:tc>
          <w:tcPr>
            <w:tcW w:w="59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hideMark/>
          </w:tcPr>
          <w:p w14:paraId="1E429A88" w14:textId="77777777" w:rsidR="00CB472A" w:rsidRPr="00793AD3" w:rsidRDefault="00CB472A" w:rsidP="00CB472A">
            <w:pPr>
              <w:widowControl/>
              <w:jc w:val="center"/>
              <w:rPr>
                <w:rFonts w:ascii="楷体" w:eastAsia="楷体" w:hAnsi="楷体" w:cs="宋体"/>
                <w:color w:val="000000"/>
                <w:kern w:val="0"/>
                <w:sz w:val="22"/>
                <w:szCs w:val="22"/>
              </w:rPr>
            </w:pPr>
            <w:r w:rsidRPr="00793AD3">
              <w:rPr>
                <w:rFonts w:ascii="楷体" w:eastAsia="楷体" w:hAnsi="楷体" w:cs="宋体" w:hint="eastAsia"/>
                <w:color w:val="000000"/>
                <w:kern w:val="0"/>
                <w:sz w:val="22"/>
                <w:szCs w:val="22"/>
              </w:rPr>
              <w:t>序号</w:t>
            </w:r>
          </w:p>
        </w:tc>
        <w:tc>
          <w:tcPr>
            <w:tcW w:w="197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hideMark/>
          </w:tcPr>
          <w:p w14:paraId="7C2F1903" w14:textId="77777777" w:rsidR="00CB472A" w:rsidRPr="00793AD3" w:rsidRDefault="00CB472A" w:rsidP="00CB472A">
            <w:pPr>
              <w:widowControl/>
              <w:jc w:val="center"/>
              <w:rPr>
                <w:rFonts w:ascii="楷体" w:eastAsia="楷体" w:hAnsi="楷体" w:cs="宋体"/>
                <w:color w:val="000000"/>
                <w:kern w:val="0"/>
                <w:sz w:val="22"/>
                <w:szCs w:val="22"/>
              </w:rPr>
            </w:pPr>
            <w:r w:rsidRPr="00793AD3">
              <w:rPr>
                <w:rFonts w:ascii="楷体" w:eastAsia="楷体" w:hAnsi="楷体" w:cs="宋体" w:hint="eastAsia"/>
                <w:color w:val="000000"/>
                <w:kern w:val="0"/>
                <w:sz w:val="22"/>
                <w:szCs w:val="22"/>
              </w:rPr>
              <w:t>机构名称</w:t>
            </w:r>
          </w:p>
        </w:tc>
      </w:tr>
      <w:tr w:rsidR="00793AD3" w:rsidRPr="00793AD3" w14:paraId="0709F9B3"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03E7DC" w14:textId="36C3141F"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1</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2E2BF15" w14:textId="7751CF5A"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Franklin Templeton</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FC97281" w14:textId="65F4B6F1"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32</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E3A8B97" w14:textId="43C83B37"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浦银安盛基金</w:t>
            </w:r>
          </w:p>
        </w:tc>
      </w:tr>
      <w:tr w:rsidR="00793AD3" w:rsidRPr="00793AD3" w14:paraId="1DF2D6CC"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4BCF357" w14:textId="21759573"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2</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FD003A1" w14:textId="288C3F37"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Harding Loevner</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A282C13" w14:textId="71200727"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33</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2FC705" w14:textId="6C908E0D"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谦璞投资</w:t>
            </w:r>
          </w:p>
        </w:tc>
      </w:tr>
      <w:tr w:rsidR="00793AD3" w:rsidRPr="00793AD3" w14:paraId="376EAAD8"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8270AA2" w14:textId="0CDD6082"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3</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CF9702" w14:textId="66208F47"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HBM Partners</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E0FD5F" w14:textId="5CF80F09"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34</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C64F097" w14:textId="605432CE"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青骊资产</w:t>
            </w:r>
          </w:p>
        </w:tc>
      </w:tr>
      <w:tr w:rsidR="00793AD3" w:rsidRPr="00793AD3" w14:paraId="3BF339AF"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B9D0014" w14:textId="118E8AD0"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4</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118D06A" w14:textId="7B5A0678"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Point72</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00417B" w14:textId="583B8F52"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35</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4DCF6C1" w14:textId="21EB2C57"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仁桥（北京）资管</w:t>
            </w:r>
          </w:p>
        </w:tc>
      </w:tr>
      <w:tr w:rsidR="00793AD3" w:rsidRPr="00793AD3" w14:paraId="41D48286"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CF8B3CE" w14:textId="5BF21CC8"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5</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C16DFBE" w14:textId="292DD958"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财通证券</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4926A3E" w14:textId="63F81638"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36</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002ADDB" w14:textId="2945E5E7"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上海沣杨资管</w:t>
            </w:r>
          </w:p>
        </w:tc>
      </w:tr>
      <w:tr w:rsidR="00793AD3" w:rsidRPr="00793AD3" w14:paraId="31AFC6A5"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0A031F6" w14:textId="61DC04FA"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6</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CA977B1" w14:textId="388CB033"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东北证券</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C61AC86" w14:textId="10E61AFA"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37</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A2467D3" w14:textId="7E01B7E5"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上海明河资管</w:t>
            </w:r>
          </w:p>
        </w:tc>
      </w:tr>
      <w:tr w:rsidR="00793AD3" w:rsidRPr="00793AD3" w14:paraId="441B79AC"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F647C3C" w14:textId="3B8CEA0C"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7</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CFEF0E7" w14:textId="79378350"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东方财富证券</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B6C7EFF" w14:textId="0CFA728E"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38</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C50D580" w14:textId="286DF1DB"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上海世诚投资</w:t>
            </w:r>
          </w:p>
        </w:tc>
      </w:tr>
      <w:tr w:rsidR="00793AD3" w:rsidRPr="00793AD3" w14:paraId="69F02F85"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D17A428" w14:textId="75AE6844"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8</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F018938" w14:textId="215A51B9"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东方证券</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8F9F865" w14:textId="4A494A0F"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39</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8BB065E" w14:textId="525778FA"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上海文多资管</w:t>
            </w:r>
          </w:p>
        </w:tc>
      </w:tr>
      <w:tr w:rsidR="00793AD3" w:rsidRPr="00793AD3" w14:paraId="131CAC56"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E5BE652" w14:textId="378F61B0"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9</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69FABEE" w14:textId="21646C36"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东吴证券</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693C8FE" w14:textId="7951BE7F"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40</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E927198" w14:textId="133B931D"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上海益安投资</w:t>
            </w:r>
          </w:p>
        </w:tc>
      </w:tr>
      <w:tr w:rsidR="00793AD3" w:rsidRPr="00793AD3" w14:paraId="3ABE1A0B"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E0C2A18" w14:textId="38E13C72"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10</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3B7C62B" w14:textId="1BB44860"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方物基金</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C3A253A" w14:textId="0D063C0F"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41</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DB31875" w14:textId="3E906938"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申万菱信基金</w:t>
            </w:r>
          </w:p>
        </w:tc>
      </w:tr>
      <w:tr w:rsidR="00793AD3" w:rsidRPr="00793AD3" w14:paraId="78E9ECD8"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9F9F429" w14:textId="2DD28925"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11</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5188C67" w14:textId="477F9425"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丰琰资产</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9CF3E82" w14:textId="6BCEC54E"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42</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E9DDB11" w14:textId="64E37E3A"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施罗德投资</w:t>
            </w:r>
          </w:p>
        </w:tc>
      </w:tr>
      <w:tr w:rsidR="00793AD3" w:rsidRPr="00793AD3" w14:paraId="5A5C8D1B"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1301A39" w14:textId="521FC0EF"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12</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D6ACB01" w14:textId="63D169FE"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富安达基金</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4FADE73" w14:textId="5F6CF87A"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43</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734A9A3" w14:textId="7EDDE87D"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天治基金</w:t>
            </w:r>
          </w:p>
        </w:tc>
      </w:tr>
      <w:tr w:rsidR="00793AD3" w:rsidRPr="00793AD3" w14:paraId="460E757A"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B9E3C2C" w14:textId="35F5D881"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13</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772505" w14:textId="4236C40E"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光大证券自营</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5D42422" w14:textId="4FED7BE1"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44</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67AF4CE" w14:textId="41594299"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武汉言是科技</w:t>
            </w:r>
          </w:p>
        </w:tc>
      </w:tr>
      <w:tr w:rsidR="00793AD3" w:rsidRPr="00793AD3" w14:paraId="4B854F32"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3BD9FB7" w14:textId="39A5FBB5"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14</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CA4F385" w14:textId="7B2EB627"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光大证券资管</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F1EE619" w14:textId="3B78C766"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45</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F6E0A13" w14:textId="7746DAF4"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西南证券</w:t>
            </w:r>
          </w:p>
        </w:tc>
      </w:tr>
      <w:tr w:rsidR="00793AD3" w:rsidRPr="00793AD3" w14:paraId="1B9B99D4"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43C1844" w14:textId="747D7A7D"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15</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07BC026" w14:textId="4AF8924D"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国海证券</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87244E" w14:textId="5E6150BF"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46</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988AE82" w14:textId="43A2A718"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兴业证券</w:t>
            </w:r>
          </w:p>
        </w:tc>
      </w:tr>
      <w:tr w:rsidR="00793AD3" w:rsidRPr="00793AD3" w14:paraId="33BBAC50"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B69235F" w14:textId="2C9FCAC0"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16</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B7EC6AF" w14:textId="59B3E63B"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国联民生证券</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998F2E0" w14:textId="05C1B5C8"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47</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BAA6A44" w14:textId="647BC45F"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兴银基金</w:t>
            </w:r>
          </w:p>
        </w:tc>
      </w:tr>
      <w:tr w:rsidR="00793AD3" w:rsidRPr="00793AD3" w14:paraId="380BF605"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1CE4B55" w14:textId="7D240D30"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17</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2CE6A7" w14:textId="015AF655"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国盛证券</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F99684A" w14:textId="79E4E30B"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48</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B42ADA2" w14:textId="265FB185"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银河基金</w:t>
            </w:r>
          </w:p>
        </w:tc>
      </w:tr>
      <w:tr w:rsidR="00793AD3" w:rsidRPr="00793AD3" w14:paraId="578B4B74" w14:textId="77777777" w:rsidTr="00926CD2">
        <w:trPr>
          <w:trHeight w:val="28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DE9F34F" w14:textId="279A66CD"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18</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3280134" w14:textId="20B69386"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国投证券资管</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0C30A1F" w14:textId="7A5545A8"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49</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5682620" w14:textId="1EB173AE"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银河证券</w:t>
            </w:r>
          </w:p>
        </w:tc>
      </w:tr>
      <w:tr w:rsidR="00793AD3" w:rsidRPr="00793AD3" w14:paraId="7ED96DDF" w14:textId="77777777" w:rsidTr="00926CD2">
        <w:trPr>
          <w:trHeight w:val="26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5DA72F7" w14:textId="261CD999"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19</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8792EB1" w14:textId="62573CE2"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国信证券</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0128A5" w14:textId="50F46E7C"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50</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38134F5" w14:textId="35451EB3"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永赢基金</w:t>
            </w:r>
          </w:p>
        </w:tc>
      </w:tr>
      <w:tr w:rsidR="00793AD3" w:rsidRPr="00793AD3" w14:paraId="1E7C9A06" w14:textId="77777777" w:rsidTr="00926CD2">
        <w:trPr>
          <w:trHeight w:val="26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706B8B" w14:textId="37B7957D"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20</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DA8BC3" w14:textId="19A73D5B"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海南盛熙私募基金</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3090A0" w14:textId="3FE98109"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51</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2953B1" w14:textId="7C07F9DA"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招商证券</w:t>
            </w:r>
          </w:p>
        </w:tc>
      </w:tr>
      <w:tr w:rsidR="00793AD3" w:rsidRPr="00793AD3" w14:paraId="2023C220" w14:textId="77777777" w:rsidTr="00926CD2">
        <w:trPr>
          <w:trHeight w:val="26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CA63ED" w14:textId="59091A41"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21</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686679" w14:textId="52793FCC"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鸿运私募基金</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2FEE99" w14:textId="109146DC"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52</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E137BB" w14:textId="30581FEB"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浙商证券</w:t>
            </w:r>
          </w:p>
        </w:tc>
      </w:tr>
      <w:tr w:rsidR="00793AD3" w:rsidRPr="00793AD3" w14:paraId="778A866B" w14:textId="77777777" w:rsidTr="00926CD2">
        <w:trPr>
          <w:trHeight w:val="26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5FEA1" w14:textId="3FCD447A"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22</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B6146B" w14:textId="71BEAC3B"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华创证券</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A33FA" w14:textId="3AE24613"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53</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E8AEE7" w14:textId="15A71D73"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中国人寿养老保险</w:t>
            </w:r>
          </w:p>
        </w:tc>
      </w:tr>
      <w:tr w:rsidR="00793AD3" w:rsidRPr="00793AD3" w14:paraId="497B960D" w14:textId="77777777" w:rsidTr="00926CD2">
        <w:trPr>
          <w:trHeight w:val="26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43A60B" w14:textId="47217063"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23</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45CFC9" w14:textId="27818664"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华福证券</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41190D" w14:textId="2F0D7795"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54</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6AE90E" w14:textId="32B14D05"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中国医药投资</w:t>
            </w:r>
          </w:p>
        </w:tc>
      </w:tr>
      <w:tr w:rsidR="00793AD3" w:rsidRPr="00793AD3" w14:paraId="0F03D20F" w14:textId="77777777" w:rsidTr="00926CD2">
        <w:trPr>
          <w:trHeight w:val="26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2B0838" w14:textId="56E49401"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24</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E71446" w14:textId="43DD2CD0"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汇丰晋信基金</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01A9A8" w14:textId="170CFC89"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55</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D65EE8" w14:textId="6840C67E"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中泰证券</w:t>
            </w:r>
          </w:p>
        </w:tc>
      </w:tr>
      <w:tr w:rsidR="00793AD3" w:rsidRPr="00793AD3" w14:paraId="1CFECC32" w14:textId="77777777" w:rsidTr="00926CD2">
        <w:trPr>
          <w:trHeight w:val="26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8152AF" w14:textId="180BCEDB"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25</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4E0246" w14:textId="070C35CF"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景顺长城基金</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BA3DA0" w14:textId="7A78E870"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56</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DB0940" w14:textId="0B7A1145"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中信建投证券</w:t>
            </w:r>
          </w:p>
        </w:tc>
      </w:tr>
      <w:tr w:rsidR="00793AD3" w:rsidRPr="00793AD3" w14:paraId="364279CF" w14:textId="77777777" w:rsidTr="00926CD2">
        <w:trPr>
          <w:trHeight w:val="26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E9E05" w14:textId="64F52BDA"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26</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D0E7FB" w14:textId="192B4112"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久实投资</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604A93" w14:textId="2B6C09AF"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57</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99A56" w14:textId="6ABC569D"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中信期货</w:t>
            </w:r>
          </w:p>
        </w:tc>
      </w:tr>
      <w:tr w:rsidR="00793AD3" w:rsidRPr="00793AD3" w14:paraId="427BE06A" w14:textId="77777777" w:rsidTr="00926CD2">
        <w:trPr>
          <w:trHeight w:val="26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0F291F" w14:textId="5653AF48"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27</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A98FDB" w14:textId="192440CF"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巨杉（上海）资管</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00BFAB" w14:textId="1ED6F262"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58</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C5C74E" w14:textId="371D6162"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中信证券</w:t>
            </w:r>
          </w:p>
        </w:tc>
      </w:tr>
      <w:tr w:rsidR="00793AD3" w:rsidRPr="00793AD3" w14:paraId="53CAD7CE" w14:textId="77777777" w:rsidTr="00926CD2">
        <w:trPr>
          <w:trHeight w:val="26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CE4C68" w14:textId="7D2DC6E3"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28</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560387" w14:textId="433C43F1"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开源证券</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D23267" w14:textId="7A074505"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59</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E46387" w14:textId="03EFD42B"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中邮证券</w:t>
            </w:r>
          </w:p>
        </w:tc>
      </w:tr>
      <w:tr w:rsidR="00793AD3" w:rsidRPr="00793AD3" w14:paraId="626AF99F" w14:textId="77777777" w:rsidTr="00926CD2">
        <w:trPr>
          <w:trHeight w:val="26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17A4EE" w14:textId="22AB3922"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29</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F1CDF" w14:textId="4112CB1B"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诺安基金</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A36BC1" w14:textId="09069C7C"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60</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69B5AA" w14:textId="5DADF412"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珠池资产</w:t>
            </w:r>
          </w:p>
        </w:tc>
      </w:tr>
      <w:tr w:rsidR="00793AD3" w:rsidRPr="00793AD3" w14:paraId="3614EC69" w14:textId="77777777" w:rsidTr="00926CD2">
        <w:trPr>
          <w:trHeight w:val="26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FB082E" w14:textId="75794B20"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30</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7597CB" w14:textId="5043D113"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平安基金</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4CFA5E" w14:textId="54B8ADC1"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61</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2DEE20" w14:textId="4BEE9583"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珠海尚石私募基金</w:t>
            </w:r>
          </w:p>
        </w:tc>
      </w:tr>
      <w:tr w:rsidR="00793AD3" w:rsidRPr="00793AD3" w14:paraId="13DC2C9F" w14:textId="77777777" w:rsidTr="00926CD2">
        <w:trPr>
          <w:trHeight w:val="260"/>
        </w:trPr>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86A210" w14:textId="1AEA989C" w:rsidR="00793AD3" w:rsidRPr="00793AD3" w:rsidRDefault="00793AD3" w:rsidP="00793AD3">
            <w:pPr>
              <w:widowControl/>
              <w:jc w:val="center"/>
              <w:rPr>
                <w:rFonts w:ascii="楷体" w:eastAsia="楷体" w:hAnsi="楷体" w:cs="宋体"/>
                <w:color w:val="000000"/>
                <w:kern w:val="0"/>
                <w:sz w:val="22"/>
                <w:szCs w:val="22"/>
              </w:rPr>
            </w:pPr>
            <w:r w:rsidRPr="00793AD3">
              <w:rPr>
                <w:rFonts w:ascii="楷体" w:eastAsia="楷体" w:hAnsi="楷体" w:hint="eastAsia"/>
                <w:color w:val="000000"/>
                <w:sz w:val="22"/>
                <w:szCs w:val="22"/>
              </w:rPr>
              <w:t>31</w:t>
            </w:r>
          </w:p>
        </w:tc>
        <w:tc>
          <w:tcPr>
            <w:tcW w:w="18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0428B7" w14:textId="11917CD2" w:rsidR="00793AD3" w:rsidRPr="00793AD3" w:rsidRDefault="00793AD3" w:rsidP="00793AD3">
            <w:pPr>
              <w:widowControl/>
              <w:jc w:val="left"/>
              <w:rPr>
                <w:rFonts w:ascii="楷体" w:eastAsia="楷体" w:hAnsi="楷体" w:cs="宋体"/>
                <w:color w:val="000000"/>
                <w:kern w:val="0"/>
                <w:sz w:val="22"/>
                <w:szCs w:val="22"/>
              </w:rPr>
            </w:pPr>
            <w:r w:rsidRPr="00793AD3">
              <w:rPr>
                <w:rFonts w:ascii="楷体" w:eastAsia="楷体" w:hAnsi="楷体" w:hint="eastAsia"/>
                <w:color w:val="000000"/>
                <w:sz w:val="22"/>
                <w:szCs w:val="22"/>
              </w:rPr>
              <w:t>平安证券</w:t>
            </w:r>
          </w:p>
        </w:tc>
        <w:tc>
          <w:tcPr>
            <w:tcW w:w="5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9AB358" w14:textId="77777777" w:rsidR="00793AD3" w:rsidRPr="00793AD3" w:rsidRDefault="00793AD3" w:rsidP="00793AD3">
            <w:pPr>
              <w:widowControl/>
              <w:jc w:val="center"/>
              <w:rPr>
                <w:rFonts w:ascii="楷体" w:eastAsia="楷体" w:hAnsi="楷体" w:cs="宋体"/>
                <w:color w:val="000000"/>
                <w:kern w:val="0"/>
                <w:sz w:val="22"/>
                <w:szCs w:val="22"/>
              </w:rPr>
            </w:pP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DF2005" w14:textId="77777777" w:rsidR="00793AD3" w:rsidRPr="00793AD3" w:rsidRDefault="00793AD3" w:rsidP="00793AD3">
            <w:pPr>
              <w:widowControl/>
              <w:jc w:val="left"/>
              <w:rPr>
                <w:rFonts w:ascii="楷体" w:eastAsia="楷体" w:hAnsi="楷体" w:cs="宋体"/>
                <w:color w:val="000000"/>
                <w:kern w:val="0"/>
                <w:sz w:val="22"/>
                <w:szCs w:val="22"/>
              </w:rPr>
            </w:pPr>
          </w:p>
        </w:tc>
      </w:tr>
    </w:tbl>
    <w:p w14:paraId="43914F80" w14:textId="77777777" w:rsidR="00CB472A" w:rsidRDefault="00CB472A">
      <w:pPr>
        <w:widowControl/>
        <w:jc w:val="left"/>
        <w:rPr>
          <w:b/>
          <w:sz w:val="24"/>
        </w:rPr>
      </w:pPr>
    </w:p>
    <w:sectPr w:rsidR="00CB472A">
      <w:footerReference w:type="default" r:id="rId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5E54A" w14:textId="77777777" w:rsidR="00867DCA" w:rsidRDefault="00867DCA">
      <w:r>
        <w:separator/>
      </w:r>
    </w:p>
  </w:endnote>
  <w:endnote w:type="continuationSeparator" w:id="0">
    <w:p w14:paraId="7A07237B" w14:textId="77777777" w:rsidR="00867DCA" w:rsidRDefault="00867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仿宋_GB2312">
    <w:charset w:val="00"/>
    <w:family w:val="auto"/>
    <w:pitch w:val="default"/>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0A7CD" w14:textId="77777777" w:rsidR="00372728" w:rsidRDefault="00372728">
    <w:pPr>
      <w:pStyle w:val="a8"/>
    </w:pPr>
  </w:p>
  <w:p w14:paraId="62B21A8B" w14:textId="77777777" w:rsidR="00372728" w:rsidRDefault="0037272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E0589" w14:textId="77777777" w:rsidR="00867DCA" w:rsidRDefault="00867DCA">
      <w:r>
        <w:separator/>
      </w:r>
    </w:p>
  </w:footnote>
  <w:footnote w:type="continuationSeparator" w:id="0">
    <w:p w14:paraId="3F38FCEF" w14:textId="77777777" w:rsidR="00867DCA" w:rsidRDefault="00867D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6209"/>
    <w:multiLevelType w:val="singleLevel"/>
    <w:tmpl w:val="04486209"/>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zU4N2UwYmRiYjMzNGZhNWIxNTdlODQxZTRlNzBmN2YifQ=="/>
  </w:docVars>
  <w:rsids>
    <w:rsidRoot w:val="008D5491"/>
    <w:rsid w:val="000047B9"/>
    <w:rsid w:val="0000734D"/>
    <w:rsid w:val="00010D24"/>
    <w:rsid w:val="0001265F"/>
    <w:rsid w:val="000128D0"/>
    <w:rsid w:val="00013934"/>
    <w:rsid w:val="000151E0"/>
    <w:rsid w:val="00016A35"/>
    <w:rsid w:val="00017DAD"/>
    <w:rsid w:val="00020D06"/>
    <w:rsid w:val="000228C6"/>
    <w:rsid w:val="00022C29"/>
    <w:rsid w:val="00023EB9"/>
    <w:rsid w:val="0002765E"/>
    <w:rsid w:val="0003029C"/>
    <w:rsid w:val="00031606"/>
    <w:rsid w:val="00035660"/>
    <w:rsid w:val="0003672C"/>
    <w:rsid w:val="000405A3"/>
    <w:rsid w:val="00040A0E"/>
    <w:rsid w:val="0004258A"/>
    <w:rsid w:val="00042EA6"/>
    <w:rsid w:val="000458D6"/>
    <w:rsid w:val="00045CCC"/>
    <w:rsid w:val="00046644"/>
    <w:rsid w:val="000468A3"/>
    <w:rsid w:val="00046E7E"/>
    <w:rsid w:val="000476B7"/>
    <w:rsid w:val="00052F09"/>
    <w:rsid w:val="000533ED"/>
    <w:rsid w:val="0005480F"/>
    <w:rsid w:val="00054DC2"/>
    <w:rsid w:val="00055D56"/>
    <w:rsid w:val="00056256"/>
    <w:rsid w:val="00056970"/>
    <w:rsid w:val="00056A4A"/>
    <w:rsid w:val="00057889"/>
    <w:rsid w:val="00060B13"/>
    <w:rsid w:val="000620C0"/>
    <w:rsid w:val="00062316"/>
    <w:rsid w:val="00064E4D"/>
    <w:rsid w:val="000657BC"/>
    <w:rsid w:val="000657DC"/>
    <w:rsid w:val="0006583F"/>
    <w:rsid w:val="000662E3"/>
    <w:rsid w:val="00066B88"/>
    <w:rsid w:val="00067430"/>
    <w:rsid w:val="000702B9"/>
    <w:rsid w:val="000733AA"/>
    <w:rsid w:val="000734ED"/>
    <w:rsid w:val="00074AD6"/>
    <w:rsid w:val="00074EA6"/>
    <w:rsid w:val="00075E68"/>
    <w:rsid w:val="000760E6"/>
    <w:rsid w:val="000776D9"/>
    <w:rsid w:val="00077DE7"/>
    <w:rsid w:val="000824A1"/>
    <w:rsid w:val="00083292"/>
    <w:rsid w:val="00083E63"/>
    <w:rsid w:val="0008592C"/>
    <w:rsid w:val="00085DA7"/>
    <w:rsid w:val="00085F84"/>
    <w:rsid w:val="00085FE8"/>
    <w:rsid w:val="00086215"/>
    <w:rsid w:val="000864FC"/>
    <w:rsid w:val="000866F4"/>
    <w:rsid w:val="00087D94"/>
    <w:rsid w:val="00090613"/>
    <w:rsid w:val="000964B8"/>
    <w:rsid w:val="000A1587"/>
    <w:rsid w:val="000A54C3"/>
    <w:rsid w:val="000A6C75"/>
    <w:rsid w:val="000A7120"/>
    <w:rsid w:val="000A7C7A"/>
    <w:rsid w:val="000B2930"/>
    <w:rsid w:val="000B3921"/>
    <w:rsid w:val="000B47EB"/>
    <w:rsid w:val="000B6D47"/>
    <w:rsid w:val="000C11B0"/>
    <w:rsid w:val="000C1371"/>
    <w:rsid w:val="000C26F4"/>
    <w:rsid w:val="000C38CA"/>
    <w:rsid w:val="000C392A"/>
    <w:rsid w:val="000C461E"/>
    <w:rsid w:val="000C5A9A"/>
    <w:rsid w:val="000D0621"/>
    <w:rsid w:val="000D1B77"/>
    <w:rsid w:val="000D2089"/>
    <w:rsid w:val="000D3408"/>
    <w:rsid w:val="000D4AEF"/>
    <w:rsid w:val="000D5C05"/>
    <w:rsid w:val="000E05B3"/>
    <w:rsid w:val="000E31F9"/>
    <w:rsid w:val="000E35AE"/>
    <w:rsid w:val="000E366F"/>
    <w:rsid w:val="000E3CD4"/>
    <w:rsid w:val="000E484D"/>
    <w:rsid w:val="000E641C"/>
    <w:rsid w:val="000E65F5"/>
    <w:rsid w:val="000E6817"/>
    <w:rsid w:val="000E75E7"/>
    <w:rsid w:val="000F0604"/>
    <w:rsid w:val="000F1B3F"/>
    <w:rsid w:val="000F2D23"/>
    <w:rsid w:val="000F3C61"/>
    <w:rsid w:val="000F59DD"/>
    <w:rsid w:val="00100628"/>
    <w:rsid w:val="001013E2"/>
    <w:rsid w:val="00104419"/>
    <w:rsid w:val="0010460F"/>
    <w:rsid w:val="00105B65"/>
    <w:rsid w:val="0010705A"/>
    <w:rsid w:val="0010706B"/>
    <w:rsid w:val="00107139"/>
    <w:rsid w:val="0011134F"/>
    <w:rsid w:val="00113BEC"/>
    <w:rsid w:val="001140DF"/>
    <w:rsid w:val="0011540C"/>
    <w:rsid w:val="00117259"/>
    <w:rsid w:val="00117BE6"/>
    <w:rsid w:val="0012165B"/>
    <w:rsid w:val="0012392E"/>
    <w:rsid w:val="00125602"/>
    <w:rsid w:val="00130D9E"/>
    <w:rsid w:val="00134E3F"/>
    <w:rsid w:val="00136991"/>
    <w:rsid w:val="00141859"/>
    <w:rsid w:val="00142A00"/>
    <w:rsid w:val="00144764"/>
    <w:rsid w:val="001465D5"/>
    <w:rsid w:val="0014675B"/>
    <w:rsid w:val="001469A8"/>
    <w:rsid w:val="001532DD"/>
    <w:rsid w:val="00155763"/>
    <w:rsid w:val="00155842"/>
    <w:rsid w:val="001561F4"/>
    <w:rsid w:val="00156888"/>
    <w:rsid w:val="00157FD8"/>
    <w:rsid w:val="0016122F"/>
    <w:rsid w:val="00161888"/>
    <w:rsid w:val="00161C13"/>
    <w:rsid w:val="00162302"/>
    <w:rsid w:val="00163868"/>
    <w:rsid w:val="001638B7"/>
    <w:rsid w:val="00164329"/>
    <w:rsid w:val="00164C31"/>
    <w:rsid w:val="00165484"/>
    <w:rsid w:val="00170FB3"/>
    <w:rsid w:val="00172EDB"/>
    <w:rsid w:val="001771B3"/>
    <w:rsid w:val="0018013C"/>
    <w:rsid w:val="00182462"/>
    <w:rsid w:val="00182F54"/>
    <w:rsid w:val="00183247"/>
    <w:rsid w:val="001834D5"/>
    <w:rsid w:val="00185E78"/>
    <w:rsid w:val="0018607F"/>
    <w:rsid w:val="00187127"/>
    <w:rsid w:val="001873B7"/>
    <w:rsid w:val="001900D5"/>
    <w:rsid w:val="0019029A"/>
    <w:rsid w:val="0019036B"/>
    <w:rsid w:val="001914C9"/>
    <w:rsid w:val="001916AD"/>
    <w:rsid w:val="00193ABF"/>
    <w:rsid w:val="00195BBA"/>
    <w:rsid w:val="00197B14"/>
    <w:rsid w:val="001A0846"/>
    <w:rsid w:val="001A1065"/>
    <w:rsid w:val="001A1C4B"/>
    <w:rsid w:val="001A45AB"/>
    <w:rsid w:val="001A4E93"/>
    <w:rsid w:val="001A6170"/>
    <w:rsid w:val="001A6231"/>
    <w:rsid w:val="001A7FEB"/>
    <w:rsid w:val="001B0D52"/>
    <w:rsid w:val="001B4E4F"/>
    <w:rsid w:val="001B5402"/>
    <w:rsid w:val="001B66D4"/>
    <w:rsid w:val="001B7DE5"/>
    <w:rsid w:val="001C0692"/>
    <w:rsid w:val="001C0806"/>
    <w:rsid w:val="001C0D2B"/>
    <w:rsid w:val="001C2AF1"/>
    <w:rsid w:val="001C2CA9"/>
    <w:rsid w:val="001C414F"/>
    <w:rsid w:val="001C4A26"/>
    <w:rsid w:val="001D0E8A"/>
    <w:rsid w:val="001D2E07"/>
    <w:rsid w:val="001D5BDB"/>
    <w:rsid w:val="001D5EBC"/>
    <w:rsid w:val="001E028B"/>
    <w:rsid w:val="001E0D1F"/>
    <w:rsid w:val="001E0E38"/>
    <w:rsid w:val="001E1371"/>
    <w:rsid w:val="001E3FB9"/>
    <w:rsid w:val="001E5E85"/>
    <w:rsid w:val="001F2373"/>
    <w:rsid w:val="001F2E16"/>
    <w:rsid w:val="001F344A"/>
    <w:rsid w:val="001F6E1A"/>
    <w:rsid w:val="001F71A8"/>
    <w:rsid w:val="0020238B"/>
    <w:rsid w:val="002033C0"/>
    <w:rsid w:val="00206FB9"/>
    <w:rsid w:val="00212B05"/>
    <w:rsid w:val="00214D8A"/>
    <w:rsid w:val="002162C0"/>
    <w:rsid w:val="002177D4"/>
    <w:rsid w:val="00222E65"/>
    <w:rsid w:val="002244DC"/>
    <w:rsid w:val="00225C40"/>
    <w:rsid w:val="00226289"/>
    <w:rsid w:val="00226B38"/>
    <w:rsid w:val="0022729A"/>
    <w:rsid w:val="00232004"/>
    <w:rsid w:val="002326C5"/>
    <w:rsid w:val="00233645"/>
    <w:rsid w:val="0023418B"/>
    <w:rsid w:val="002349C9"/>
    <w:rsid w:val="00236262"/>
    <w:rsid w:val="00240FB5"/>
    <w:rsid w:val="0024279E"/>
    <w:rsid w:val="00242F78"/>
    <w:rsid w:val="0024411A"/>
    <w:rsid w:val="00247084"/>
    <w:rsid w:val="00247908"/>
    <w:rsid w:val="0025169E"/>
    <w:rsid w:val="002533AC"/>
    <w:rsid w:val="0025430D"/>
    <w:rsid w:val="0025632B"/>
    <w:rsid w:val="00257ECB"/>
    <w:rsid w:val="00261103"/>
    <w:rsid w:val="002625BE"/>
    <w:rsid w:val="00263B17"/>
    <w:rsid w:val="002703A0"/>
    <w:rsid w:val="00272291"/>
    <w:rsid w:val="0027326F"/>
    <w:rsid w:val="002768EC"/>
    <w:rsid w:val="002815BB"/>
    <w:rsid w:val="002822F3"/>
    <w:rsid w:val="002824B0"/>
    <w:rsid w:val="00283AF1"/>
    <w:rsid w:val="002904CF"/>
    <w:rsid w:val="00293D7D"/>
    <w:rsid w:val="00295A63"/>
    <w:rsid w:val="002A015E"/>
    <w:rsid w:val="002A3E14"/>
    <w:rsid w:val="002A4737"/>
    <w:rsid w:val="002A487A"/>
    <w:rsid w:val="002A4E1D"/>
    <w:rsid w:val="002A6796"/>
    <w:rsid w:val="002A67B8"/>
    <w:rsid w:val="002A7157"/>
    <w:rsid w:val="002B02EE"/>
    <w:rsid w:val="002B08B4"/>
    <w:rsid w:val="002B1914"/>
    <w:rsid w:val="002B36EE"/>
    <w:rsid w:val="002B51AE"/>
    <w:rsid w:val="002B56AE"/>
    <w:rsid w:val="002B5C19"/>
    <w:rsid w:val="002B5D1A"/>
    <w:rsid w:val="002B63EC"/>
    <w:rsid w:val="002B6742"/>
    <w:rsid w:val="002B7D5F"/>
    <w:rsid w:val="002C22C7"/>
    <w:rsid w:val="002C35B9"/>
    <w:rsid w:val="002C5395"/>
    <w:rsid w:val="002C6218"/>
    <w:rsid w:val="002C65E3"/>
    <w:rsid w:val="002C71B3"/>
    <w:rsid w:val="002C7FE1"/>
    <w:rsid w:val="002D08F2"/>
    <w:rsid w:val="002D1DE5"/>
    <w:rsid w:val="002D3B91"/>
    <w:rsid w:val="002D425A"/>
    <w:rsid w:val="002D4761"/>
    <w:rsid w:val="002D5609"/>
    <w:rsid w:val="002D56D7"/>
    <w:rsid w:val="002E1C53"/>
    <w:rsid w:val="002E2A6C"/>
    <w:rsid w:val="002E60A9"/>
    <w:rsid w:val="002E764E"/>
    <w:rsid w:val="002E7A68"/>
    <w:rsid w:val="002F1540"/>
    <w:rsid w:val="002F3625"/>
    <w:rsid w:val="002F417D"/>
    <w:rsid w:val="002F4223"/>
    <w:rsid w:val="002F7148"/>
    <w:rsid w:val="003011F5"/>
    <w:rsid w:val="00301884"/>
    <w:rsid w:val="00301B48"/>
    <w:rsid w:val="00301D88"/>
    <w:rsid w:val="00306057"/>
    <w:rsid w:val="003069A5"/>
    <w:rsid w:val="00306CC0"/>
    <w:rsid w:val="003102BA"/>
    <w:rsid w:val="00313EAE"/>
    <w:rsid w:val="003163FB"/>
    <w:rsid w:val="00320AAE"/>
    <w:rsid w:val="0032300B"/>
    <w:rsid w:val="003237A1"/>
    <w:rsid w:val="00326D52"/>
    <w:rsid w:val="003321E8"/>
    <w:rsid w:val="00332F4D"/>
    <w:rsid w:val="00333091"/>
    <w:rsid w:val="0033453D"/>
    <w:rsid w:val="00336C84"/>
    <w:rsid w:val="00337DC8"/>
    <w:rsid w:val="003400DB"/>
    <w:rsid w:val="003419E1"/>
    <w:rsid w:val="00342065"/>
    <w:rsid w:val="0034270A"/>
    <w:rsid w:val="003447E1"/>
    <w:rsid w:val="00344BD5"/>
    <w:rsid w:val="00345DEE"/>
    <w:rsid w:val="00346152"/>
    <w:rsid w:val="00346E94"/>
    <w:rsid w:val="0035150A"/>
    <w:rsid w:val="0035220C"/>
    <w:rsid w:val="003535B2"/>
    <w:rsid w:val="003564B4"/>
    <w:rsid w:val="003568DB"/>
    <w:rsid w:val="00360444"/>
    <w:rsid w:val="00362C69"/>
    <w:rsid w:val="00364635"/>
    <w:rsid w:val="00365469"/>
    <w:rsid w:val="00371B31"/>
    <w:rsid w:val="00372728"/>
    <w:rsid w:val="00373697"/>
    <w:rsid w:val="0037405B"/>
    <w:rsid w:val="00375BC7"/>
    <w:rsid w:val="00376D4E"/>
    <w:rsid w:val="003774D6"/>
    <w:rsid w:val="00380AAF"/>
    <w:rsid w:val="003815D8"/>
    <w:rsid w:val="003828DB"/>
    <w:rsid w:val="0038733C"/>
    <w:rsid w:val="00387AE5"/>
    <w:rsid w:val="00390753"/>
    <w:rsid w:val="003925A2"/>
    <w:rsid w:val="00394C8F"/>
    <w:rsid w:val="00397458"/>
    <w:rsid w:val="003A30E3"/>
    <w:rsid w:val="003A3F94"/>
    <w:rsid w:val="003A62F1"/>
    <w:rsid w:val="003A7A68"/>
    <w:rsid w:val="003B325C"/>
    <w:rsid w:val="003B3283"/>
    <w:rsid w:val="003B42D2"/>
    <w:rsid w:val="003B460C"/>
    <w:rsid w:val="003B5856"/>
    <w:rsid w:val="003C2A9B"/>
    <w:rsid w:val="003C2DD1"/>
    <w:rsid w:val="003C4608"/>
    <w:rsid w:val="003C6172"/>
    <w:rsid w:val="003C77FF"/>
    <w:rsid w:val="003D05BD"/>
    <w:rsid w:val="003D0D63"/>
    <w:rsid w:val="003D35D3"/>
    <w:rsid w:val="003D42C2"/>
    <w:rsid w:val="003D4FE7"/>
    <w:rsid w:val="003D57BB"/>
    <w:rsid w:val="003D7831"/>
    <w:rsid w:val="003E088D"/>
    <w:rsid w:val="003E2289"/>
    <w:rsid w:val="003E277C"/>
    <w:rsid w:val="003E41AE"/>
    <w:rsid w:val="003E5440"/>
    <w:rsid w:val="003E59E5"/>
    <w:rsid w:val="003E5A5B"/>
    <w:rsid w:val="003E6A20"/>
    <w:rsid w:val="003E7D57"/>
    <w:rsid w:val="003F5D8D"/>
    <w:rsid w:val="00400AEE"/>
    <w:rsid w:val="0040112B"/>
    <w:rsid w:val="0040209E"/>
    <w:rsid w:val="0040236B"/>
    <w:rsid w:val="00404285"/>
    <w:rsid w:val="004060A2"/>
    <w:rsid w:val="00410DBA"/>
    <w:rsid w:val="00410F08"/>
    <w:rsid w:val="00411877"/>
    <w:rsid w:val="004149CC"/>
    <w:rsid w:val="00414E25"/>
    <w:rsid w:val="00416344"/>
    <w:rsid w:val="004207D2"/>
    <w:rsid w:val="00423D68"/>
    <w:rsid w:val="00424487"/>
    <w:rsid w:val="00427B67"/>
    <w:rsid w:val="0043185B"/>
    <w:rsid w:val="004333B1"/>
    <w:rsid w:val="00433742"/>
    <w:rsid w:val="004346F2"/>
    <w:rsid w:val="004353E7"/>
    <w:rsid w:val="00435DA3"/>
    <w:rsid w:val="00436A39"/>
    <w:rsid w:val="00436E02"/>
    <w:rsid w:val="004374D0"/>
    <w:rsid w:val="00437B3A"/>
    <w:rsid w:val="00440B6D"/>
    <w:rsid w:val="004414C1"/>
    <w:rsid w:val="00447339"/>
    <w:rsid w:val="00447A3B"/>
    <w:rsid w:val="00451125"/>
    <w:rsid w:val="0045174B"/>
    <w:rsid w:val="0045289D"/>
    <w:rsid w:val="00456D60"/>
    <w:rsid w:val="00457A5C"/>
    <w:rsid w:val="00461D77"/>
    <w:rsid w:val="00464896"/>
    <w:rsid w:val="00464C95"/>
    <w:rsid w:val="00465101"/>
    <w:rsid w:val="004654CA"/>
    <w:rsid w:val="00466F1B"/>
    <w:rsid w:val="004700EF"/>
    <w:rsid w:val="004706E1"/>
    <w:rsid w:val="00473CD7"/>
    <w:rsid w:val="004757C9"/>
    <w:rsid w:val="004772C6"/>
    <w:rsid w:val="00477377"/>
    <w:rsid w:val="00480443"/>
    <w:rsid w:val="00480D98"/>
    <w:rsid w:val="0048346D"/>
    <w:rsid w:val="004848C1"/>
    <w:rsid w:val="00486B72"/>
    <w:rsid w:val="00490316"/>
    <w:rsid w:val="004904B8"/>
    <w:rsid w:val="00492518"/>
    <w:rsid w:val="0049390D"/>
    <w:rsid w:val="004A115D"/>
    <w:rsid w:val="004A3138"/>
    <w:rsid w:val="004A524C"/>
    <w:rsid w:val="004A5C75"/>
    <w:rsid w:val="004B020A"/>
    <w:rsid w:val="004B035B"/>
    <w:rsid w:val="004B048D"/>
    <w:rsid w:val="004B33ED"/>
    <w:rsid w:val="004B477F"/>
    <w:rsid w:val="004B5A0A"/>
    <w:rsid w:val="004B6A57"/>
    <w:rsid w:val="004B6B27"/>
    <w:rsid w:val="004C188B"/>
    <w:rsid w:val="004C1CC2"/>
    <w:rsid w:val="004C29DC"/>
    <w:rsid w:val="004C3904"/>
    <w:rsid w:val="004C3A7C"/>
    <w:rsid w:val="004C3E08"/>
    <w:rsid w:val="004C4D90"/>
    <w:rsid w:val="004C5945"/>
    <w:rsid w:val="004C6554"/>
    <w:rsid w:val="004D0A9B"/>
    <w:rsid w:val="004D14A7"/>
    <w:rsid w:val="004D16C7"/>
    <w:rsid w:val="004D293A"/>
    <w:rsid w:val="004D2C50"/>
    <w:rsid w:val="004D7031"/>
    <w:rsid w:val="004E1BBC"/>
    <w:rsid w:val="004E1C1B"/>
    <w:rsid w:val="004E1D84"/>
    <w:rsid w:val="004E30E2"/>
    <w:rsid w:val="004E35C4"/>
    <w:rsid w:val="004E3925"/>
    <w:rsid w:val="004E652E"/>
    <w:rsid w:val="004E6DD1"/>
    <w:rsid w:val="004E7410"/>
    <w:rsid w:val="004E74BA"/>
    <w:rsid w:val="004F213A"/>
    <w:rsid w:val="004F4112"/>
    <w:rsid w:val="004F4B92"/>
    <w:rsid w:val="004F4C39"/>
    <w:rsid w:val="004F5004"/>
    <w:rsid w:val="004F709D"/>
    <w:rsid w:val="004F7FAB"/>
    <w:rsid w:val="00501D36"/>
    <w:rsid w:val="005039F6"/>
    <w:rsid w:val="00503F8D"/>
    <w:rsid w:val="00504328"/>
    <w:rsid w:val="00506116"/>
    <w:rsid w:val="00510442"/>
    <w:rsid w:val="00510A62"/>
    <w:rsid w:val="005124D2"/>
    <w:rsid w:val="005127C4"/>
    <w:rsid w:val="00515C86"/>
    <w:rsid w:val="00516537"/>
    <w:rsid w:val="00517116"/>
    <w:rsid w:val="00517E16"/>
    <w:rsid w:val="00522890"/>
    <w:rsid w:val="0052396B"/>
    <w:rsid w:val="00524683"/>
    <w:rsid w:val="00524746"/>
    <w:rsid w:val="005250D9"/>
    <w:rsid w:val="005257BB"/>
    <w:rsid w:val="005261A9"/>
    <w:rsid w:val="00527472"/>
    <w:rsid w:val="00527856"/>
    <w:rsid w:val="0053019E"/>
    <w:rsid w:val="00530D4C"/>
    <w:rsid w:val="005332F8"/>
    <w:rsid w:val="005350F8"/>
    <w:rsid w:val="0053628D"/>
    <w:rsid w:val="00537760"/>
    <w:rsid w:val="0054018C"/>
    <w:rsid w:val="005448CF"/>
    <w:rsid w:val="00545272"/>
    <w:rsid w:val="005461F2"/>
    <w:rsid w:val="00546BFA"/>
    <w:rsid w:val="00546F11"/>
    <w:rsid w:val="00547060"/>
    <w:rsid w:val="0054735B"/>
    <w:rsid w:val="00547E11"/>
    <w:rsid w:val="005510CF"/>
    <w:rsid w:val="0055165C"/>
    <w:rsid w:val="00552486"/>
    <w:rsid w:val="0055254B"/>
    <w:rsid w:val="005525A8"/>
    <w:rsid w:val="005566D4"/>
    <w:rsid w:val="0055740F"/>
    <w:rsid w:val="00557FC1"/>
    <w:rsid w:val="00560241"/>
    <w:rsid w:val="00562B25"/>
    <w:rsid w:val="005644B9"/>
    <w:rsid w:val="00564F41"/>
    <w:rsid w:val="005650CB"/>
    <w:rsid w:val="00565E14"/>
    <w:rsid w:val="00566C44"/>
    <w:rsid w:val="00567D27"/>
    <w:rsid w:val="0057099B"/>
    <w:rsid w:val="0057272C"/>
    <w:rsid w:val="0057279D"/>
    <w:rsid w:val="0057286B"/>
    <w:rsid w:val="00572D52"/>
    <w:rsid w:val="0057419D"/>
    <w:rsid w:val="00580DD1"/>
    <w:rsid w:val="0058331D"/>
    <w:rsid w:val="0058551A"/>
    <w:rsid w:val="00592A8A"/>
    <w:rsid w:val="00597250"/>
    <w:rsid w:val="00597545"/>
    <w:rsid w:val="005A24BE"/>
    <w:rsid w:val="005A32ED"/>
    <w:rsid w:val="005A3EB3"/>
    <w:rsid w:val="005A436D"/>
    <w:rsid w:val="005B048F"/>
    <w:rsid w:val="005B46A2"/>
    <w:rsid w:val="005B57D0"/>
    <w:rsid w:val="005C10F1"/>
    <w:rsid w:val="005C4092"/>
    <w:rsid w:val="005C53C8"/>
    <w:rsid w:val="005C5594"/>
    <w:rsid w:val="005C62A0"/>
    <w:rsid w:val="005C6A06"/>
    <w:rsid w:val="005C702B"/>
    <w:rsid w:val="005C776F"/>
    <w:rsid w:val="005D0592"/>
    <w:rsid w:val="005D1CF2"/>
    <w:rsid w:val="005D1E86"/>
    <w:rsid w:val="005D20D6"/>
    <w:rsid w:val="005D2114"/>
    <w:rsid w:val="005D51D5"/>
    <w:rsid w:val="005D5B5F"/>
    <w:rsid w:val="005D72FF"/>
    <w:rsid w:val="005E1403"/>
    <w:rsid w:val="005E51C0"/>
    <w:rsid w:val="005E6BD2"/>
    <w:rsid w:val="005F0A5E"/>
    <w:rsid w:val="005F281E"/>
    <w:rsid w:val="005F458C"/>
    <w:rsid w:val="005F4749"/>
    <w:rsid w:val="005F4E2B"/>
    <w:rsid w:val="005F5003"/>
    <w:rsid w:val="005F7055"/>
    <w:rsid w:val="005F7137"/>
    <w:rsid w:val="0060118A"/>
    <w:rsid w:val="0060304A"/>
    <w:rsid w:val="00603A7B"/>
    <w:rsid w:val="00604FE5"/>
    <w:rsid w:val="0060735D"/>
    <w:rsid w:val="00607E81"/>
    <w:rsid w:val="00614FDD"/>
    <w:rsid w:val="00616311"/>
    <w:rsid w:val="00617792"/>
    <w:rsid w:val="006179F7"/>
    <w:rsid w:val="00620086"/>
    <w:rsid w:val="006207FA"/>
    <w:rsid w:val="00622B7E"/>
    <w:rsid w:val="0062343F"/>
    <w:rsid w:val="0062477E"/>
    <w:rsid w:val="00624853"/>
    <w:rsid w:val="00624C3E"/>
    <w:rsid w:val="006253FD"/>
    <w:rsid w:val="00625C0C"/>
    <w:rsid w:val="0062669E"/>
    <w:rsid w:val="0063094B"/>
    <w:rsid w:val="006333A7"/>
    <w:rsid w:val="0063378B"/>
    <w:rsid w:val="00634610"/>
    <w:rsid w:val="00634972"/>
    <w:rsid w:val="006350AE"/>
    <w:rsid w:val="00635C2A"/>
    <w:rsid w:val="00636A81"/>
    <w:rsid w:val="0063751E"/>
    <w:rsid w:val="00637983"/>
    <w:rsid w:val="0064094E"/>
    <w:rsid w:val="0064128F"/>
    <w:rsid w:val="0064158E"/>
    <w:rsid w:val="006417AB"/>
    <w:rsid w:val="0064356A"/>
    <w:rsid w:val="00646A2B"/>
    <w:rsid w:val="00646D56"/>
    <w:rsid w:val="00647AD7"/>
    <w:rsid w:val="00652FC1"/>
    <w:rsid w:val="00653501"/>
    <w:rsid w:val="0065365F"/>
    <w:rsid w:val="006550CC"/>
    <w:rsid w:val="00656B76"/>
    <w:rsid w:val="00656E82"/>
    <w:rsid w:val="0066074B"/>
    <w:rsid w:val="00661FB7"/>
    <w:rsid w:val="0066294F"/>
    <w:rsid w:val="00664128"/>
    <w:rsid w:val="006649F6"/>
    <w:rsid w:val="00666A4A"/>
    <w:rsid w:val="00666EDE"/>
    <w:rsid w:val="00667311"/>
    <w:rsid w:val="00667641"/>
    <w:rsid w:val="006677B9"/>
    <w:rsid w:val="00670157"/>
    <w:rsid w:val="00672D9F"/>
    <w:rsid w:val="00676351"/>
    <w:rsid w:val="00680B4E"/>
    <w:rsid w:val="006823E4"/>
    <w:rsid w:val="00683A15"/>
    <w:rsid w:val="00684F68"/>
    <w:rsid w:val="006856BD"/>
    <w:rsid w:val="00685D78"/>
    <w:rsid w:val="0068691E"/>
    <w:rsid w:val="00686B29"/>
    <w:rsid w:val="00687249"/>
    <w:rsid w:val="00687A1E"/>
    <w:rsid w:val="00690187"/>
    <w:rsid w:val="00690223"/>
    <w:rsid w:val="00690667"/>
    <w:rsid w:val="006919D6"/>
    <w:rsid w:val="0069513B"/>
    <w:rsid w:val="0069560B"/>
    <w:rsid w:val="006A051D"/>
    <w:rsid w:val="006A127F"/>
    <w:rsid w:val="006A1983"/>
    <w:rsid w:val="006A2E46"/>
    <w:rsid w:val="006A4E5E"/>
    <w:rsid w:val="006A54BD"/>
    <w:rsid w:val="006A5721"/>
    <w:rsid w:val="006A7C15"/>
    <w:rsid w:val="006B0D96"/>
    <w:rsid w:val="006B1F24"/>
    <w:rsid w:val="006B2A02"/>
    <w:rsid w:val="006B4F2F"/>
    <w:rsid w:val="006B5D65"/>
    <w:rsid w:val="006B75E9"/>
    <w:rsid w:val="006C0A16"/>
    <w:rsid w:val="006C0AEB"/>
    <w:rsid w:val="006C1009"/>
    <w:rsid w:val="006C23E3"/>
    <w:rsid w:val="006C6272"/>
    <w:rsid w:val="006C753E"/>
    <w:rsid w:val="006D03AF"/>
    <w:rsid w:val="006D1526"/>
    <w:rsid w:val="006D1B3B"/>
    <w:rsid w:val="006D263D"/>
    <w:rsid w:val="006D457D"/>
    <w:rsid w:val="006D4AE6"/>
    <w:rsid w:val="006D592A"/>
    <w:rsid w:val="006D61C8"/>
    <w:rsid w:val="006D75A4"/>
    <w:rsid w:val="006E0BD6"/>
    <w:rsid w:val="006E23CB"/>
    <w:rsid w:val="006E2CA3"/>
    <w:rsid w:val="006E7977"/>
    <w:rsid w:val="006F0A7B"/>
    <w:rsid w:val="006F1FF4"/>
    <w:rsid w:val="006F3521"/>
    <w:rsid w:val="006F3539"/>
    <w:rsid w:val="006F5AA8"/>
    <w:rsid w:val="006F714D"/>
    <w:rsid w:val="007000AB"/>
    <w:rsid w:val="00700536"/>
    <w:rsid w:val="00701700"/>
    <w:rsid w:val="00702929"/>
    <w:rsid w:val="007042BB"/>
    <w:rsid w:val="007050FE"/>
    <w:rsid w:val="00706EF1"/>
    <w:rsid w:val="00710877"/>
    <w:rsid w:val="0071101B"/>
    <w:rsid w:val="007126EF"/>
    <w:rsid w:val="00712B97"/>
    <w:rsid w:val="00715F6C"/>
    <w:rsid w:val="00715FB6"/>
    <w:rsid w:val="007207C7"/>
    <w:rsid w:val="00720AE1"/>
    <w:rsid w:val="00720C34"/>
    <w:rsid w:val="00720F6D"/>
    <w:rsid w:val="00722A9B"/>
    <w:rsid w:val="0072479B"/>
    <w:rsid w:val="00725657"/>
    <w:rsid w:val="007257EE"/>
    <w:rsid w:val="00725F94"/>
    <w:rsid w:val="00726E13"/>
    <w:rsid w:val="00727949"/>
    <w:rsid w:val="00735734"/>
    <w:rsid w:val="00736942"/>
    <w:rsid w:val="00742D56"/>
    <w:rsid w:val="00743087"/>
    <w:rsid w:val="00743090"/>
    <w:rsid w:val="00743192"/>
    <w:rsid w:val="007459D6"/>
    <w:rsid w:val="00746EA9"/>
    <w:rsid w:val="007479A8"/>
    <w:rsid w:val="00750CD6"/>
    <w:rsid w:val="00751BE0"/>
    <w:rsid w:val="00752754"/>
    <w:rsid w:val="007536F2"/>
    <w:rsid w:val="00755D87"/>
    <w:rsid w:val="00756F30"/>
    <w:rsid w:val="007602E4"/>
    <w:rsid w:val="00760B23"/>
    <w:rsid w:val="007662BA"/>
    <w:rsid w:val="00767703"/>
    <w:rsid w:val="0077008D"/>
    <w:rsid w:val="00770FEC"/>
    <w:rsid w:val="00771349"/>
    <w:rsid w:val="00771688"/>
    <w:rsid w:val="00772033"/>
    <w:rsid w:val="007723A4"/>
    <w:rsid w:val="0077509A"/>
    <w:rsid w:val="007769DC"/>
    <w:rsid w:val="00780C09"/>
    <w:rsid w:val="00781BF1"/>
    <w:rsid w:val="00781E50"/>
    <w:rsid w:val="00783A94"/>
    <w:rsid w:val="00785243"/>
    <w:rsid w:val="00786B7D"/>
    <w:rsid w:val="007912CB"/>
    <w:rsid w:val="007930FE"/>
    <w:rsid w:val="00793AD3"/>
    <w:rsid w:val="00794AAC"/>
    <w:rsid w:val="00796A2A"/>
    <w:rsid w:val="007A1CD1"/>
    <w:rsid w:val="007A2664"/>
    <w:rsid w:val="007A31E7"/>
    <w:rsid w:val="007A3721"/>
    <w:rsid w:val="007A569A"/>
    <w:rsid w:val="007B098A"/>
    <w:rsid w:val="007B0E3C"/>
    <w:rsid w:val="007B2193"/>
    <w:rsid w:val="007B273B"/>
    <w:rsid w:val="007B5FBF"/>
    <w:rsid w:val="007C0DE5"/>
    <w:rsid w:val="007C1BC8"/>
    <w:rsid w:val="007C2838"/>
    <w:rsid w:val="007C4307"/>
    <w:rsid w:val="007C59B7"/>
    <w:rsid w:val="007C7A2F"/>
    <w:rsid w:val="007D087B"/>
    <w:rsid w:val="007D0973"/>
    <w:rsid w:val="007D28AF"/>
    <w:rsid w:val="007D2A39"/>
    <w:rsid w:val="007D2A78"/>
    <w:rsid w:val="007D4432"/>
    <w:rsid w:val="007D5329"/>
    <w:rsid w:val="007D5EEB"/>
    <w:rsid w:val="007D6A57"/>
    <w:rsid w:val="007D7418"/>
    <w:rsid w:val="007E04EA"/>
    <w:rsid w:val="007E0832"/>
    <w:rsid w:val="007E14F0"/>
    <w:rsid w:val="007E1566"/>
    <w:rsid w:val="007E1629"/>
    <w:rsid w:val="007E2A69"/>
    <w:rsid w:val="007E50E3"/>
    <w:rsid w:val="007E59C1"/>
    <w:rsid w:val="007E5A9D"/>
    <w:rsid w:val="007E71A1"/>
    <w:rsid w:val="007F07FE"/>
    <w:rsid w:val="007F277A"/>
    <w:rsid w:val="007F3BF1"/>
    <w:rsid w:val="007F6418"/>
    <w:rsid w:val="007F65E2"/>
    <w:rsid w:val="00800967"/>
    <w:rsid w:val="00801829"/>
    <w:rsid w:val="0080256B"/>
    <w:rsid w:val="0080347A"/>
    <w:rsid w:val="00803A3B"/>
    <w:rsid w:val="00805517"/>
    <w:rsid w:val="008129CC"/>
    <w:rsid w:val="00812A28"/>
    <w:rsid w:val="0081457D"/>
    <w:rsid w:val="00814C9B"/>
    <w:rsid w:val="00816A1C"/>
    <w:rsid w:val="00816A92"/>
    <w:rsid w:val="00816AA2"/>
    <w:rsid w:val="00816B48"/>
    <w:rsid w:val="00817A8D"/>
    <w:rsid w:val="0082048C"/>
    <w:rsid w:val="008235AC"/>
    <w:rsid w:val="008254DE"/>
    <w:rsid w:val="00827DFF"/>
    <w:rsid w:val="008309C1"/>
    <w:rsid w:val="00830BEA"/>
    <w:rsid w:val="00831D4F"/>
    <w:rsid w:val="00833C4C"/>
    <w:rsid w:val="008346DD"/>
    <w:rsid w:val="00834A73"/>
    <w:rsid w:val="00834C8F"/>
    <w:rsid w:val="0083514F"/>
    <w:rsid w:val="00835E81"/>
    <w:rsid w:val="00836241"/>
    <w:rsid w:val="008376A2"/>
    <w:rsid w:val="00840944"/>
    <w:rsid w:val="0084192D"/>
    <w:rsid w:val="00841CE3"/>
    <w:rsid w:val="008433EF"/>
    <w:rsid w:val="00844BBE"/>
    <w:rsid w:val="00844E11"/>
    <w:rsid w:val="00845411"/>
    <w:rsid w:val="00845957"/>
    <w:rsid w:val="00847B4E"/>
    <w:rsid w:val="0085061B"/>
    <w:rsid w:val="00851218"/>
    <w:rsid w:val="00853613"/>
    <w:rsid w:val="00853E00"/>
    <w:rsid w:val="008545DB"/>
    <w:rsid w:val="00854C9F"/>
    <w:rsid w:val="008570E3"/>
    <w:rsid w:val="0086047A"/>
    <w:rsid w:val="00861551"/>
    <w:rsid w:val="00861BAB"/>
    <w:rsid w:val="00861F1F"/>
    <w:rsid w:val="0086411A"/>
    <w:rsid w:val="00865842"/>
    <w:rsid w:val="00865988"/>
    <w:rsid w:val="0086765D"/>
    <w:rsid w:val="00867DCA"/>
    <w:rsid w:val="008720DA"/>
    <w:rsid w:val="00872EE4"/>
    <w:rsid w:val="008749EE"/>
    <w:rsid w:val="00877FF1"/>
    <w:rsid w:val="00886970"/>
    <w:rsid w:val="0089001B"/>
    <w:rsid w:val="0089115F"/>
    <w:rsid w:val="00893579"/>
    <w:rsid w:val="00894A17"/>
    <w:rsid w:val="00894E8A"/>
    <w:rsid w:val="00895E16"/>
    <w:rsid w:val="00895E46"/>
    <w:rsid w:val="0089649F"/>
    <w:rsid w:val="00897091"/>
    <w:rsid w:val="00897C36"/>
    <w:rsid w:val="008A077C"/>
    <w:rsid w:val="008A0FEA"/>
    <w:rsid w:val="008A2807"/>
    <w:rsid w:val="008A3B48"/>
    <w:rsid w:val="008B1163"/>
    <w:rsid w:val="008B324B"/>
    <w:rsid w:val="008B3B43"/>
    <w:rsid w:val="008B59BE"/>
    <w:rsid w:val="008B6D3C"/>
    <w:rsid w:val="008C0395"/>
    <w:rsid w:val="008C0CB1"/>
    <w:rsid w:val="008C1537"/>
    <w:rsid w:val="008C6141"/>
    <w:rsid w:val="008C67B9"/>
    <w:rsid w:val="008C6B35"/>
    <w:rsid w:val="008C6D86"/>
    <w:rsid w:val="008C77F3"/>
    <w:rsid w:val="008D0550"/>
    <w:rsid w:val="008D31BA"/>
    <w:rsid w:val="008D3FAF"/>
    <w:rsid w:val="008D4136"/>
    <w:rsid w:val="008D4ED1"/>
    <w:rsid w:val="008D5491"/>
    <w:rsid w:val="008D57C6"/>
    <w:rsid w:val="008E5A54"/>
    <w:rsid w:val="008E681B"/>
    <w:rsid w:val="008F09F2"/>
    <w:rsid w:val="008F2ED1"/>
    <w:rsid w:val="008F357B"/>
    <w:rsid w:val="008F35EE"/>
    <w:rsid w:val="008F3D2B"/>
    <w:rsid w:val="008F4552"/>
    <w:rsid w:val="008F60F0"/>
    <w:rsid w:val="008F7053"/>
    <w:rsid w:val="008F7DAF"/>
    <w:rsid w:val="0090181E"/>
    <w:rsid w:val="009027B9"/>
    <w:rsid w:val="00904145"/>
    <w:rsid w:val="00905C14"/>
    <w:rsid w:val="00906668"/>
    <w:rsid w:val="0090697E"/>
    <w:rsid w:val="00906B26"/>
    <w:rsid w:val="00906F3D"/>
    <w:rsid w:val="009072DC"/>
    <w:rsid w:val="0090795C"/>
    <w:rsid w:val="009079E6"/>
    <w:rsid w:val="00907BA9"/>
    <w:rsid w:val="009103E0"/>
    <w:rsid w:val="009115CC"/>
    <w:rsid w:val="00911BB0"/>
    <w:rsid w:val="00914A0E"/>
    <w:rsid w:val="00914E0B"/>
    <w:rsid w:val="00915301"/>
    <w:rsid w:val="009159FD"/>
    <w:rsid w:val="00916353"/>
    <w:rsid w:val="0091741D"/>
    <w:rsid w:val="009205AB"/>
    <w:rsid w:val="00921464"/>
    <w:rsid w:val="00921C49"/>
    <w:rsid w:val="009226E4"/>
    <w:rsid w:val="00922A72"/>
    <w:rsid w:val="0092339E"/>
    <w:rsid w:val="00924F99"/>
    <w:rsid w:val="00930A07"/>
    <w:rsid w:val="00931ADE"/>
    <w:rsid w:val="0093359B"/>
    <w:rsid w:val="009336EE"/>
    <w:rsid w:val="00933789"/>
    <w:rsid w:val="009339B8"/>
    <w:rsid w:val="00936CE4"/>
    <w:rsid w:val="0093727F"/>
    <w:rsid w:val="00937872"/>
    <w:rsid w:val="00937FE9"/>
    <w:rsid w:val="00940045"/>
    <w:rsid w:val="00942E1A"/>
    <w:rsid w:val="00943466"/>
    <w:rsid w:val="009456DE"/>
    <w:rsid w:val="00945721"/>
    <w:rsid w:val="009515A9"/>
    <w:rsid w:val="009521D6"/>
    <w:rsid w:val="009533B5"/>
    <w:rsid w:val="00954298"/>
    <w:rsid w:val="009545EB"/>
    <w:rsid w:val="00955A73"/>
    <w:rsid w:val="00955BB2"/>
    <w:rsid w:val="0095618A"/>
    <w:rsid w:val="0096065C"/>
    <w:rsid w:val="009611C0"/>
    <w:rsid w:val="0096280D"/>
    <w:rsid w:val="0096460F"/>
    <w:rsid w:val="009648CB"/>
    <w:rsid w:val="00964F8B"/>
    <w:rsid w:val="00965D7F"/>
    <w:rsid w:val="009663C4"/>
    <w:rsid w:val="009705ED"/>
    <w:rsid w:val="00970F4E"/>
    <w:rsid w:val="009730DB"/>
    <w:rsid w:val="00976243"/>
    <w:rsid w:val="00977841"/>
    <w:rsid w:val="00977F7A"/>
    <w:rsid w:val="009830E7"/>
    <w:rsid w:val="009841DF"/>
    <w:rsid w:val="00991DE3"/>
    <w:rsid w:val="0099331C"/>
    <w:rsid w:val="00995238"/>
    <w:rsid w:val="0099628B"/>
    <w:rsid w:val="009A1028"/>
    <w:rsid w:val="009A28D3"/>
    <w:rsid w:val="009A2915"/>
    <w:rsid w:val="009A3454"/>
    <w:rsid w:val="009A400F"/>
    <w:rsid w:val="009A6DD1"/>
    <w:rsid w:val="009B022C"/>
    <w:rsid w:val="009B0ECC"/>
    <w:rsid w:val="009B15E5"/>
    <w:rsid w:val="009B1BAB"/>
    <w:rsid w:val="009B35FA"/>
    <w:rsid w:val="009B63B4"/>
    <w:rsid w:val="009B7C4A"/>
    <w:rsid w:val="009C05A1"/>
    <w:rsid w:val="009C0DFC"/>
    <w:rsid w:val="009C0FED"/>
    <w:rsid w:val="009C23E8"/>
    <w:rsid w:val="009C2A3D"/>
    <w:rsid w:val="009C32F6"/>
    <w:rsid w:val="009C33AC"/>
    <w:rsid w:val="009C35EA"/>
    <w:rsid w:val="009C4EFE"/>
    <w:rsid w:val="009C5303"/>
    <w:rsid w:val="009D004D"/>
    <w:rsid w:val="009D12FE"/>
    <w:rsid w:val="009D1EFC"/>
    <w:rsid w:val="009D37CA"/>
    <w:rsid w:val="009D4468"/>
    <w:rsid w:val="009D783D"/>
    <w:rsid w:val="009E295C"/>
    <w:rsid w:val="009E5CB6"/>
    <w:rsid w:val="009E6021"/>
    <w:rsid w:val="009E6AC0"/>
    <w:rsid w:val="009E6C98"/>
    <w:rsid w:val="009F037D"/>
    <w:rsid w:val="009F0FE2"/>
    <w:rsid w:val="009F111B"/>
    <w:rsid w:val="009F16DB"/>
    <w:rsid w:val="009F2356"/>
    <w:rsid w:val="009F27AB"/>
    <w:rsid w:val="009F2C0C"/>
    <w:rsid w:val="009F5D81"/>
    <w:rsid w:val="009F71D5"/>
    <w:rsid w:val="00A015F1"/>
    <w:rsid w:val="00A0257C"/>
    <w:rsid w:val="00A02A22"/>
    <w:rsid w:val="00A031E0"/>
    <w:rsid w:val="00A0350B"/>
    <w:rsid w:val="00A04CC7"/>
    <w:rsid w:val="00A06FEB"/>
    <w:rsid w:val="00A0710C"/>
    <w:rsid w:val="00A07499"/>
    <w:rsid w:val="00A101A9"/>
    <w:rsid w:val="00A1133D"/>
    <w:rsid w:val="00A12A7B"/>
    <w:rsid w:val="00A1368E"/>
    <w:rsid w:val="00A13A43"/>
    <w:rsid w:val="00A13A91"/>
    <w:rsid w:val="00A14653"/>
    <w:rsid w:val="00A15678"/>
    <w:rsid w:val="00A15C39"/>
    <w:rsid w:val="00A16FFC"/>
    <w:rsid w:val="00A21690"/>
    <w:rsid w:val="00A231D3"/>
    <w:rsid w:val="00A23290"/>
    <w:rsid w:val="00A24612"/>
    <w:rsid w:val="00A2510B"/>
    <w:rsid w:val="00A30C3E"/>
    <w:rsid w:val="00A311B1"/>
    <w:rsid w:val="00A32982"/>
    <w:rsid w:val="00A32A2B"/>
    <w:rsid w:val="00A32B47"/>
    <w:rsid w:val="00A36643"/>
    <w:rsid w:val="00A367F4"/>
    <w:rsid w:val="00A36FC3"/>
    <w:rsid w:val="00A3721C"/>
    <w:rsid w:val="00A37A81"/>
    <w:rsid w:val="00A41E8C"/>
    <w:rsid w:val="00A451F2"/>
    <w:rsid w:val="00A466E0"/>
    <w:rsid w:val="00A4699E"/>
    <w:rsid w:val="00A507E2"/>
    <w:rsid w:val="00A51276"/>
    <w:rsid w:val="00A534A9"/>
    <w:rsid w:val="00A536F9"/>
    <w:rsid w:val="00A541A9"/>
    <w:rsid w:val="00A5699E"/>
    <w:rsid w:val="00A56E2C"/>
    <w:rsid w:val="00A57017"/>
    <w:rsid w:val="00A5779B"/>
    <w:rsid w:val="00A606F5"/>
    <w:rsid w:val="00A60E8E"/>
    <w:rsid w:val="00A61234"/>
    <w:rsid w:val="00A6142D"/>
    <w:rsid w:val="00A636B8"/>
    <w:rsid w:val="00A63BEC"/>
    <w:rsid w:val="00A64CCE"/>
    <w:rsid w:val="00A64D4F"/>
    <w:rsid w:val="00A650AF"/>
    <w:rsid w:val="00A6537D"/>
    <w:rsid w:val="00A661F8"/>
    <w:rsid w:val="00A66A0C"/>
    <w:rsid w:val="00A67E8D"/>
    <w:rsid w:val="00A706F1"/>
    <w:rsid w:val="00A711B9"/>
    <w:rsid w:val="00A7151A"/>
    <w:rsid w:val="00A727D6"/>
    <w:rsid w:val="00A7381E"/>
    <w:rsid w:val="00A73AEA"/>
    <w:rsid w:val="00A74ACA"/>
    <w:rsid w:val="00A76331"/>
    <w:rsid w:val="00A76453"/>
    <w:rsid w:val="00A81F11"/>
    <w:rsid w:val="00A8444B"/>
    <w:rsid w:val="00A84B32"/>
    <w:rsid w:val="00A861E4"/>
    <w:rsid w:val="00A86F9F"/>
    <w:rsid w:val="00A94035"/>
    <w:rsid w:val="00A94152"/>
    <w:rsid w:val="00A96F59"/>
    <w:rsid w:val="00AA2E41"/>
    <w:rsid w:val="00AA2E87"/>
    <w:rsid w:val="00AA2F57"/>
    <w:rsid w:val="00AA361F"/>
    <w:rsid w:val="00AA4D2A"/>
    <w:rsid w:val="00AA6162"/>
    <w:rsid w:val="00AB06A6"/>
    <w:rsid w:val="00AB13AA"/>
    <w:rsid w:val="00AB1A65"/>
    <w:rsid w:val="00AB1BCA"/>
    <w:rsid w:val="00AB1EA8"/>
    <w:rsid w:val="00AB22B2"/>
    <w:rsid w:val="00AB415A"/>
    <w:rsid w:val="00AB451E"/>
    <w:rsid w:val="00AB46F0"/>
    <w:rsid w:val="00AB4A15"/>
    <w:rsid w:val="00AB51D7"/>
    <w:rsid w:val="00AB5725"/>
    <w:rsid w:val="00AB7E15"/>
    <w:rsid w:val="00AC039A"/>
    <w:rsid w:val="00AC0A00"/>
    <w:rsid w:val="00AC0E18"/>
    <w:rsid w:val="00AC4D44"/>
    <w:rsid w:val="00AC4E75"/>
    <w:rsid w:val="00AC5ABA"/>
    <w:rsid w:val="00AD26A2"/>
    <w:rsid w:val="00AD2E9A"/>
    <w:rsid w:val="00AD37D5"/>
    <w:rsid w:val="00AD3AE5"/>
    <w:rsid w:val="00AD5C98"/>
    <w:rsid w:val="00AD6195"/>
    <w:rsid w:val="00AE0440"/>
    <w:rsid w:val="00AE1B08"/>
    <w:rsid w:val="00AE213B"/>
    <w:rsid w:val="00AE3348"/>
    <w:rsid w:val="00AE4A0B"/>
    <w:rsid w:val="00AE52B4"/>
    <w:rsid w:val="00AE799F"/>
    <w:rsid w:val="00AF06F1"/>
    <w:rsid w:val="00AF28F9"/>
    <w:rsid w:val="00AF2D4A"/>
    <w:rsid w:val="00AF36D9"/>
    <w:rsid w:val="00AF7AC3"/>
    <w:rsid w:val="00AF7B97"/>
    <w:rsid w:val="00B02987"/>
    <w:rsid w:val="00B04882"/>
    <w:rsid w:val="00B06223"/>
    <w:rsid w:val="00B07E88"/>
    <w:rsid w:val="00B101CA"/>
    <w:rsid w:val="00B16128"/>
    <w:rsid w:val="00B1719E"/>
    <w:rsid w:val="00B17B3C"/>
    <w:rsid w:val="00B21F5A"/>
    <w:rsid w:val="00B24C16"/>
    <w:rsid w:val="00B25253"/>
    <w:rsid w:val="00B26688"/>
    <w:rsid w:val="00B27AED"/>
    <w:rsid w:val="00B27C8F"/>
    <w:rsid w:val="00B30D6A"/>
    <w:rsid w:val="00B31F04"/>
    <w:rsid w:val="00B328A7"/>
    <w:rsid w:val="00B33E46"/>
    <w:rsid w:val="00B34D5A"/>
    <w:rsid w:val="00B352BB"/>
    <w:rsid w:val="00B378C8"/>
    <w:rsid w:val="00B37FA6"/>
    <w:rsid w:val="00B42585"/>
    <w:rsid w:val="00B4331E"/>
    <w:rsid w:val="00B500CC"/>
    <w:rsid w:val="00B536FE"/>
    <w:rsid w:val="00B53C14"/>
    <w:rsid w:val="00B53FF7"/>
    <w:rsid w:val="00B54912"/>
    <w:rsid w:val="00B55B0D"/>
    <w:rsid w:val="00B55FB5"/>
    <w:rsid w:val="00B63CA3"/>
    <w:rsid w:val="00B65093"/>
    <w:rsid w:val="00B6668C"/>
    <w:rsid w:val="00B67DB6"/>
    <w:rsid w:val="00B70312"/>
    <w:rsid w:val="00B713EA"/>
    <w:rsid w:val="00B720DE"/>
    <w:rsid w:val="00B73216"/>
    <w:rsid w:val="00B768C8"/>
    <w:rsid w:val="00B82D08"/>
    <w:rsid w:val="00B847AE"/>
    <w:rsid w:val="00B850E6"/>
    <w:rsid w:val="00B856F9"/>
    <w:rsid w:val="00B85C9A"/>
    <w:rsid w:val="00B868D8"/>
    <w:rsid w:val="00B86944"/>
    <w:rsid w:val="00B86A12"/>
    <w:rsid w:val="00B92712"/>
    <w:rsid w:val="00B92A78"/>
    <w:rsid w:val="00B92F89"/>
    <w:rsid w:val="00B9371E"/>
    <w:rsid w:val="00B948BA"/>
    <w:rsid w:val="00B9557C"/>
    <w:rsid w:val="00B95D9A"/>
    <w:rsid w:val="00B977EB"/>
    <w:rsid w:val="00BA0C47"/>
    <w:rsid w:val="00BA13C3"/>
    <w:rsid w:val="00BA1743"/>
    <w:rsid w:val="00BA311C"/>
    <w:rsid w:val="00BA3209"/>
    <w:rsid w:val="00BA398B"/>
    <w:rsid w:val="00BA3AA0"/>
    <w:rsid w:val="00BA4449"/>
    <w:rsid w:val="00BB0809"/>
    <w:rsid w:val="00BB2F88"/>
    <w:rsid w:val="00BB40A5"/>
    <w:rsid w:val="00BB43CC"/>
    <w:rsid w:val="00BC1EA7"/>
    <w:rsid w:val="00BC276D"/>
    <w:rsid w:val="00BC33C2"/>
    <w:rsid w:val="00BC4A5F"/>
    <w:rsid w:val="00BC50FC"/>
    <w:rsid w:val="00BC5DCD"/>
    <w:rsid w:val="00BD00F1"/>
    <w:rsid w:val="00BD0D6F"/>
    <w:rsid w:val="00BD2A05"/>
    <w:rsid w:val="00BD4D8A"/>
    <w:rsid w:val="00BD6828"/>
    <w:rsid w:val="00BE10EB"/>
    <w:rsid w:val="00BE2402"/>
    <w:rsid w:val="00BE2EB8"/>
    <w:rsid w:val="00BE2F25"/>
    <w:rsid w:val="00BE4B9A"/>
    <w:rsid w:val="00BE519E"/>
    <w:rsid w:val="00BE52CE"/>
    <w:rsid w:val="00BE61AD"/>
    <w:rsid w:val="00BE71D1"/>
    <w:rsid w:val="00BE751F"/>
    <w:rsid w:val="00BF3604"/>
    <w:rsid w:val="00BF3A11"/>
    <w:rsid w:val="00BF3A84"/>
    <w:rsid w:val="00BF5D15"/>
    <w:rsid w:val="00BF6542"/>
    <w:rsid w:val="00C0183C"/>
    <w:rsid w:val="00C04842"/>
    <w:rsid w:val="00C04E22"/>
    <w:rsid w:val="00C06A7E"/>
    <w:rsid w:val="00C07462"/>
    <w:rsid w:val="00C11F64"/>
    <w:rsid w:val="00C12514"/>
    <w:rsid w:val="00C1295F"/>
    <w:rsid w:val="00C12C7B"/>
    <w:rsid w:val="00C135E4"/>
    <w:rsid w:val="00C14027"/>
    <w:rsid w:val="00C1696C"/>
    <w:rsid w:val="00C172B3"/>
    <w:rsid w:val="00C231C6"/>
    <w:rsid w:val="00C2338E"/>
    <w:rsid w:val="00C2587B"/>
    <w:rsid w:val="00C259B7"/>
    <w:rsid w:val="00C25D90"/>
    <w:rsid w:val="00C26D08"/>
    <w:rsid w:val="00C26EBD"/>
    <w:rsid w:val="00C274D3"/>
    <w:rsid w:val="00C275E8"/>
    <w:rsid w:val="00C27B68"/>
    <w:rsid w:val="00C30070"/>
    <w:rsid w:val="00C308C1"/>
    <w:rsid w:val="00C31554"/>
    <w:rsid w:val="00C3168D"/>
    <w:rsid w:val="00C322F6"/>
    <w:rsid w:val="00C32865"/>
    <w:rsid w:val="00C32F8C"/>
    <w:rsid w:val="00C33877"/>
    <w:rsid w:val="00C338B8"/>
    <w:rsid w:val="00C340AC"/>
    <w:rsid w:val="00C36281"/>
    <w:rsid w:val="00C43ED0"/>
    <w:rsid w:val="00C456B5"/>
    <w:rsid w:val="00C468B2"/>
    <w:rsid w:val="00C46DC0"/>
    <w:rsid w:val="00C50006"/>
    <w:rsid w:val="00C517EF"/>
    <w:rsid w:val="00C54AE8"/>
    <w:rsid w:val="00C56A24"/>
    <w:rsid w:val="00C5732C"/>
    <w:rsid w:val="00C57BCD"/>
    <w:rsid w:val="00C57D5B"/>
    <w:rsid w:val="00C615EA"/>
    <w:rsid w:val="00C627D3"/>
    <w:rsid w:val="00C630BC"/>
    <w:rsid w:val="00C650E3"/>
    <w:rsid w:val="00C72F30"/>
    <w:rsid w:val="00C7535D"/>
    <w:rsid w:val="00C756B0"/>
    <w:rsid w:val="00C771B0"/>
    <w:rsid w:val="00C80395"/>
    <w:rsid w:val="00C81A14"/>
    <w:rsid w:val="00C847DB"/>
    <w:rsid w:val="00C86541"/>
    <w:rsid w:val="00C872A7"/>
    <w:rsid w:val="00C872FB"/>
    <w:rsid w:val="00C90705"/>
    <w:rsid w:val="00C91DF6"/>
    <w:rsid w:val="00C93348"/>
    <w:rsid w:val="00C933AF"/>
    <w:rsid w:val="00C94080"/>
    <w:rsid w:val="00C9492E"/>
    <w:rsid w:val="00C94C7D"/>
    <w:rsid w:val="00C9674E"/>
    <w:rsid w:val="00CA1F0E"/>
    <w:rsid w:val="00CA1FEF"/>
    <w:rsid w:val="00CA2C7B"/>
    <w:rsid w:val="00CA2E60"/>
    <w:rsid w:val="00CA4696"/>
    <w:rsid w:val="00CA74AD"/>
    <w:rsid w:val="00CB1BF5"/>
    <w:rsid w:val="00CB30C7"/>
    <w:rsid w:val="00CB429D"/>
    <w:rsid w:val="00CB472A"/>
    <w:rsid w:val="00CB5659"/>
    <w:rsid w:val="00CB60E1"/>
    <w:rsid w:val="00CB6521"/>
    <w:rsid w:val="00CB6CDB"/>
    <w:rsid w:val="00CC2F77"/>
    <w:rsid w:val="00CC5011"/>
    <w:rsid w:val="00CC56A3"/>
    <w:rsid w:val="00CD0573"/>
    <w:rsid w:val="00CD0E32"/>
    <w:rsid w:val="00CD14A4"/>
    <w:rsid w:val="00CD18ED"/>
    <w:rsid w:val="00CD19C2"/>
    <w:rsid w:val="00CD1F10"/>
    <w:rsid w:val="00CD256C"/>
    <w:rsid w:val="00CD343C"/>
    <w:rsid w:val="00CD580F"/>
    <w:rsid w:val="00CD704F"/>
    <w:rsid w:val="00CE0D0D"/>
    <w:rsid w:val="00CE10E9"/>
    <w:rsid w:val="00CE1F99"/>
    <w:rsid w:val="00CE2288"/>
    <w:rsid w:val="00CE4F08"/>
    <w:rsid w:val="00CE564C"/>
    <w:rsid w:val="00CE5CDB"/>
    <w:rsid w:val="00CF1011"/>
    <w:rsid w:val="00CF48E2"/>
    <w:rsid w:val="00CF4B03"/>
    <w:rsid w:val="00CF53D7"/>
    <w:rsid w:val="00CF5D55"/>
    <w:rsid w:val="00D004BD"/>
    <w:rsid w:val="00D0106C"/>
    <w:rsid w:val="00D025C8"/>
    <w:rsid w:val="00D048D9"/>
    <w:rsid w:val="00D121ED"/>
    <w:rsid w:val="00D1304D"/>
    <w:rsid w:val="00D140E0"/>
    <w:rsid w:val="00D1421B"/>
    <w:rsid w:val="00D149BE"/>
    <w:rsid w:val="00D16F5E"/>
    <w:rsid w:val="00D21286"/>
    <w:rsid w:val="00D22136"/>
    <w:rsid w:val="00D24ED3"/>
    <w:rsid w:val="00D253A6"/>
    <w:rsid w:val="00D26FE8"/>
    <w:rsid w:val="00D2767F"/>
    <w:rsid w:val="00D27F07"/>
    <w:rsid w:val="00D300BF"/>
    <w:rsid w:val="00D313CB"/>
    <w:rsid w:val="00D31A37"/>
    <w:rsid w:val="00D325E9"/>
    <w:rsid w:val="00D32714"/>
    <w:rsid w:val="00D32D67"/>
    <w:rsid w:val="00D3303C"/>
    <w:rsid w:val="00D33ED8"/>
    <w:rsid w:val="00D3653A"/>
    <w:rsid w:val="00D36B7D"/>
    <w:rsid w:val="00D3783F"/>
    <w:rsid w:val="00D40128"/>
    <w:rsid w:val="00D40EEB"/>
    <w:rsid w:val="00D43355"/>
    <w:rsid w:val="00D47EEF"/>
    <w:rsid w:val="00D5069D"/>
    <w:rsid w:val="00D52EB4"/>
    <w:rsid w:val="00D53AA1"/>
    <w:rsid w:val="00D54167"/>
    <w:rsid w:val="00D5448B"/>
    <w:rsid w:val="00D55A99"/>
    <w:rsid w:val="00D6043C"/>
    <w:rsid w:val="00D612ED"/>
    <w:rsid w:val="00D61FB2"/>
    <w:rsid w:val="00D63239"/>
    <w:rsid w:val="00D63B77"/>
    <w:rsid w:val="00D63D1E"/>
    <w:rsid w:val="00D67734"/>
    <w:rsid w:val="00D705F3"/>
    <w:rsid w:val="00D728EB"/>
    <w:rsid w:val="00D75388"/>
    <w:rsid w:val="00D755EF"/>
    <w:rsid w:val="00D75920"/>
    <w:rsid w:val="00D80F27"/>
    <w:rsid w:val="00D81156"/>
    <w:rsid w:val="00D83950"/>
    <w:rsid w:val="00D858AD"/>
    <w:rsid w:val="00D86E20"/>
    <w:rsid w:val="00D91582"/>
    <w:rsid w:val="00D93661"/>
    <w:rsid w:val="00D9443C"/>
    <w:rsid w:val="00D9460A"/>
    <w:rsid w:val="00D961B2"/>
    <w:rsid w:val="00D963A8"/>
    <w:rsid w:val="00DA0B83"/>
    <w:rsid w:val="00DA414F"/>
    <w:rsid w:val="00DA56EA"/>
    <w:rsid w:val="00DA7285"/>
    <w:rsid w:val="00DB0330"/>
    <w:rsid w:val="00DB03A6"/>
    <w:rsid w:val="00DB07CF"/>
    <w:rsid w:val="00DB1006"/>
    <w:rsid w:val="00DB318F"/>
    <w:rsid w:val="00DB4B9A"/>
    <w:rsid w:val="00DC1732"/>
    <w:rsid w:val="00DC401B"/>
    <w:rsid w:val="00DC4654"/>
    <w:rsid w:val="00DC5476"/>
    <w:rsid w:val="00DD3BE4"/>
    <w:rsid w:val="00DD512F"/>
    <w:rsid w:val="00DD5BBE"/>
    <w:rsid w:val="00DD6A06"/>
    <w:rsid w:val="00DE2113"/>
    <w:rsid w:val="00DE4224"/>
    <w:rsid w:val="00DE4934"/>
    <w:rsid w:val="00DF02B3"/>
    <w:rsid w:val="00DF0559"/>
    <w:rsid w:val="00DF0AE6"/>
    <w:rsid w:val="00DF2BAC"/>
    <w:rsid w:val="00DF48B6"/>
    <w:rsid w:val="00DF598B"/>
    <w:rsid w:val="00DF5BF3"/>
    <w:rsid w:val="00DF7A91"/>
    <w:rsid w:val="00E00F09"/>
    <w:rsid w:val="00E0230B"/>
    <w:rsid w:val="00E023CF"/>
    <w:rsid w:val="00E02CA9"/>
    <w:rsid w:val="00E0556F"/>
    <w:rsid w:val="00E0704A"/>
    <w:rsid w:val="00E10159"/>
    <w:rsid w:val="00E11E92"/>
    <w:rsid w:val="00E12774"/>
    <w:rsid w:val="00E151BF"/>
    <w:rsid w:val="00E15CFC"/>
    <w:rsid w:val="00E160BB"/>
    <w:rsid w:val="00E203C5"/>
    <w:rsid w:val="00E20B6E"/>
    <w:rsid w:val="00E217AF"/>
    <w:rsid w:val="00E21E68"/>
    <w:rsid w:val="00E25D21"/>
    <w:rsid w:val="00E276C6"/>
    <w:rsid w:val="00E27C7D"/>
    <w:rsid w:val="00E30F02"/>
    <w:rsid w:val="00E337B0"/>
    <w:rsid w:val="00E367D3"/>
    <w:rsid w:val="00E40166"/>
    <w:rsid w:val="00E445E4"/>
    <w:rsid w:val="00E459A9"/>
    <w:rsid w:val="00E467EE"/>
    <w:rsid w:val="00E4737E"/>
    <w:rsid w:val="00E47B62"/>
    <w:rsid w:val="00E504FB"/>
    <w:rsid w:val="00E52A43"/>
    <w:rsid w:val="00E55EF9"/>
    <w:rsid w:val="00E6250D"/>
    <w:rsid w:val="00E625FB"/>
    <w:rsid w:val="00E62954"/>
    <w:rsid w:val="00E62A7E"/>
    <w:rsid w:val="00E63F6A"/>
    <w:rsid w:val="00E63FA2"/>
    <w:rsid w:val="00E6498E"/>
    <w:rsid w:val="00E65AA9"/>
    <w:rsid w:val="00E6769C"/>
    <w:rsid w:val="00E70090"/>
    <w:rsid w:val="00E70691"/>
    <w:rsid w:val="00E71C9B"/>
    <w:rsid w:val="00E74226"/>
    <w:rsid w:val="00E75115"/>
    <w:rsid w:val="00E75149"/>
    <w:rsid w:val="00E75230"/>
    <w:rsid w:val="00E753BE"/>
    <w:rsid w:val="00E76C1E"/>
    <w:rsid w:val="00E770F4"/>
    <w:rsid w:val="00E775AB"/>
    <w:rsid w:val="00E77934"/>
    <w:rsid w:val="00E77C68"/>
    <w:rsid w:val="00E80FC3"/>
    <w:rsid w:val="00E812C5"/>
    <w:rsid w:val="00E83DBE"/>
    <w:rsid w:val="00E841F6"/>
    <w:rsid w:val="00E86862"/>
    <w:rsid w:val="00E86B4D"/>
    <w:rsid w:val="00E94343"/>
    <w:rsid w:val="00E954F2"/>
    <w:rsid w:val="00E978D1"/>
    <w:rsid w:val="00EA15CD"/>
    <w:rsid w:val="00EA34D6"/>
    <w:rsid w:val="00EA3636"/>
    <w:rsid w:val="00EA38D8"/>
    <w:rsid w:val="00EA5A2E"/>
    <w:rsid w:val="00EA74C1"/>
    <w:rsid w:val="00EA7DD6"/>
    <w:rsid w:val="00EB0AA2"/>
    <w:rsid w:val="00EB1A18"/>
    <w:rsid w:val="00EB1B29"/>
    <w:rsid w:val="00EB1C64"/>
    <w:rsid w:val="00EB30B2"/>
    <w:rsid w:val="00EB3CC8"/>
    <w:rsid w:val="00EB5839"/>
    <w:rsid w:val="00EB61D9"/>
    <w:rsid w:val="00EB6874"/>
    <w:rsid w:val="00EC04CF"/>
    <w:rsid w:val="00EC07BF"/>
    <w:rsid w:val="00EC2173"/>
    <w:rsid w:val="00EC23CC"/>
    <w:rsid w:val="00EC40BB"/>
    <w:rsid w:val="00EC6E58"/>
    <w:rsid w:val="00ED1346"/>
    <w:rsid w:val="00ED3CEA"/>
    <w:rsid w:val="00ED4562"/>
    <w:rsid w:val="00EE119C"/>
    <w:rsid w:val="00EE20A2"/>
    <w:rsid w:val="00EE2196"/>
    <w:rsid w:val="00EE22F1"/>
    <w:rsid w:val="00EE3827"/>
    <w:rsid w:val="00EE4632"/>
    <w:rsid w:val="00EE4AB8"/>
    <w:rsid w:val="00EF02DC"/>
    <w:rsid w:val="00EF1C79"/>
    <w:rsid w:val="00EF1E33"/>
    <w:rsid w:val="00EF250B"/>
    <w:rsid w:val="00EF286B"/>
    <w:rsid w:val="00EF41D5"/>
    <w:rsid w:val="00EF47CC"/>
    <w:rsid w:val="00EF70F6"/>
    <w:rsid w:val="00F0053A"/>
    <w:rsid w:val="00F005CC"/>
    <w:rsid w:val="00F00BFD"/>
    <w:rsid w:val="00F0116B"/>
    <w:rsid w:val="00F01BA7"/>
    <w:rsid w:val="00F01CB5"/>
    <w:rsid w:val="00F025B3"/>
    <w:rsid w:val="00F0458F"/>
    <w:rsid w:val="00F07720"/>
    <w:rsid w:val="00F07DFD"/>
    <w:rsid w:val="00F11817"/>
    <w:rsid w:val="00F12016"/>
    <w:rsid w:val="00F13051"/>
    <w:rsid w:val="00F13556"/>
    <w:rsid w:val="00F14842"/>
    <w:rsid w:val="00F14893"/>
    <w:rsid w:val="00F14A49"/>
    <w:rsid w:val="00F14AA5"/>
    <w:rsid w:val="00F150FF"/>
    <w:rsid w:val="00F15748"/>
    <w:rsid w:val="00F1798B"/>
    <w:rsid w:val="00F20594"/>
    <w:rsid w:val="00F20B84"/>
    <w:rsid w:val="00F243A3"/>
    <w:rsid w:val="00F24DB6"/>
    <w:rsid w:val="00F25DE8"/>
    <w:rsid w:val="00F27853"/>
    <w:rsid w:val="00F34438"/>
    <w:rsid w:val="00F34612"/>
    <w:rsid w:val="00F37391"/>
    <w:rsid w:val="00F4145C"/>
    <w:rsid w:val="00F43062"/>
    <w:rsid w:val="00F441DD"/>
    <w:rsid w:val="00F45FF5"/>
    <w:rsid w:val="00F47828"/>
    <w:rsid w:val="00F52A8D"/>
    <w:rsid w:val="00F538C6"/>
    <w:rsid w:val="00F54885"/>
    <w:rsid w:val="00F559D2"/>
    <w:rsid w:val="00F56CB1"/>
    <w:rsid w:val="00F56CE1"/>
    <w:rsid w:val="00F61206"/>
    <w:rsid w:val="00F613DC"/>
    <w:rsid w:val="00F6214A"/>
    <w:rsid w:val="00F63897"/>
    <w:rsid w:val="00F6411C"/>
    <w:rsid w:val="00F657A2"/>
    <w:rsid w:val="00F65B42"/>
    <w:rsid w:val="00F66B70"/>
    <w:rsid w:val="00F71032"/>
    <w:rsid w:val="00F71290"/>
    <w:rsid w:val="00F729C1"/>
    <w:rsid w:val="00F7374A"/>
    <w:rsid w:val="00F73AF8"/>
    <w:rsid w:val="00F76C5E"/>
    <w:rsid w:val="00F812C2"/>
    <w:rsid w:val="00F8300A"/>
    <w:rsid w:val="00F8349C"/>
    <w:rsid w:val="00F83A76"/>
    <w:rsid w:val="00F83E98"/>
    <w:rsid w:val="00F84690"/>
    <w:rsid w:val="00F86813"/>
    <w:rsid w:val="00F86C6F"/>
    <w:rsid w:val="00F86E0B"/>
    <w:rsid w:val="00F90124"/>
    <w:rsid w:val="00F90ABE"/>
    <w:rsid w:val="00F90EC6"/>
    <w:rsid w:val="00F91B7C"/>
    <w:rsid w:val="00F94316"/>
    <w:rsid w:val="00F944A6"/>
    <w:rsid w:val="00F9578E"/>
    <w:rsid w:val="00F966FC"/>
    <w:rsid w:val="00FA0CC7"/>
    <w:rsid w:val="00FA1BC0"/>
    <w:rsid w:val="00FA1E01"/>
    <w:rsid w:val="00FA2C02"/>
    <w:rsid w:val="00FA3439"/>
    <w:rsid w:val="00FA3783"/>
    <w:rsid w:val="00FA3BBB"/>
    <w:rsid w:val="00FA5D49"/>
    <w:rsid w:val="00FA77E6"/>
    <w:rsid w:val="00FB13FE"/>
    <w:rsid w:val="00FB70ED"/>
    <w:rsid w:val="00FB769F"/>
    <w:rsid w:val="00FB7A31"/>
    <w:rsid w:val="00FC2FD9"/>
    <w:rsid w:val="00FC349E"/>
    <w:rsid w:val="00FC4580"/>
    <w:rsid w:val="00FC4685"/>
    <w:rsid w:val="00FC4769"/>
    <w:rsid w:val="00FC528C"/>
    <w:rsid w:val="00FC59A3"/>
    <w:rsid w:val="00FC5C4C"/>
    <w:rsid w:val="00FD168B"/>
    <w:rsid w:val="00FD2104"/>
    <w:rsid w:val="00FD2A51"/>
    <w:rsid w:val="00FD2C21"/>
    <w:rsid w:val="00FD3191"/>
    <w:rsid w:val="00FD4151"/>
    <w:rsid w:val="00FD48C0"/>
    <w:rsid w:val="00FD5EA6"/>
    <w:rsid w:val="00FD6410"/>
    <w:rsid w:val="00FD7D02"/>
    <w:rsid w:val="00FE0A1C"/>
    <w:rsid w:val="00FE1742"/>
    <w:rsid w:val="00FE3C95"/>
    <w:rsid w:val="00FE4C7E"/>
    <w:rsid w:val="00FE4FC1"/>
    <w:rsid w:val="00FE7465"/>
    <w:rsid w:val="00FF0954"/>
    <w:rsid w:val="00FF16C8"/>
    <w:rsid w:val="00FF536A"/>
    <w:rsid w:val="01DB7ECE"/>
    <w:rsid w:val="01E925F2"/>
    <w:rsid w:val="055B7735"/>
    <w:rsid w:val="09CA4C53"/>
    <w:rsid w:val="0A424FBD"/>
    <w:rsid w:val="0A695261"/>
    <w:rsid w:val="0D8321F2"/>
    <w:rsid w:val="0E8B67DF"/>
    <w:rsid w:val="10A255AA"/>
    <w:rsid w:val="10FC376C"/>
    <w:rsid w:val="130F7D8D"/>
    <w:rsid w:val="13F13588"/>
    <w:rsid w:val="15EE60AA"/>
    <w:rsid w:val="1A174205"/>
    <w:rsid w:val="1C421CEE"/>
    <w:rsid w:val="1E7354F5"/>
    <w:rsid w:val="20CA2053"/>
    <w:rsid w:val="215678E9"/>
    <w:rsid w:val="21E169EA"/>
    <w:rsid w:val="23635580"/>
    <w:rsid w:val="23705540"/>
    <w:rsid w:val="23871575"/>
    <w:rsid w:val="238D3B77"/>
    <w:rsid w:val="26090F1F"/>
    <w:rsid w:val="2663236B"/>
    <w:rsid w:val="26C17FC9"/>
    <w:rsid w:val="29374301"/>
    <w:rsid w:val="2A0E523D"/>
    <w:rsid w:val="2C916D79"/>
    <w:rsid w:val="317C2B11"/>
    <w:rsid w:val="321E3FFA"/>
    <w:rsid w:val="324F5B44"/>
    <w:rsid w:val="327F1980"/>
    <w:rsid w:val="32F12432"/>
    <w:rsid w:val="346E09F2"/>
    <w:rsid w:val="349B09AA"/>
    <w:rsid w:val="35D044B2"/>
    <w:rsid w:val="36375735"/>
    <w:rsid w:val="378A4584"/>
    <w:rsid w:val="378C6D4A"/>
    <w:rsid w:val="390C7D35"/>
    <w:rsid w:val="39290B7B"/>
    <w:rsid w:val="39745F39"/>
    <w:rsid w:val="3D3C085F"/>
    <w:rsid w:val="3DF43CB0"/>
    <w:rsid w:val="3E8A5678"/>
    <w:rsid w:val="3F654A5D"/>
    <w:rsid w:val="426C4F0E"/>
    <w:rsid w:val="431C567C"/>
    <w:rsid w:val="44B63F1A"/>
    <w:rsid w:val="451654F4"/>
    <w:rsid w:val="48810F87"/>
    <w:rsid w:val="4A5B3B64"/>
    <w:rsid w:val="4AC01A61"/>
    <w:rsid w:val="4B42452F"/>
    <w:rsid w:val="4B820183"/>
    <w:rsid w:val="4B88547A"/>
    <w:rsid w:val="4BC01C90"/>
    <w:rsid w:val="4E1A1FF3"/>
    <w:rsid w:val="4F576EB4"/>
    <w:rsid w:val="50CF1F2E"/>
    <w:rsid w:val="51E031B4"/>
    <w:rsid w:val="531A4FAA"/>
    <w:rsid w:val="535C05BC"/>
    <w:rsid w:val="541B05CB"/>
    <w:rsid w:val="54A46742"/>
    <w:rsid w:val="56BD1493"/>
    <w:rsid w:val="5AE76118"/>
    <w:rsid w:val="5B197DCD"/>
    <w:rsid w:val="5BCE7D78"/>
    <w:rsid w:val="5C3A5466"/>
    <w:rsid w:val="5CE14FED"/>
    <w:rsid w:val="5DC51364"/>
    <w:rsid w:val="6014409A"/>
    <w:rsid w:val="621A06A3"/>
    <w:rsid w:val="649C1615"/>
    <w:rsid w:val="64B32B11"/>
    <w:rsid w:val="65962F5E"/>
    <w:rsid w:val="65A70431"/>
    <w:rsid w:val="65D84CB5"/>
    <w:rsid w:val="6646797E"/>
    <w:rsid w:val="665520F7"/>
    <w:rsid w:val="679805F2"/>
    <w:rsid w:val="682B70D6"/>
    <w:rsid w:val="68375C81"/>
    <w:rsid w:val="68DA1C74"/>
    <w:rsid w:val="6A435B2F"/>
    <w:rsid w:val="6BF44DA3"/>
    <w:rsid w:val="6F8827C0"/>
    <w:rsid w:val="71993DE6"/>
    <w:rsid w:val="73CF0012"/>
    <w:rsid w:val="74A832A3"/>
    <w:rsid w:val="77B9721C"/>
    <w:rsid w:val="79002BED"/>
    <w:rsid w:val="7981580B"/>
    <w:rsid w:val="79F6726D"/>
    <w:rsid w:val="7A927884"/>
    <w:rsid w:val="7C77614F"/>
    <w:rsid w:val="7D551A87"/>
    <w:rsid w:val="7E290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FE16F"/>
  <w15:docId w15:val="{68C30CC3-E2F9-47EC-8044-87E36908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widowControl/>
      <w:spacing w:before="480" w:line="276" w:lineRule="auto"/>
      <w:jc w:val="left"/>
      <w:outlineLvl w:val="0"/>
    </w:pPr>
    <w:rPr>
      <w:rFonts w:ascii="Cambria" w:hAnsi="Cambria"/>
      <w:b/>
      <w:bCs/>
      <w:color w:val="21798E"/>
      <w:kern w:val="0"/>
      <w:sz w:val="28"/>
      <w:szCs w:val="28"/>
    </w:rPr>
  </w:style>
  <w:style w:type="paragraph" w:styleId="2">
    <w:name w:val="heading 2"/>
    <w:basedOn w:val="a"/>
    <w:next w:val="a"/>
    <w:link w:val="20"/>
    <w:uiPriority w:val="9"/>
    <w:semiHidden/>
    <w:unhideWhenUsed/>
    <w:qFormat/>
    <w:pPr>
      <w:keepNext/>
      <w:keepLines/>
      <w:widowControl/>
      <w:spacing w:before="200" w:line="276" w:lineRule="auto"/>
      <w:jc w:val="left"/>
      <w:outlineLvl w:val="1"/>
    </w:pPr>
    <w:rPr>
      <w:rFonts w:ascii="Cambria" w:hAnsi="Cambria"/>
      <w:b/>
      <w:bCs/>
      <w:color w:val="2DA2BF"/>
      <w:kern w:val="0"/>
      <w:sz w:val="26"/>
      <w:szCs w:val="26"/>
    </w:rPr>
  </w:style>
  <w:style w:type="paragraph" w:styleId="3">
    <w:name w:val="heading 3"/>
    <w:basedOn w:val="a"/>
    <w:next w:val="a"/>
    <w:link w:val="30"/>
    <w:uiPriority w:val="9"/>
    <w:semiHidden/>
    <w:unhideWhenUsed/>
    <w:qFormat/>
    <w:pPr>
      <w:keepNext/>
      <w:keepLines/>
      <w:widowControl/>
      <w:spacing w:before="200" w:line="276" w:lineRule="auto"/>
      <w:jc w:val="left"/>
      <w:outlineLvl w:val="2"/>
    </w:pPr>
    <w:rPr>
      <w:rFonts w:ascii="Cambria" w:hAnsi="Cambria"/>
      <w:b/>
      <w:bCs/>
      <w:color w:val="2DA2BF"/>
      <w:kern w:val="0"/>
      <w:sz w:val="22"/>
      <w:szCs w:val="22"/>
    </w:rPr>
  </w:style>
  <w:style w:type="paragraph" w:styleId="4">
    <w:name w:val="heading 4"/>
    <w:basedOn w:val="a"/>
    <w:next w:val="a"/>
    <w:link w:val="40"/>
    <w:uiPriority w:val="9"/>
    <w:semiHidden/>
    <w:unhideWhenUsed/>
    <w:qFormat/>
    <w:pPr>
      <w:keepNext/>
      <w:keepLines/>
      <w:widowControl/>
      <w:spacing w:before="200" w:line="276" w:lineRule="auto"/>
      <w:jc w:val="left"/>
      <w:outlineLvl w:val="3"/>
    </w:pPr>
    <w:rPr>
      <w:rFonts w:ascii="Cambria" w:hAnsi="Cambria"/>
      <w:b/>
      <w:bCs/>
      <w:i/>
      <w:iCs/>
      <w:color w:val="2DA2BF"/>
      <w:kern w:val="0"/>
      <w:sz w:val="22"/>
      <w:szCs w:val="22"/>
    </w:rPr>
  </w:style>
  <w:style w:type="paragraph" w:styleId="5">
    <w:name w:val="heading 5"/>
    <w:basedOn w:val="a"/>
    <w:next w:val="a"/>
    <w:link w:val="50"/>
    <w:uiPriority w:val="9"/>
    <w:semiHidden/>
    <w:unhideWhenUsed/>
    <w:qFormat/>
    <w:pPr>
      <w:keepNext/>
      <w:keepLines/>
      <w:widowControl/>
      <w:spacing w:before="200" w:line="276" w:lineRule="auto"/>
      <w:jc w:val="left"/>
      <w:outlineLvl w:val="4"/>
    </w:pPr>
    <w:rPr>
      <w:rFonts w:ascii="Cambria" w:hAnsi="Cambria"/>
      <w:color w:val="16505E"/>
      <w:kern w:val="0"/>
      <w:sz w:val="22"/>
      <w:szCs w:val="22"/>
    </w:rPr>
  </w:style>
  <w:style w:type="paragraph" w:styleId="6">
    <w:name w:val="heading 6"/>
    <w:basedOn w:val="a"/>
    <w:next w:val="a"/>
    <w:link w:val="60"/>
    <w:uiPriority w:val="9"/>
    <w:semiHidden/>
    <w:unhideWhenUsed/>
    <w:qFormat/>
    <w:pPr>
      <w:keepNext/>
      <w:keepLines/>
      <w:widowControl/>
      <w:spacing w:before="200" w:line="276" w:lineRule="auto"/>
      <w:jc w:val="left"/>
      <w:outlineLvl w:val="5"/>
    </w:pPr>
    <w:rPr>
      <w:rFonts w:ascii="Cambria" w:hAnsi="Cambria"/>
      <w:i/>
      <w:iCs/>
      <w:color w:val="16505E"/>
      <w:kern w:val="0"/>
      <w:sz w:val="22"/>
      <w:szCs w:val="22"/>
    </w:rPr>
  </w:style>
  <w:style w:type="paragraph" w:styleId="7">
    <w:name w:val="heading 7"/>
    <w:basedOn w:val="a"/>
    <w:next w:val="a"/>
    <w:link w:val="70"/>
    <w:uiPriority w:val="9"/>
    <w:semiHidden/>
    <w:unhideWhenUsed/>
    <w:qFormat/>
    <w:pPr>
      <w:keepNext/>
      <w:keepLines/>
      <w:widowControl/>
      <w:spacing w:before="200" w:line="276" w:lineRule="auto"/>
      <w:jc w:val="left"/>
      <w:outlineLvl w:val="6"/>
    </w:pPr>
    <w:rPr>
      <w:rFonts w:ascii="Cambria" w:hAnsi="Cambria"/>
      <w:i/>
      <w:iCs/>
      <w:color w:val="404040"/>
      <w:kern w:val="0"/>
      <w:sz w:val="22"/>
      <w:szCs w:val="22"/>
    </w:rPr>
  </w:style>
  <w:style w:type="paragraph" w:styleId="8">
    <w:name w:val="heading 8"/>
    <w:basedOn w:val="a"/>
    <w:next w:val="a"/>
    <w:link w:val="80"/>
    <w:uiPriority w:val="9"/>
    <w:semiHidden/>
    <w:unhideWhenUsed/>
    <w:qFormat/>
    <w:pPr>
      <w:keepNext/>
      <w:keepLines/>
      <w:widowControl/>
      <w:spacing w:before="200" w:line="276" w:lineRule="auto"/>
      <w:jc w:val="left"/>
      <w:outlineLvl w:val="7"/>
    </w:pPr>
    <w:rPr>
      <w:rFonts w:ascii="Cambria" w:hAnsi="Cambria"/>
      <w:color w:val="2DA2BF"/>
      <w:kern w:val="0"/>
      <w:sz w:val="20"/>
    </w:rPr>
  </w:style>
  <w:style w:type="paragraph" w:styleId="9">
    <w:name w:val="heading 9"/>
    <w:basedOn w:val="a"/>
    <w:next w:val="a"/>
    <w:link w:val="90"/>
    <w:uiPriority w:val="9"/>
    <w:semiHidden/>
    <w:unhideWhenUsed/>
    <w:qFormat/>
    <w:pPr>
      <w:keepNext/>
      <w:keepLines/>
      <w:widowControl/>
      <w:spacing w:before="200" w:line="276" w:lineRule="auto"/>
      <w:jc w:val="left"/>
      <w:outlineLvl w:val="8"/>
    </w:pPr>
    <w:rPr>
      <w:rFonts w:ascii="Cambria" w:hAnsi="Cambria"/>
      <w:i/>
      <w:iCs/>
      <w:color w:val="404040"/>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pPr>
      <w:widowControl/>
      <w:spacing w:after="200"/>
      <w:jc w:val="left"/>
    </w:pPr>
    <w:rPr>
      <w:rFonts w:asciiTheme="minorHAnsi" w:eastAsiaTheme="minorEastAsia" w:hAnsiTheme="minorHAnsi" w:cstheme="minorBidi"/>
      <w:b/>
      <w:bCs/>
      <w:color w:val="2DA2BF"/>
      <w:kern w:val="0"/>
      <w:sz w:val="18"/>
      <w:szCs w:val="18"/>
    </w:rPr>
  </w:style>
  <w:style w:type="paragraph" w:styleId="a4">
    <w:name w:val="annotation text"/>
    <w:basedOn w:val="a"/>
    <w:link w:val="a5"/>
    <w:uiPriority w:val="99"/>
    <w:semiHidden/>
    <w:unhideWhenUsed/>
    <w:qFormat/>
    <w:pPr>
      <w:jc w:val="left"/>
    </w:p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ad"/>
    <w:uiPriority w:val="11"/>
    <w:qFormat/>
    <w:pPr>
      <w:widowControl/>
      <w:spacing w:after="200" w:line="276" w:lineRule="auto"/>
      <w:jc w:val="left"/>
    </w:pPr>
    <w:rPr>
      <w:rFonts w:ascii="Cambria" w:hAnsi="Cambria"/>
      <w:i/>
      <w:iCs/>
      <w:color w:val="2DA2BF"/>
      <w:spacing w:val="15"/>
      <w:kern w:val="0"/>
      <w:sz w:val="24"/>
      <w:szCs w:val="24"/>
    </w:rPr>
  </w:style>
  <w:style w:type="paragraph" w:styleId="ae">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f">
    <w:name w:val="Title"/>
    <w:basedOn w:val="a"/>
    <w:next w:val="a"/>
    <w:link w:val="af0"/>
    <w:uiPriority w:val="10"/>
    <w:qFormat/>
    <w:pPr>
      <w:widowControl/>
      <w:pBdr>
        <w:bottom w:val="single" w:sz="8" w:space="4" w:color="2DA2BF"/>
      </w:pBdr>
      <w:spacing w:after="300"/>
      <w:contextualSpacing/>
      <w:jc w:val="left"/>
    </w:pPr>
    <w:rPr>
      <w:rFonts w:ascii="Cambria" w:hAnsi="Cambria"/>
      <w:color w:val="343434"/>
      <w:spacing w:val="5"/>
      <w:kern w:val="28"/>
      <w:sz w:val="52"/>
      <w:szCs w:val="52"/>
    </w:rPr>
  </w:style>
  <w:style w:type="paragraph" w:styleId="af1">
    <w:name w:val="annotation subject"/>
    <w:basedOn w:val="a4"/>
    <w:next w:val="a4"/>
    <w:link w:val="af2"/>
    <w:uiPriority w:val="99"/>
    <w:semiHidden/>
    <w:unhideWhenUsed/>
    <w:qFormat/>
    <w:rPr>
      <w:b/>
      <w:bCs/>
    </w:rPr>
  </w:style>
  <w:style w:type="character" w:styleId="af3">
    <w:name w:val="Strong"/>
    <w:uiPriority w:val="22"/>
    <w:qFormat/>
    <w:rPr>
      <w:b/>
      <w:bCs/>
    </w:rPr>
  </w:style>
  <w:style w:type="character" w:styleId="af4">
    <w:name w:val="Emphasis"/>
    <w:uiPriority w:val="20"/>
    <w:qFormat/>
    <w:rPr>
      <w:i/>
      <w:iCs/>
    </w:rPr>
  </w:style>
  <w:style w:type="character" w:styleId="af5">
    <w:name w:val="Hyperlink"/>
    <w:basedOn w:val="a0"/>
    <w:uiPriority w:val="99"/>
    <w:semiHidden/>
    <w:unhideWhenUsed/>
    <w:qFormat/>
    <w:rPr>
      <w:color w:val="0000FF"/>
      <w:u w:val="single"/>
    </w:rPr>
  </w:style>
  <w:style w:type="character" w:styleId="af6">
    <w:name w:val="annotation reference"/>
    <w:basedOn w:val="a0"/>
    <w:uiPriority w:val="99"/>
    <w:semiHidden/>
    <w:unhideWhenUsed/>
    <w:qFormat/>
    <w:rPr>
      <w:sz w:val="21"/>
      <w:szCs w:val="21"/>
    </w:rPr>
  </w:style>
  <w:style w:type="character" w:customStyle="1" w:styleId="10">
    <w:name w:val="标题 1 字符"/>
    <w:link w:val="1"/>
    <w:uiPriority w:val="9"/>
    <w:qFormat/>
    <w:rPr>
      <w:rFonts w:ascii="Cambria" w:eastAsia="宋体" w:hAnsi="Cambria" w:cs="Times New Roman"/>
      <w:b/>
      <w:bCs/>
      <w:color w:val="21798E"/>
      <w:sz w:val="28"/>
      <w:szCs w:val="28"/>
    </w:rPr>
  </w:style>
  <w:style w:type="character" w:customStyle="1" w:styleId="20">
    <w:name w:val="标题 2 字符"/>
    <w:link w:val="2"/>
    <w:uiPriority w:val="9"/>
    <w:semiHidden/>
    <w:qFormat/>
    <w:rPr>
      <w:rFonts w:ascii="Cambria" w:eastAsia="宋体" w:hAnsi="Cambria" w:cs="Times New Roman"/>
      <w:b/>
      <w:bCs/>
      <w:color w:val="2DA2BF"/>
      <w:sz w:val="26"/>
      <w:szCs w:val="26"/>
    </w:rPr>
  </w:style>
  <w:style w:type="character" w:customStyle="1" w:styleId="30">
    <w:name w:val="标题 3 字符"/>
    <w:link w:val="3"/>
    <w:uiPriority w:val="9"/>
    <w:semiHidden/>
    <w:qFormat/>
    <w:rPr>
      <w:rFonts w:ascii="Cambria" w:eastAsia="宋体" w:hAnsi="Cambria" w:cs="Times New Roman"/>
      <w:b/>
      <w:bCs/>
      <w:color w:val="2DA2BF"/>
    </w:rPr>
  </w:style>
  <w:style w:type="character" w:customStyle="1" w:styleId="40">
    <w:name w:val="标题 4 字符"/>
    <w:link w:val="4"/>
    <w:uiPriority w:val="9"/>
    <w:semiHidden/>
    <w:qFormat/>
    <w:rPr>
      <w:rFonts w:ascii="Cambria" w:eastAsia="宋体" w:hAnsi="Cambria" w:cs="Times New Roman"/>
      <w:b/>
      <w:bCs/>
      <w:i/>
      <w:iCs/>
      <w:color w:val="2DA2BF"/>
    </w:rPr>
  </w:style>
  <w:style w:type="character" w:customStyle="1" w:styleId="50">
    <w:name w:val="标题 5 字符"/>
    <w:link w:val="5"/>
    <w:uiPriority w:val="9"/>
    <w:semiHidden/>
    <w:qFormat/>
    <w:rPr>
      <w:rFonts w:ascii="Cambria" w:eastAsia="宋体" w:hAnsi="Cambria" w:cs="Times New Roman"/>
      <w:color w:val="16505E"/>
    </w:rPr>
  </w:style>
  <w:style w:type="character" w:customStyle="1" w:styleId="60">
    <w:name w:val="标题 6 字符"/>
    <w:link w:val="6"/>
    <w:uiPriority w:val="9"/>
    <w:semiHidden/>
    <w:qFormat/>
    <w:rPr>
      <w:rFonts w:ascii="Cambria" w:eastAsia="宋体" w:hAnsi="Cambria" w:cs="Times New Roman"/>
      <w:i/>
      <w:iCs/>
      <w:color w:val="16505E"/>
    </w:rPr>
  </w:style>
  <w:style w:type="character" w:customStyle="1" w:styleId="70">
    <w:name w:val="标题 7 字符"/>
    <w:link w:val="7"/>
    <w:uiPriority w:val="9"/>
    <w:semiHidden/>
    <w:qFormat/>
    <w:rPr>
      <w:rFonts w:ascii="Cambria" w:eastAsia="宋体" w:hAnsi="Cambria" w:cs="Times New Roman"/>
      <w:i/>
      <w:iCs/>
      <w:color w:val="404040"/>
    </w:rPr>
  </w:style>
  <w:style w:type="character" w:customStyle="1" w:styleId="80">
    <w:name w:val="标题 8 字符"/>
    <w:link w:val="8"/>
    <w:uiPriority w:val="9"/>
    <w:semiHidden/>
    <w:qFormat/>
    <w:rPr>
      <w:rFonts w:ascii="Cambria" w:eastAsia="宋体" w:hAnsi="Cambria" w:cs="Times New Roman"/>
      <w:color w:val="2DA2BF"/>
      <w:sz w:val="20"/>
      <w:szCs w:val="20"/>
    </w:rPr>
  </w:style>
  <w:style w:type="character" w:customStyle="1" w:styleId="90">
    <w:name w:val="标题 9 字符"/>
    <w:link w:val="9"/>
    <w:uiPriority w:val="9"/>
    <w:semiHidden/>
    <w:qFormat/>
    <w:rPr>
      <w:rFonts w:ascii="Cambria" w:eastAsia="宋体" w:hAnsi="Cambria" w:cs="Times New Roman"/>
      <w:i/>
      <w:iCs/>
      <w:color w:val="404040"/>
      <w:sz w:val="20"/>
      <w:szCs w:val="20"/>
    </w:rPr>
  </w:style>
  <w:style w:type="character" w:customStyle="1" w:styleId="af0">
    <w:name w:val="标题 字符"/>
    <w:link w:val="af"/>
    <w:uiPriority w:val="10"/>
    <w:qFormat/>
    <w:rPr>
      <w:rFonts w:ascii="Cambria" w:eastAsia="宋体" w:hAnsi="Cambria" w:cs="Times New Roman"/>
      <w:color w:val="343434"/>
      <w:spacing w:val="5"/>
      <w:kern w:val="28"/>
      <w:sz w:val="52"/>
      <w:szCs w:val="52"/>
    </w:rPr>
  </w:style>
  <w:style w:type="character" w:customStyle="1" w:styleId="ad">
    <w:name w:val="副标题 字符"/>
    <w:link w:val="ac"/>
    <w:uiPriority w:val="11"/>
    <w:qFormat/>
    <w:rPr>
      <w:rFonts w:ascii="Cambria" w:eastAsia="宋体" w:hAnsi="Cambria" w:cs="Times New Roman"/>
      <w:i/>
      <w:iCs/>
      <w:color w:val="2DA2BF"/>
      <w:spacing w:val="15"/>
      <w:sz w:val="24"/>
      <w:szCs w:val="24"/>
    </w:rPr>
  </w:style>
  <w:style w:type="paragraph" w:styleId="af7">
    <w:name w:val="No Spacing"/>
    <w:uiPriority w:val="1"/>
    <w:qFormat/>
    <w:rPr>
      <w:rFonts w:asciiTheme="minorHAnsi" w:eastAsiaTheme="minorEastAsia" w:hAnsiTheme="minorHAnsi" w:cstheme="minorBidi"/>
      <w:sz w:val="22"/>
      <w:szCs w:val="22"/>
    </w:rPr>
  </w:style>
  <w:style w:type="paragraph" w:styleId="af8">
    <w:name w:val="List Paragraph"/>
    <w:basedOn w:val="a"/>
    <w:uiPriority w:val="34"/>
    <w:qFormat/>
    <w:pPr>
      <w:widowControl/>
      <w:spacing w:after="200" w:line="276" w:lineRule="auto"/>
      <w:ind w:left="720"/>
      <w:contextualSpacing/>
      <w:jc w:val="left"/>
    </w:pPr>
    <w:rPr>
      <w:rFonts w:asciiTheme="minorHAnsi" w:eastAsiaTheme="minorEastAsia" w:hAnsiTheme="minorHAnsi" w:cstheme="minorBidi"/>
      <w:kern w:val="0"/>
      <w:sz w:val="22"/>
      <w:szCs w:val="22"/>
    </w:rPr>
  </w:style>
  <w:style w:type="paragraph" w:styleId="af9">
    <w:name w:val="Quote"/>
    <w:basedOn w:val="a"/>
    <w:next w:val="a"/>
    <w:link w:val="afa"/>
    <w:uiPriority w:val="29"/>
    <w:qFormat/>
    <w:pPr>
      <w:widowControl/>
      <w:spacing w:after="200" w:line="276" w:lineRule="auto"/>
      <w:jc w:val="left"/>
    </w:pPr>
    <w:rPr>
      <w:rFonts w:asciiTheme="minorHAnsi" w:eastAsiaTheme="minorEastAsia" w:hAnsiTheme="minorHAnsi" w:cstheme="minorBidi"/>
      <w:i/>
      <w:iCs/>
      <w:color w:val="000000"/>
      <w:kern w:val="0"/>
      <w:sz w:val="22"/>
      <w:szCs w:val="22"/>
    </w:rPr>
  </w:style>
  <w:style w:type="character" w:customStyle="1" w:styleId="afa">
    <w:name w:val="引用 字符"/>
    <w:link w:val="af9"/>
    <w:uiPriority w:val="29"/>
    <w:qFormat/>
    <w:rPr>
      <w:i/>
      <w:iCs/>
      <w:color w:val="000000"/>
    </w:rPr>
  </w:style>
  <w:style w:type="paragraph" w:styleId="afb">
    <w:name w:val="Intense Quote"/>
    <w:basedOn w:val="a"/>
    <w:next w:val="a"/>
    <w:link w:val="afc"/>
    <w:uiPriority w:val="30"/>
    <w:qFormat/>
    <w:pPr>
      <w:widowControl/>
      <w:pBdr>
        <w:bottom w:val="single" w:sz="4" w:space="4" w:color="2DA2BF"/>
      </w:pBdr>
      <w:spacing w:before="200" w:after="280" w:line="276" w:lineRule="auto"/>
      <w:ind w:left="936" w:right="936"/>
      <w:jc w:val="left"/>
    </w:pPr>
    <w:rPr>
      <w:rFonts w:asciiTheme="minorHAnsi" w:eastAsiaTheme="minorEastAsia" w:hAnsiTheme="minorHAnsi" w:cstheme="minorBidi"/>
      <w:b/>
      <w:bCs/>
      <w:i/>
      <w:iCs/>
      <w:color w:val="2DA2BF"/>
      <w:kern w:val="0"/>
      <w:sz w:val="22"/>
      <w:szCs w:val="22"/>
    </w:rPr>
  </w:style>
  <w:style w:type="character" w:customStyle="1" w:styleId="afc">
    <w:name w:val="明显引用 字符"/>
    <w:link w:val="afb"/>
    <w:uiPriority w:val="30"/>
    <w:qFormat/>
    <w:rPr>
      <w:b/>
      <w:bCs/>
      <w:i/>
      <w:iCs/>
      <w:color w:val="2DA2BF"/>
    </w:rPr>
  </w:style>
  <w:style w:type="character" w:customStyle="1" w:styleId="11">
    <w:name w:val="不明显强调1"/>
    <w:uiPriority w:val="19"/>
    <w:qFormat/>
    <w:rPr>
      <w:i/>
      <w:iCs/>
      <w:color w:val="808080"/>
    </w:rPr>
  </w:style>
  <w:style w:type="character" w:customStyle="1" w:styleId="12">
    <w:name w:val="明显强调1"/>
    <w:uiPriority w:val="21"/>
    <w:qFormat/>
    <w:rPr>
      <w:b/>
      <w:bCs/>
      <w:i/>
      <w:iCs/>
      <w:color w:val="2DA2BF"/>
    </w:rPr>
  </w:style>
  <w:style w:type="character" w:customStyle="1" w:styleId="13">
    <w:name w:val="不明显参考1"/>
    <w:uiPriority w:val="31"/>
    <w:qFormat/>
    <w:rPr>
      <w:smallCaps/>
      <w:color w:val="DA1F28"/>
      <w:u w:val="single"/>
    </w:rPr>
  </w:style>
  <w:style w:type="character" w:customStyle="1" w:styleId="14">
    <w:name w:val="明显参考1"/>
    <w:uiPriority w:val="32"/>
    <w:qFormat/>
    <w:rPr>
      <w:b/>
      <w:bCs/>
      <w:smallCaps/>
      <w:color w:val="DA1F28"/>
      <w:spacing w:val="5"/>
      <w:u w:val="single"/>
    </w:rPr>
  </w:style>
  <w:style w:type="character" w:customStyle="1" w:styleId="15">
    <w:name w:val="书籍标题1"/>
    <w:uiPriority w:val="33"/>
    <w:qFormat/>
    <w:rPr>
      <w:b/>
      <w:bCs/>
      <w:smallCaps/>
      <w:spacing w:val="5"/>
    </w:rPr>
  </w:style>
  <w:style w:type="paragraph" w:customStyle="1" w:styleId="TOC1">
    <w:name w:val="TOC 标题1"/>
    <w:basedOn w:val="1"/>
    <w:next w:val="a"/>
    <w:uiPriority w:val="39"/>
    <w:semiHidden/>
    <w:unhideWhenUsed/>
    <w:qFormat/>
    <w:pPr>
      <w:outlineLvl w:val="9"/>
    </w:pPr>
  </w:style>
  <w:style w:type="character" w:customStyle="1" w:styleId="ab">
    <w:name w:val="页眉 字符"/>
    <w:basedOn w:val="a0"/>
    <w:link w:val="aa"/>
    <w:uiPriority w:val="99"/>
    <w:qFormat/>
    <w:rPr>
      <w:rFonts w:ascii="Times New Roman" w:eastAsia="宋体" w:hAnsi="Times New Roman" w:cs="Times New Roman"/>
      <w:kern w:val="2"/>
      <w:sz w:val="18"/>
      <w:szCs w:val="18"/>
    </w:rPr>
  </w:style>
  <w:style w:type="character" w:customStyle="1" w:styleId="a9">
    <w:name w:val="页脚 字符"/>
    <w:basedOn w:val="a0"/>
    <w:link w:val="a8"/>
    <w:uiPriority w:val="99"/>
    <w:qFormat/>
    <w:rPr>
      <w:rFonts w:ascii="Times New Roman" w:eastAsia="宋体" w:hAnsi="Times New Roman" w:cs="Times New Roman"/>
      <w:kern w:val="2"/>
      <w:sz w:val="18"/>
      <w:szCs w:val="18"/>
    </w:rPr>
  </w:style>
  <w:style w:type="character" w:customStyle="1" w:styleId="a5">
    <w:name w:val="批注文字 字符"/>
    <w:basedOn w:val="a0"/>
    <w:link w:val="a4"/>
    <w:uiPriority w:val="99"/>
    <w:semiHidden/>
    <w:qFormat/>
    <w:rPr>
      <w:rFonts w:ascii="Times New Roman" w:eastAsia="宋体" w:hAnsi="Times New Roman" w:cs="Times New Roman"/>
      <w:kern w:val="2"/>
      <w:sz w:val="21"/>
      <w:szCs w:val="20"/>
    </w:rPr>
  </w:style>
  <w:style w:type="character" w:customStyle="1" w:styleId="af2">
    <w:name w:val="批注主题 字符"/>
    <w:basedOn w:val="a5"/>
    <w:link w:val="af1"/>
    <w:uiPriority w:val="99"/>
    <w:semiHidden/>
    <w:qFormat/>
    <w:rPr>
      <w:rFonts w:ascii="Times New Roman" w:eastAsia="宋体" w:hAnsi="Times New Roman" w:cs="Times New Roman"/>
      <w:b/>
      <w:bCs/>
      <w:kern w:val="2"/>
      <w:sz w:val="21"/>
      <w:szCs w:val="20"/>
    </w:rPr>
  </w:style>
  <w:style w:type="character" w:customStyle="1" w:styleId="a7">
    <w:name w:val="批注框文本 字符"/>
    <w:basedOn w:val="a0"/>
    <w:link w:val="a6"/>
    <w:uiPriority w:val="99"/>
    <w:semiHidden/>
    <w:qFormat/>
    <w:rPr>
      <w:rFonts w:ascii="Times New Roman" w:eastAsia="宋体" w:hAnsi="Times New Roman" w:cs="Times New Roman"/>
      <w:kern w:val="2"/>
      <w:sz w:val="18"/>
      <w:szCs w:val="18"/>
    </w:rPr>
  </w:style>
  <w:style w:type="paragraph" w:customStyle="1" w:styleId="16">
    <w:name w:val="修订1"/>
    <w:hidden/>
    <w:uiPriority w:val="99"/>
    <w:unhideWhenUsed/>
    <w:qFormat/>
    <w:rPr>
      <w:kern w:val="2"/>
      <w:sz w:val="21"/>
    </w:rPr>
  </w:style>
  <w:style w:type="character" w:customStyle="1" w:styleId="fontstyle01">
    <w:name w:val="fontstyle01"/>
    <w:basedOn w:val="a0"/>
    <w:qFormat/>
    <w:rPr>
      <w:rFonts w:ascii="宋体" w:eastAsia="宋体" w:hAnsi="宋体" w:hint="eastAsia"/>
      <w:color w:val="000000"/>
      <w:sz w:val="24"/>
      <w:szCs w:val="24"/>
    </w:rPr>
  </w:style>
  <w:style w:type="character" w:customStyle="1" w:styleId="keyword">
    <w:name w:val="keyword"/>
    <w:basedOn w:val="a0"/>
    <w:qFormat/>
  </w:style>
  <w:style w:type="character" w:customStyle="1" w:styleId="activekeyword">
    <w:name w:val="activekeyword"/>
    <w:basedOn w:val="a0"/>
    <w:qFormat/>
  </w:style>
  <w:style w:type="character" w:customStyle="1" w:styleId="highlight">
    <w:name w:val="highlight"/>
    <w:basedOn w:val="a0"/>
    <w:qFormat/>
  </w:style>
  <w:style w:type="character" w:customStyle="1" w:styleId="text-only">
    <w:name w:val="text-only"/>
    <w:basedOn w:val="a0"/>
    <w:qFormat/>
  </w:style>
  <w:style w:type="paragraph" w:customStyle="1" w:styleId="3090">
    <w:name w:val="3090"/>
    <w:basedOn w:val="a"/>
    <w:qFormat/>
    <w:pPr>
      <w:spacing w:line="360" w:lineRule="auto"/>
      <w:ind w:firstLineChars="200" w:firstLine="200"/>
    </w:pPr>
    <w:rPr>
      <w:sz w:val="24"/>
      <w:szCs w:val="24"/>
    </w:rPr>
  </w:style>
  <w:style w:type="character" w:customStyle="1" w:styleId="font21">
    <w:name w:val="font21"/>
    <w:basedOn w:val="a0"/>
    <w:qFormat/>
    <w:rPr>
      <w:rFonts w:ascii="宋体" w:eastAsia="宋体" w:hAnsi="宋体" w:hint="eastAsia"/>
      <w:b/>
      <w:bCs/>
      <w:color w:val="000000"/>
      <w:sz w:val="21"/>
      <w:szCs w:val="21"/>
      <w:u w:val="none"/>
    </w:rPr>
  </w:style>
  <w:style w:type="character" w:customStyle="1" w:styleId="font41">
    <w:name w:val="font41"/>
    <w:basedOn w:val="a0"/>
    <w:qFormat/>
    <w:rPr>
      <w:rFonts w:ascii="Times New Roman" w:hAnsi="Times New Roman" w:cs="Times New Roman" w:hint="default"/>
      <w:color w:val="000000"/>
      <w:sz w:val="21"/>
      <w:szCs w:val="21"/>
      <w:u w:val="none"/>
    </w:rPr>
  </w:style>
  <w:style w:type="character" w:customStyle="1" w:styleId="font11">
    <w:name w:val="font11"/>
    <w:basedOn w:val="a0"/>
    <w:qFormat/>
    <w:rPr>
      <w:rFonts w:ascii="宋体" w:eastAsia="宋体" w:hAnsi="宋体" w:hint="eastAsia"/>
      <w:color w:val="000000"/>
      <w:sz w:val="21"/>
      <w:szCs w:val="21"/>
      <w:u w:val="none"/>
    </w:rPr>
  </w:style>
  <w:style w:type="character" w:customStyle="1" w:styleId="biaodian">
    <w:name w:val="biaodian"/>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9402">
      <w:bodyDiv w:val="1"/>
      <w:marLeft w:val="0"/>
      <w:marRight w:val="0"/>
      <w:marTop w:val="0"/>
      <w:marBottom w:val="0"/>
      <w:divBdr>
        <w:top w:val="none" w:sz="0" w:space="0" w:color="auto"/>
        <w:left w:val="none" w:sz="0" w:space="0" w:color="auto"/>
        <w:bottom w:val="none" w:sz="0" w:space="0" w:color="auto"/>
        <w:right w:val="none" w:sz="0" w:space="0" w:color="auto"/>
      </w:divBdr>
    </w:div>
    <w:div w:id="793526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F1191-D2AE-4B2D-A192-BA65C0733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17</Pages>
  <Words>1902</Words>
  <Characters>10847</Characters>
  <Application>Microsoft Office Word</Application>
  <DocSecurity>0</DocSecurity>
  <Lines>90</Lines>
  <Paragraphs>25</Paragraphs>
  <ScaleCrop>false</ScaleCrop>
  <Company>Microsoft</Company>
  <LinksUpToDate>false</LinksUpToDate>
  <CharactersWithSpaces>12724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Song Jiajun 宋佳峻 (FH)</cp:lastModifiedBy>
  <cp:revision>462</cp:revision>
  <cp:lastPrinted>2024-05-14T09:00:00Z</cp:lastPrinted>
  <dcterms:created xsi:type="dcterms:W3CDTF">2023-06-02T09:16:00Z</dcterms:created>
  <dcterms:modified xsi:type="dcterms:W3CDTF">2026-08-20T06:33:00Z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5B77E7CEEC58BC6AFAE8886BEB80DBEB">
    <vt:lpwstr>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</vt:lpwstr>
  </property>
  <property fmtid="{D5CDD505-2E9C-101B-9397-08002B2CF9AE}" pid="3" name="KSOProductBuildVer">
    <vt:lpwstr>2052-12.1.0.24034</vt:lpwstr>
  </property>
  <property fmtid="{D5CDD505-2E9C-101B-9397-08002B2CF9AE}" pid="4" name="ICV">
    <vt:lpwstr>4008ABD01AF747508157E4D0231EB8D4_13</vt:lpwstr>
  </property>
  <property fmtid="{D5CDD505-2E9C-101B-9397-08002B2CF9AE}" pid="5" name="KSOTemplateDocerSaveRecord">
    <vt:lpwstr>eyJoZGlkIjoiMWI2NjQxNWM0NGMxNTljNDhlZDNkN2YzMDE2MGVmZjciLCJ1c2VySWQiOiI1ODUzMDk2MjkifQ==</vt:lpwstr>
  </property>
</Properties>
</file>