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20" w:line="259" w:lineRule="auto"/>
        <w:jc w:val="left"/>
        <w:rPr>
          <w:rFonts w:ascii="Calibri" w:hAnsi="Calibri" w:eastAsia="Times New Roman" w:cs="Calibri"/>
          <w:color w:val="000000"/>
          <w:sz w:val="22"/>
        </w:rPr>
      </w:pPr>
      <w:r>
        <w:rPr>
          <w:rFonts w:hint="eastAsia" w:ascii="宋体" w:hAnsi="宋体" w:eastAsia="宋体" w:cs="宋体"/>
          <w:color w:val="000000"/>
          <w:sz w:val="24"/>
        </w:rPr>
        <w:t>证券代码：</w:t>
      </w:r>
      <w:r>
        <w:rPr>
          <w:rFonts w:ascii="宋体" w:hAnsi="宋体" w:eastAsia="宋体" w:cs="宋体"/>
          <w:color w:val="000000"/>
          <w:sz w:val="24"/>
        </w:rPr>
        <w:t xml:space="preserve">688328                                    </w:t>
      </w:r>
      <w:r>
        <w:rPr>
          <w:rFonts w:hint="eastAsia" w:ascii="宋体" w:hAnsi="宋体" w:eastAsia="宋体" w:cs="宋体"/>
          <w:color w:val="000000"/>
          <w:sz w:val="24"/>
        </w:rPr>
        <w:t>证券简称：深科达</w:t>
      </w:r>
      <w:r>
        <w:rPr>
          <w:rFonts w:ascii="宋体" w:hAnsi="宋体" w:eastAsia="宋体" w:cs="宋体"/>
          <w:color w:val="000000"/>
          <w:sz w:val="24"/>
        </w:rPr>
        <w:t xml:space="preserve">                                          </w:t>
      </w:r>
    </w:p>
    <w:p>
      <w:pPr>
        <w:keepNext w:val="0"/>
        <w:keepLines w:val="0"/>
        <w:pageBreakBefore w:val="0"/>
        <w:widowControl/>
        <w:kinsoku/>
        <w:wordWrap/>
        <w:overflowPunct/>
        <w:topLinePunct w:val="0"/>
        <w:autoSpaceDE/>
        <w:autoSpaceDN/>
        <w:bidi w:val="0"/>
        <w:adjustRightInd/>
        <w:snapToGrid/>
        <w:spacing w:before="313" w:beforeLines="100" w:after="0" w:line="360" w:lineRule="auto"/>
        <w:ind w:firstLine="1606" w:firstLineChars="500"/>
        <w:jc w:val="left"/>
        <w:textAlignment w:val="auto"/>
        <w:rPr>
          <w:rFonts w:hint="eastAsia" w:ascii="宋体" w:hAnsi="宋体" w:eastAsia="宋体" w:cs="宋体"/>
          <w:b/>
          <w:color w:val="000000"/>
          <w:sz w:val="32"/>
        </w:rPr>
      </w:pPr>
      <w:r>
        <w:rPr>
          <w:rFonts w:hint="eastAsia" w:ascii="宋体" w:hAnsi="宋体" w:eastAsia="宋体" w:cs="宋体"/>
          <w:b/>
          <w:color w:val="000000"/>
          <w:sz w:val="32"/>
        </w:rPr>
        <w:t>深圳市深科达智能装备股份有限公司</w:t>
      </w:r>
    </w:p>
    <w:p>
      <w:pPr>
        <w:keepNext w:val="0"/>
        <w:keepLines w:val="0"/>
        <w:pageBreakBefore w:val="0"/>
        <w:widowControl/>
        <w:kinsoku/>
        <w:wordWrap/>
        <w:overflowPunct/>
        <w:topLinePunct w:val="0"/>
        <w:autoSpaceDE/>
        <w:autoSpaceDN/>
        <w:bidi w:val="0"/>
        <w:adjustRightInd/>
        <w:snapToGrid/>
        <w:spacing w:after="0" w:line="360" w:lineRule="auto"/>
        <w:ind w:firstLine="2570" w:firstLineChars="800"/>
        <w:jc w:val="left"/>
        <w:textAlignment w:val="auto"/>
        <w:rPr>
          <w:rFonts w:hint="eastAsia" w:ascii="宋体" w:hAnsi="宋体" w:eastAsia="宋体" w:cs="宋体"/>
          <w:b/>
          <w:color w:val="000000"/>
          <w:sz w:val="32"/>
        </w:rPr>
      </w:pPr>
      <w:r>
        <w:rPr>
          <w:rFonts w:hint="eastAsia" w:ascii="宋体" w:hAnsi="宋体" w:eastAsia="宋体" w:cs="宋体"/>
          <w:b/>
          <w:color w:val="000000"/>
          <w:sz w:val="32"/>
        </w:rPr>
        <w:t>投资者关系活动记录表</w:t>
      </w:r>
    </w:p>
    <w:p>
      <w:pPr>
        <w:keepNext w:val="0"/>
        <w:keepLines w:val="0"/>
        <w:pageBreakBefore w:val="0"/>
        <w:widowControl/>
        <w:kinsoku/>
        <w:wordWrap/>
        <w:overflowPunct/>
        <w:topLinePunct w:val="0"/>
        <w:autoSpaceDE/>
        <w:autoSpaceDN/>
        <w:bidi w:val="0"/>
        <w:adjustRightInd/>
        <w:snapToGrid/>
        <w:spacing w:after="0" w:line="260" w:lineRule="auto"/>
        <w:ind w:left="1179"/>
        <w:jc w:val="right"/>
        <w:textAlignment w:val="auto"/>
        <w:rPr>
          <w:rFonts w:ascii="Calibri" w:hAnsi="Calibri" w:eastAsia="Times New Roman" w:cs="Calibri"/>
          <w:color w:val="000000"/>
          <w:sz w:val="22"/>
        </w:rPr>
      </w:pPr>
    </w:p>
    <w:tbl>
      <w:tblPr>
        <w:tblStyle w:val="9"/>
        <w:tblW w:w="9976" w:type="dxa"/>
        <w:tblInd w:w="-743" w:type="dxa"/>
        <w:tblLayout w:type="fixed"/>
        <w:tblCellMar>
          <w:top w:w="0" w:type="dxa"/>
          <w:left w:w="108" w:type="dxa"/>
          <w:bottom w:w="41" w:type="dxa"/>
          <w:right w:w="0" w:type="dxa"/>
        </w:tblCellMar>
      </w:tblPr>
      <w:tblGrid>
        <w:gridCol w:w="2100"/>
        <w:gridCol w:w="7876"/>
      </w:tblGrid>
      <w:tr>
        <w:tblPrEx>
          <w:tblLayout w:type="fixed"/>
          <w:tblCellMar>
            <w:top w:w="0" w:type="dxa"/>
            <w:left w:w="108" w:type="dxa"/>
            <w:bottom w:w="41" w:type="dxa"/>
            <w:right w:w="0" w:type="dxa"/>
          </w:tblCellMar>
        </w:tblPrEx>
        <w:trPr>
          <w:trHeight w:val="2413" w:hRule="atLeast"/>
        </w:trPr>
        <w:tc>
          <w:tcPr>
            <w:tcW w:w="21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投资者关系</w:t>
            </w:r>
          </w:p>
          <w:p>
            <w:pPr>
              <w:widowControl/>
              <w:snapToGrid w:val="0"/>
              <w:spacing w:after="0" w:line="360" w:lineRule="auto"/>
              <w:jc w:val="center"/>
              <w:rPr>
                <w:rFonts w:hint="eastAsia" w:ascii="宋体" w:hAnsi="宋体" w:eastAsia="宋体" w:cs="Calibri"/>
                <w:b/>
                <w:color w:val="000000"/>
                <w:sz w:val="24"/>
                <w:szCs w:val="24"/>
              </w:rPr>
            </w:pPr>
            <w:r>
              <w:rPr>
                <w:rFonts w:hint="eastAsia" w:ascii="宋体" w:hAnsi="宋体" w:eastAsia="宋体" w:cs="宋体"/>
                <w:b/>
                <w:color w:val="000000"/>
                <w:sz w:val="24"/>
                <w:szCs w:val="24"/>
              </w:rPr>
              <w:t>活动类别</w:t>
            </w:r>
          </w:p>
        </w:tc>
        <w:tc>
          <w:tcPr>
            <w:tcW w:w="7876"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kinsoku/>
              <w:wordWrap/>
              <w:overflowPunct/>
              <w:topLinePunct w:val="0"/>
              <w:autoSpaceDE/>
              <w:autoSpaceDN/>
              <w:bidi w:val="0"/>
              <w:adjustRightInd/>
              <w:snapToGrid w:val="0"/>
              <w:spacing w:before="157" w:beforeLines="50" w:after="0" w:line="360" w:lineRule="auto"/>
              <w:ind w:left="105" w:leftChars="50"/>
              <w:jc w:val="left"/>
              <w:textAlignment w:val="auto"/>
              <w:rPr>
                <w:rFonts w:hint="eastAsia" w:ascii="宋体" w:hAnsi="宋体" w:eastAsia="宋体" w:cs="Calibri"/>
                <w:color w:val="000000"/>
                <w:sz w:val="24"/>
                <w:szCs w:val="24"/>
              </w:rPr>
            </w:pP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特定对象调研</w:t>
            </w:r>
            <w:r>
              <w:rPr>
                <w:rFonts w:ascii="宋体" w:hAnsi="宋体" w:eastAsia="宋体" w:cs="宋体"/>
                <w:color w:val="000000"/>
                <w:sz w:val="24"/>
                <w:szCs w:val="24"/>
              </w:rPr>
              <w:t xml:space="preserve">        </w:t>
            </w:r>
            <w:r>
              <w:rPr>
                <w:rFonts w:hint="eastAsia" w:ascii="宋体" w:hAnsi="宋体" w:eastAsia="宋体" w:cs="宋体"/>
                <w:color w:val="000000"/>
                <w:sz w:val="24"/>
                <w:szCs w:val="24"/>
              </w:rPr>
              <w:sym w:font="Wingdings 2" w:char="0052"/>
            </w:r>
            <w:r>
              <w:rPr>
                <w:rFonts w:hint="eastAsia" w:ascii="宋体" w:hAnsi="宋体" w:eastAsia="宋体" w:cs="宋体"/>
                <w:color w:val="000000"/>
                <w:sz w:val="24"/>
                <w:szCs w:val="24"/>
              </w:rPr>
              <w:t>分析师会议</w:t>
            </w:r>
            <w:r>
              <w:rPr>
                <w:rFonts w:ascii="宋体" w:hAnsi="宋体" w:eastAsia="宋体" w:cs="宋体"/>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after="0" w:line="360" w:lineRule="auto"/>
              <w:ind w:left="105" w:leftChars="50"/>
              <w:jc w:val="left"/>
              <w:textAlignment w:val="auto"/>
              <w:rPr>
                <w:rFonts w:hint="eastAsia" w:ascii="宋体" w:hAnsi="宋体" w:eastAsia="宋体" w:cs="Calibri"/>
                <w:color w:val="000000"/>
                <w:sz w:val="24"/>
                <w:szCs w:val="24"/>
              </w:rPr>
            </w:pP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媒体采访</w:t>
            </w:r>
            <w:r>
              <w:rPr>
                <w:rFonts w:ascii="宋体" w:hAnsi="宋体" w:eastAsia="宋体" w:cs="宋体"/>
                <w:color w:val="000000"/>
                <w:sz w:val="24"/>
                <w:szCs w:val="24"/>
              </w:rPr>
              <w:t xml:space="preserve">            </w:t>
            </w: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业绩说明会</w:t>
            </w:r>
            <w:r>
              <w:rPr>
                <w:rFonts w:ascii="宋体" w:hAnsi="宋体" w:eastAsia="宋体" w:cs="宋体"/>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after="0" w:line="360" w:lineRule="auto"/>
              <w:ind w:left="105" w:leftChars="50"/>
              <w:jc w:val="left"/>
              <w:textAlignment w:val="auto"/>
              <w:rPr>
                <w:rFonts w:hint="eastAsia" w:ascii="宋体" w:hAnsi="宋体" w:eastAsia="宋体" w:cs="Calibri"/>
                <w:color w:val="000000"/>
                <w:sz w:val="24"/>
                <w:szCs w:val="24"/>
              </w:rPr>
            </w:pP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新闻发布会</w:t>
            </w:r>
            <w:r>
              <w:rPr>
                <w:rFonts w:ascii="宋体" w:hAnsi="宋体" w:eastAsia="宋体" w:cs="宋体"/>
                <w:color w:val="000000"/>
                <w:sz w:val="24"/>
                <w:szCs w:val="24"/>
              </w:rPr>
              <w:t xml:space="preserve">          </w:t>
            </w: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路演活动</w:t>
            </w:r>
            <w:r>
              <w:rPr>
                <w:rFonts w:ascii="宋体" w:hAnsi="宋体" w:eastAsia="宋体" w:cs="宋体"/>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after="0" w:line="360" w:lineRule="auto"/>
              <w:ind w:left="105" w:leftChars="50"/>
              <w:jc w:val="left"/>
              <w:textAlignment w:val="auto"/>
              <w:rPr>
                <w:rFonts w:hint="eastAsia" w:ascii="宋体" w:hAnsi="宋体" w:eastAsia="宋体" w:cs="Calibri"/>
                <w:color w:val="000000"/>
                <w:sz w:val="24"/>
                <w:szCs w:val="24"/>
              </w:rPr>
            </w:pP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现场参观</w:t>
            </w:r>
            <w:r>
              <w:rPr>
                <w:rFonts w:ascii="宋体" w:hAnsi="宋体" w:eastAsia="宋体" w:cs="宋体"/>
                <w:color w:val="000000"/>
                <w:sz w:val="24"/>
                <w:szCs w:val="24"/>
              </w:rPr>
              <w:t xml:space="preserve">            </w:t>
            </w: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一对一沟通</w:t>
            </w:r>
            <w:r>
              <w:rPr>
                <w:rFonts w:ascii="宋体" w:hAnsi="宋体" w:eastAsia="宋体" w:cs="宋体"/>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after="0" w:line="360" w:lineRule="auto"/>
              <w:ind w:left="105" w:leftChars="50"/>
              <w:jc w:val="left"/>
              <w:textAlignment w:val="auto"/>
              <w:rPr>
                <w:rFonts w:hint="eastAsia" w:ascii="宋体" w:hAnsi="宋体" w:eastAsia="宋体" w:cs="Calibri"/>
                <w:color w:val="000000"/>
                <w:sz w:val="24"/>
                <w:szCs w:val="24"/>
              </w:rPr>
            </w:pPr>
            <w:r>
              <w:rPr>
                <w:rFonts w:hint="eastAsia" w:ascii="宋体" w:hAnsi="宋体" w:eastAsia="宋体" w:cs="宋体"/>
                <w:color w:val="000000"/>
                <w:sz w:val="24"/>
                <w:szCs w:val="24"/>
              </w:rPr>
              <w:sym w:font="Wingdings 2" w:char="00A3"/>
            </w:r>
            <w:r>
              <w:rPr>
                <w:rFonts w:hint="eastAsia" w:ascii="宋体" w:hAnsi="宋体" w:eastAsia="宋体" w:cs="宋体"/>
                <w:color w:val="000000"/>
                <w:sz w:val="24"/>
                <w:szCs w:val="24"/>
              </w:rPr>
              <w:t>其他</w:t>
            </w:r>
            <w:r>
              <w:rPr>
                <w:rFonts w:ascii="宋体" w:hAnsi="宋体" w:eastAsia="宋体" w:cs="宋体"/>
                <w:color w:val="000000"/>
                <w:sz w:val="24"/>
                <w:szCs w:val="24"/>
              </w:rPr>
              <w:t xml:space="preserve">  </w:t>
            </w:r>
          </w:p>
        </w:tc>
      </w:tr>
      <w:tr>
        <w:tblPrEx>
          <w:tblLayout w:type="fixed"/>
          <w:tblCellMar>
            <w:top w:w="0" w:type="dxa"/>
            <w:left w:w="108" w:type="dxa"/>
            <w:bottom w:w="41" w:type="dxa"/>
            <w:right w:w="0" w:type="dxa"/>
          </w:tblCellMar>
        </w:tblPrEx>
        <w:trPr>
          <w:trHeight w:val="1417" w:hRule="atLeast"/>
        </w:trPr>
        <w:tc>
          <w:tcPr>
            <w:tcW w:w="21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360" w:lineRule="auto"/>
              <w:jc w:val="center"/>
              <w:rPr>
                <w:rFonts w:hint="eastAsia" w:ascii="宋体" w:hAnsi="宋体" w:eastAsia="宋体" w:cs="宋体"/>
                <w:color w:val="000000"/>
                <w:sz w:val="24"/>
                <w:szCs w:val="24"/>
              </w:rPr>
            </w:pPr>
            <w:r>
              <w:rPr>
                <w:rFonts w:hint="eastAsia" w:ascii="宋体" w:hAnsi="宋体" w:eastAsia="宋体" w:cs="宋体"/>
                <w:b/>
                <w:color w:val="000000"/>
                <w:sz w:val="24"/>
                <w:szCs w:val="24"/>
              </w:rPr>
              <w:t>参与单位</w:t>
            </w:r>
          </w:p>
        </w:tc>
        <w:tc>
          <w:tcPr>
            <w:tcW w:w="78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after="0" w:line="360" w:lineRule="auto"/>
              <w:ind w:left="105" w:leftChars="50"/>
              <w:textAlignment w:val="auto"/>
              <w:rPr>
                <w:rFonts w:hint="default"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lang w:val="en-US" w:eastAsia="zh-CN"/>
              </w:rPr>
              <w:t>招商证券、平安基金、景顺长城基金、银华基金、交银基金、博时基金、易方达、天弘基金、信达澳亚 、申万菱信、泽兴资产</w:t>
            </w:r>
          </w:p>
        </w:tc>
      </w:tr>
      <w:tr>
        <w:tblPrEx>
          <w:tblLayout w:type="fixed"/>
          <w:tblCellMar>
            <w:top w:w="0" w:type="dxa"/>
            <w:left w:w="108" w:type="dxa"/>
            <w:bottom w:w="41" w:type="dxa"/>
            <w:right w:w="0" w:type="dxa"/>
          </w:tblCellMar>
        </w:tblPrEx>
        <w:trPr>
          <w:trHeight w:val="567" w:hRule="atLeast"/>
        </w:trPr>
        <w:tc>
          <w:tcPr>
            <w:tcW w:w="21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156" w:beforeLines="50" w:after="0" w:line="360" w:lineRule="auto"/>
              <w:ind w:right="110"/>
              <w:jc w:val="center"/>
              <w:rPr>
                <w:rFonts w:hint="eastAsia" w:ascii="宋体" w:hAnsi="宋体" w:eastAsia="宋体" w:cs="Calibri"/>
                <w:b/>
                <w:color w:val="000000"/>
                <w:sz w:val="24"/>
                <w:szCs w:val="24"/>
              </w:rPr>
            </w:pPr>
            <w:r>
              <w:rPr>
                <w:rFonts w:hint="eastAsia" w:ascii="宋体" w:hAnsi="宋体" w:eastAsia="宋体" w:cs="宋体"/>
                <w:b/>
                <w:color w:val="000000"/>
                <w:sz w:val="24"/>
                <w:szCs w:val="24"/>
              </w:rPr>
              <w:t>时间</w:t>
            </w:r>
          </w:p>
        </w:tc>
        <w:tc>
          <w:tcPr>
            <w:tcW w:w="78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before="156" w:beforeLines="50" w:after="0" w:line="360" w:lineRule="auto"/>
              <w:ind w:left="105" w:leftChars="50"/>
              <w:jc w:val="left"/>
              <w:textAlignment w:val="auto"/>
              <w:rPr>
                <w:rFonts w:hint="default" w:ascii="宋体" w:hAnsi="宋体" w:eastAsia="宋体" w:cs="Calibri"/>
                <w:color w:val="000000"/>
                <w:sz w:val="24"/>
                <w:szCs w:val="24"/>
                <w:lang w:val="en-US" w:eastAsia="zh-CN"/>
              </w:rPr>
            </w:pPr>
            <w:r>
              <w:rPr>
                <w:rFonts w:ascii="宋体" w:hAnsi="宋体" w:eastAsia="宋体" w:cs="Calibri"/>
                <w:color w:val="000000"/>
                <w:sz w:val="24"/>
                <w:szCs w:val="24"/>
              </w:rPr>
              <w:t>202</w:t>
            </w:r>
            <w:r>
              <w:rPr>
                <w:rFonts w:hint="eastAsia" w:ascii="宋体" w:hAnsi="宋体" w:eastAsia="宋体" w:cs="Calibri"/>
                <w:color w:val="000000"/>
                <w:sz w:val="24"/>
                <w:szCs w:val="24"/>
                <w:lang w:val="en-US" w:eastAsia="zh-CN"/>
              </w:rPr>
              <w:t>6</w:t>
            </w:r>
            <w:r>
              <w:rPr>
                <w:rFonts w:hint="eastAsia" w:ascii="宋体" w:hAnsi="宋体" w:eastAsia="宋体" w:cs="Calibri"/>
                <w:color w:val="000000"/>
                <w:sz w:val="24"/>
                <w:szCs w:val="24"/>
              </w:rPr>
              <w:t>年</w:t>
            </w:r>
            <w:r>
              <w:rPr>
                <w:rFonts w:hint="eastAsia" w:ascii="宋体" w:hAnsi="宋体" w:eastAsia="宋体" w:cs="Calibri"/>
                <w:color w:val="000000"/>
                <w:sz w:val="24"/>
                <w:szCs w:val="24"/>
                <w:lang w:val="en-US" w:eastAsia="zh-CN"/>
              </w:rPr>
              <w:t>8</w:t>
            </w:r>
            <w:r>
              <w:rPr>
                <w:rFonts w:hint="eastAsia" w:ascii="宋体" w:hAnsi="宋体" w:eastAsia="宋体" w:cs="Calibri"/>
                <w:color w:val="000000"/>
                <w:sz w:val="24"/>
                <w:szCs w:val="24"/>
                <w:highlight w:val="none"/>
              </w:rPr>
              <w:t>月</w:t>
            </w:r>
            <w:r>
              <w:rPr>
                <w:rFonts w:hint="eastAsia" w:ascii="宋体" w:hAnsi="宋体" w:eastAsia="宋体" w:cs="Calibri"/>
                <w:color w:val="000000"/>
                <w:sz w:val="24"/>
                <w:szCs w:val="24"/>
                <w:highlight w:val="none"/>
                <w:lang w:val="en-US" w:eastAsia="zh-CN"/>
              </w:rPr>
              <w:t>19日-2026年8月20日</w:t>
            </w:r>
          </w:p>
        </w:tc>
      </w:tr>
      <w:tr>
        <w:tblPrEx>
          <w:tblLayout w:type="fixed"/>
          <w:tblCellMar>
            <w:top w:w="0" w:type="dxa"/>
            <w:left w:w="108" w:type="dxa"/>
            <w:bottom w:w="41" w:type="dxa"/>
            <w:right w:w="0" w:type="dxa"/>
          </w:tblCellMar>
        </w:tblPrEx>
        <w:trPr>
          <w:trHeight w:val="567" w:hRule="atLeast"/>
        </w:trPr>
        <w:tc>
          <w:tcPr>
            <w:tcW w:w="21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156" w:beforeLines="50" w:after="0" w:line="360" w:lineRule="auto"/>
              <w:ind w:right="110"/>
              <w:jc w:val="center"/>
              <w:rPr>
                <w:rFonts w:hint="eastAsia" w:ascii="宋体" w:hAnsi="宋体" w:eastAsia="宋体" w:cs="Calibri"/>
                <w:b/>
                <w:color w:val="000000"/>
                <w:sz w:val="24"/>
                <w:szCs w:val="24"/>
              </w:rPr>
            </w:pPr>
            <w:r>
              <w:rPr>
                <w:rFonts w:hint="eastAsia" w:ascii="宋体" w:hAnsi="宋体" w:eastAsia="宋体" w:cs="宋体"/>
                <w:b/>
                <w:color w:val="000000"/>
                <w:sz w:val="24"/>
                <w:szCs w:val="24"/>
              </w:rPr>
              <w:t>地点</w:t>
            </w:r>
          </w:p>
        </w:tc>
        <w:tc>
          <w:tcPr>
            <w:tcW w:w="78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before="156" w:beforeLines="50" w:after="0" w:line="360" w:lineRule="auto"/>
              <w:ind w:left="105" w:leftChars="50"/>
              <w:textAlignment w:val="auto"/>
              <w:rPr>
                <w:rFonts w:hint="default" w:ascii="宋体" w:hAnsi="宋体" w:eastAsia="宋体" w:cs="Calibri"/>
                <w:color w:val="000000"/>
                <w:sz w:val="24"/>
                <w:szCs w:val="24"/>
                <w:lang w:val="en-US" w:eastAsia="zh-CN"/>
              </w:rPr>
            </w:pPr>
            <w:r>
              <w:rPr>
                <w:rFonts w:hint="eastAsia" w:ascii="宋体" w:hAnsi="宋体" w:eastAsia="宋体" w:cs="Calibri"/>
                <w:color w:val="000000"/>
                <w:sz w:val="24"/>
                <w:szCs w:val="24"/>
                <w:lang w:val="en-US" w:eastAsia="zh-CN"/>
              </w:rPr>
              <w:t>线上会议、公司会议室</w:t>
            </w:r>
          </w:p>
        </w:tc>
      </w:tr>
      <w:tr>
        <w:tblPrEx>
          <w:tblLayout w:type="fixed"/>
          <w:tblCellMar>
            <w:top w:w="0" w:type="dxa"/>
            <w:left w:w="108" w:type="dxa"/>
            <w:bottom w:w="41" w:type="dxa"/>
            <w:right w:w="0" w:type="dxa"/>
          </w:tblCellMar>
        </w:tblPrEx>
        <w:trPr>
          <w:trHeight w:val="567" w:hRule="atLeast"/>
        </w:trPr>
        <w:tc>
          <w:tcPr>
            <w:tcW w:w="21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156" w:beforeLines="50" w:after="0" w:line="360" w:lineRule="auto"/>
              <w:jc w:val="center"/>
              <w:rPr>
                <w:rFonts w:hint="eastAsia" w:ascii="宋体" w:hAnsi="宋体" w:eastAsia="宋体" w:cs="Calibri"/>
                <w:b/>
                <w:color w:val="000000"/>
                <w:sz w:val="24"/>
                <w:szCs w:val="24"/>
              </w:rPr>
            </w:pPr>
            <w:r>
              <w:rPr>
                <w:rFonts w:hint="eastAsia" w:ascii="宋体" w:hAnsi="宋体" w:eastAsia="宋体" w:cs="宋体"/>
                <w:b/>
                <w:color w:val="000000"/>
                <w:sz w:val="24"/>
                <w:szCs w:val="24"/>
              </w:rPr>
              <w:t>接待人员</w:t>
            </w:r>
          </w:p>
        </w:tc>
        <w:tc>
          <w:tcPr>
            <w:tcW w:w="78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before="156" w:beforeLines="50" w:after="0" w:line="360" w:lineRule="auto"/>
              <w:ind w:left="105" w:leftChars="50"/>
              <w:textAlignment w:val="auto"/>
              <w:rPr>
                <w:rFonts w:hint="eastAsia" w:ascii="宋体" w:hAnsi="宋体" w:eastAsia="宋体" w:cs="Calibri"/>
                <w:color w:val="000000"/>
                <w:sz w:val="24"/>
                <w:szCs w:val="24"/>
              </w:rPr>
            </w:pPr>
            <w:r>
              <w:rPr>
                <w:rFonts w:hint="eastAsia" w:ascii="宋体" w:hAnsi="宋体" w:eastAsia="宋体" w:cs="Calibri"/>
                <w:color w:val="000000"/>
                <w:sz w:val="24"/>
                <w:szCs w:val="24"/>
              </w:rPr>
              <w:t>董事会秘书：郑亦平</w:t>
            </w:r>
          </w:p>
        </w:tc>
      </w:tr>
      <w:tr>
        <w:tblPrEx>
          <w:tblLayout w:type="fixed"/>
          <w:tblCellMar>
            <w:top w:w="0" w:type="dxa"/>
            <w:left w:w="108" w:type="dxa"/>
            <w:bottom w:w="41" w:type="dxa"/>
            <w:right w:w="0" w:type="dxa"/>
          </w:tblCellMar>
        </w:tblPrEx>
        <w:trPr>
          <w:trHeight w:val="490" w:hRule="atLeast"/>
        </w:trPr>
        <w:tc>
          <w:tcPr>
            <w:tcW w:w="21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uto"/>
              <w:ind w:right="11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投资者关系活动主要内容介绍</w:t>
            </w:r>
          </w:p>
        </w:tc>
        <w:tc>
          <w:tcPr>
            <w:tcW w:w="7876"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numPr>
                <w:ilvl w:val="0"/>
                <w:numId w:val="0"/>
              </w:numPr>
              <w:kinsoku/>
              <w:wordWrap/>
              <w:overflowPunct/>
              <w:topLinePunct w:val="0"/>
              <w:autoSpaceDE/>
              <w:autoSpaceDN/>
              <w:bidi w:val="0"/>
              <w:adjustRightInd/>
              <w:snapToGrid w:val="0"/>
              <w:spacing w:before="157" w:beforeLines="50" w:after="80" w:line="360" w:lineRule="auto"/>
              <w:ind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 xml:space="preserve">1、请介绍公司整体业务布局情况？ </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答：公司主营半导体设备、平板显示模组设备及智能装备关键零部件。现阶段公司战略重心聚焦半导体设备，将其作为第一增长曲线，集中资源重点发展半导体设备业务。</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公司半导体设备聚焦集成电路后道测试与封装环节，形成完整产品矩阵，主要产品有转塔式测试分选机、平移式分选机、重力式分选机、晶圆探针台、固晶机/高速固晶机以及HDD存储专用设备等。</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半导体设备板块下游主要客户包括华润微、长电科技、日月新、通富微电、华天科技、扬杰科技、MPS、AOS、西部数据等。公司已在东南亚布局事业部，主要针对北美客户需求。</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ascii="宋体" w:hAnsi="宋体" w:eastAsia="宋体" w:cs="宋体"/>
                <w:sz w:val="24"/>
                <w:szCs w:val="24"/>
              </w:rPr>
              <w:t>深科达目前以半导体设备为增长引擎、显示设备为稳健基本盘、核心零部件为技术底座的高端装备平台企业。公司将紧抓半导体国产替代与存储爆发的历史机遇，以技术自主、产品卓越、客户信赖为根基，全力打造国内领先、国际一流的半导体封测设备企业。</w:t>
            </w:r>
            <w:bookmarkStart w:id="0" w:name="OLE_LINK1"/>
          </w:p>
          <w:p>
            <w:pPr>
              <w:keepNext w:val="0"/>
              <w:keepLines w:val="0"/>
              <w:pageBreakBefore w:val="0"/>
              <w:widowControl/>
              <w:numPr>
                <w:ilvl w:val="0"/>
                <w:numId w:val="1"/>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公司2026年上半年的经营情况？</w:t>
            </w:r>
          </w:p>
          <w:bookmarkEnd w:id="0"/>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答：2026年上半年，</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公司营业收入较上年同期增长21.03%</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主要原因系：（1）公司持续深耕市场、深挖客户需求，深化与优质客户的合作粘性，推动整体订单规模稳步增长。（2）分业务板块来看：半导体设备业务方面，受益于半导体行业景气度持续向好，公司紧抓行业发展机遇，在稳固现有转塔式测试分选机竞争优势的同时，积极推动平移式测试分选机、存储类半导体设备等产品向高端市场拓展与渗透，有效推动半导体设备业务收入的提升，公司半导体设备业务收入较上年同期增长86.99%，其中平移式测试分选机在报告期内实现收入2,847.80万元，较上年同期增长5,448.02%。公司归属于上市公司股东的0净利润较上年同期增长198.23%，主要原因系：（1）公司营业收入较上年同期增长21.03%；（2）公司半导体设备业务利润显著增长，全资子公司深科达半导体报告期内实现净利润4,292.23万元，较上年同期大幅增长345.94%，占公司归属于母公司净利润的69.85%，核心盈利优势持续凸显，为公司整体净利润增长提供坚实支撑；（3）公司在稳步扩大营收规模的同时，积极采取措施在研发、生产、销售及经营全流程推进精益管理，提升经营效率，公司综合毛利率较上年同期提升8.65个百分点。</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3、公司现金流明显改善的原因？</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ascii="宋体" w:hAnsi="宋体" w:eastAsia="宋体" w:cs="宋体"/>
                <w:sz w:val="24"/>
                <w:szCs w:val="24"/>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答：公司</w:t>
            </w:r>
            <w:r>
              <w:rPr>
                <w:rFonts w:ascii="宋体" w:hAnsi="宋体" w:eastAsia="宋体" w:cs="宋体"/>
                <w:sz w:val="24"/>
                <w:szCs w:val="24"/>
              </w:rPr>
              <w:t>上半年现金流</w:t>
            </w:r>
            <w:r>
              <w:rPr>
                <w:rFonts w:hint="eastAsia" w:ascii="宋体" w:hAnsi="宋体" w:eastAsia="宋体" w:cs="宋体"/>
                <w:sz w:val="24"/>
                <w:szCs w:val="24"/>
                <w:lang w:val="en-US" w:eastAsia="zh-CN"/>
              </w:rPr>
              <w:t>明细</w:t>
            </w:r>
            <w:r>
              <w:rPr>
                <w:rFonts w:ascii="宋体" w:hAnsi="宋体" w:eastAsia="宋体" w:cs="宋体"/>
                <w:sz w:val="24"/>
                <w:szCs w:val="24"/>
              </w:rPr>
              <w:t>改善，</w:t>
            </w:r>
            <w:r>
              <w:rPr>
                <w:rFonts w:hint="eastAsia" w:ascii="宋体" w:hAnsi="宋体" w:eastAsia="宋体" w:cs="宋体"/>
                <w:sz w:val="24"/>
                <w:szCs w:val="24"/>
                <w:lang w:val="en-US" w:eastAsia="zh-CN"/>
              </w:rPr>
              <w:t>一方面</w:t>
            </w:r>
            <w:r>
              <w:rPr>
                <w:rFonts w:ascii="宋体" w:hAnsi="宋体" w:eastAsia="宋体" w:cs="宋体"/>
                <w:sz w:val="24"/>
                <w:szCs w:val="24"/>
              </w:rPr>
              <w:t>营收增长带动销售回款增加，同时供应商端承兑汇票结算占比提升，减少当期现金流出；更深层是公司持续优化客户结构，聚焦上市公司、海外头部大厂等优质客户，逐步减少低质量订单。优质客户付款履约能力强、坏账风险小，订单具备持续性，叠加公司适度收紧信用政策，整体回款质量得到提升，推动经营现金流明显好转。</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公司半导体设备、存储设备新产品进度情况怎么样</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答：公司在半年度报告中披露了公司半导体设备新产品平移式分选机今年上半年实现收入2,847.80万元，较上年同期增长5,449.94%。公司存储设备业务取得突破性进展，海外高端市场布局落地成效凸显。报告期内，公司成功获得北美知名HDD存储厂商的新增订单约5,792.60万元，同比增长2,393.39%。</w:t>
            </w:r>
            <w:bookmarkStart w:id="1" w:name="OLE_LINK2"/>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目前，公司多款新产品平移式分选机、存储设备等均在大客户端持续推进。</w:t>
            </w:r>
          </w:p>
          <w:bookmarkEnd w:id="1"/>
          <w:p>
            <w:pPr>
              <w:keepNext w:val="0"/>
              <w:keepLines w:val="0"/>
              <w:pageBreakBefore w:val="0"/>
              <w:widowControl/>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5、公司对半导体设备市场未来的预期如何？</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default" w:ascii="宋体" w:hAnsi="宋体" w:eastAsia="宋体" w:cs="宋体"/>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答：</w:t>
            </w:r>
            <w:r>
              <w:rPr>
                <w:rFonts w:hint="eastAsia" w:ascii="宋体" w:hAnsi="宋体" w:eastAsia="宋体" w:cs="宋体"/>
                <w:bCs/>
                <w:color w:val="000000" w:themeColor="text1"/>
                <w:sz w:val="24"/>
                <w:szCs w:val="24"/>
                <w:lang w:val="en-US" w:eastAsia="zh-CN"/>
                <w14:textFill>
                  <w14:solidFill>
                    <w14:schemeClr w14:val="tx1"/>
                  </w14:solidFill>
                </w14:textFill>
              </w:rPr>
              <w:t>公司长期看好半导体设备赛道，目前行业整体国产化空间广阔。市场存在多家机构对行业发展作出预测。</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我们关注到中财网转载华泰证券研报观点（资讯发布2026年7月3日）：机构统计全球31家半导体制造公司资本开支、25家半导体设备企业增长预期后预测：（1）2028年全球半导体制造企业资本开支有望达到3417亿美元，较2025年1681亿美元增长103.3%，实现翻倍，资本开支的大幅上调将直接传导至设备端；（2）2028年全球前道半导体设备（WFE）市场规模预计2414亿美元，较2025年增长约 108%；（3）2028年全球后道半导体设备市场规模约383亿美元，较2025年161.6亿美元增长136.9%；按下游需求排序，存储（+150%）高于晶圆代工（+91.4%）。中国市场在经历2025/2026年去库存以后，2027年有望恢复强劲增长。</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以上内容仅为券商机构预测，存在不确定性，仅供行业趋势参考。公司将持续深耕半导体设备赛道，把握行业发展机遇。</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eastAsia"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6、介绍公司核心零</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部件业务发展情况？</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答：公司核心零部件产品主要为直线电机、编码器、驱动器和导轨等精密运动控制部件。目前公司已实现直线电机模组的核心部件（动定子、导轨、编码器、驱动器）全面自研自制，核心零部件自主可控能力持续提升，</w:t>
            </w:r>
            <w:bookmarkStart w:id="2" w:name="_GoBack"/>
            <w:bookmarkEnd w:id="2"/>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同时公司正研发对位平台夯实公司精密运动控制底层能力，“配套整机+独立外销”双路径放量，持续增厚板块盈利水平。</w:t>
            </w:r>
          </w:p>
          <w:p>
            <w:pPr>
              <w:keepNext w:val="0"/>
              <w:keepLines w:val="0"/>
              <w:pageBreakBefore w:val="0"/>
              <w:widowControl/>
              <w:numPr>
                <w:ilvl w:val="0"/>
                <w:numId w:val="0"/>
              </w:numPr>
              <w:kinsoku/>
              <w:wordWrap/>
              <w:overflowPunct/>
              <w:topLinePunct w:val="0"/>
              <w:autoSpaceDE/>
              <w:autoSpaceDN/>
              <w:bidi w:val="0"/>
              <w:adjustRightInd/>
              <w:snapToGrid w:val="0"/>
              <w:spacing w:after="80" w:line="360" w:lineRule="auto"/>
              <w:ind w:left="0" w:leftChars="0" w:right="105" w:rightChars="50" w:firstLine="480" w:firstLineChars="200"/>
              <w:jc w:val="left"/>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 xml:space="preserve">公司零部件产品性能、稳定性及交付能力得到市场充分验证，已与多家行业优质客户建立稳定合作关系，产品广泛应用于3C制造、半导体设备、锂电设备、光通讯设备、新能源汽车等高端制造领域，业务整体稳步推进。 </w:t>
            </w:r>
          </w:p>
        </w:tc>
      </w:tr>
      <w:tr>
        <w:tblPrEx>
          <w:tblLayout w:type="fixed"/>
          <w:tblCellMar>
            <w:top w:w="0" w:type="dxa"/>
            <w:left w:w="108" w:type="dxa"/>
            <w:bottom w:w="41" w:type="dxa"/>
            <w:right w:w="0" w:type="dxa"/>
          </w:tblCellMar>
        </w:tblPrEx>
        <w:trPr>
          <w:trHeight w:val="490" w:hRule="atLeast"/>
        </w:trPr>
        <w:tc>
          <w:tcPr>
            <w:tcW w:w="21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spacing w:before="157" w:beforeLines="50" w:after="0" w:line="360" w:lineRule="auto"/>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附件清单（如有）</w:t>
            </w:r>
          </w:p>
        </w:tc>
        <w:tc>
          <w:tcPr>
            <w:tcW w:w="7876"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kinsoku/>
              <w:wordWrap/>
              <w:overflowPunct/>
              <w:topLinePunct w:val="0"/>
              <w:autoSpaceDE/>
              <w:autoSpaceDN/>
              <w:bidi w:val="0"/>
              <w:adjustRightInd/>
              <w:snapToGrid w:val="0"/>
              <w:spacing w:before="157" w:beforeLines="50" w:after="0"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无</w:t>
            </w:r>
          </w:p>
        </w:tc>
      </w:tr>
    </w:tbl>
    <w:p>
      <w:pPr>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rif">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ascii="宋体" w:hAnsi="宋体" w:eastAsia="宋体" w:cs="宋体"/>
        <w:sz w:val="22"/>
        <w:szCs w:val="22"/>
        <w:lang w:val="en-US" w:eastAsia="zh-CN"/>
      </w:rPr>
    </w:pPr>
    <w:r>
      <w:rPr>
        <w:rFonts w:hint="eastAsia" w:ascii="宋体" w:hAnsi="宋体" w:eastAsia="宋体" w:cs="宋体"/>
        <w:sz w:val="22"/>
        <w:szCs w:val="22"/>
      </w:rPr>
      <w:t>投资者关系调研记录表2026年</w:t>
    </w:r>
    <w:r>
      <w:rPr>
        <w:rFonts w:hint="eastAsia" w:ascii="宋体" w:hAnsi="宋体" w:eastAsia="宋体" w:cs="宋体"/>
        <w:sz w:val="22"/>
        <w:szCs w:val="22"/>
        <w:lang w:val="en-US" w:eastAsia="zh-CN"/>
      </w:rPr>
      <w:t>8</w:t>
    </w:r>
    <w:r>
      <w:rPr>
        <w:rFonts w:hint="eastAsia" w:ascii="宋体" w:hAnsi="宋体" w:eastAsia="宋体" w:cs="宋体"/>
        <w:sz w:val="22"/>
        <w:szCs w:val="22"/>
      </w:rPr>
      <w:t>月</w:t>
    </w:r>
    <w:r>
      <w:rPr>
        <w:rFonts w:hint="eastAsia" w:ascii="宋体" w:hAnsi="宋体" w:eastAsia="宋体" w:cs="宋体"/>
        <w:sz w:val="22"/>
        <w:szCs w:val="22"/>
        <w:lang w:val="en-US" w:eastAsia="zh-CN"/>
      </w:rPr>
      <w:t>19日-2026年8月20日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B2F02B"/>
    <w:multiLevelType w:val="singleLevel"/>
    <w:tmpl w:val="80B2F02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E3A"/>
    <w:rsid w:val="00007BB1"/>
    <w:rsid w:val="00024DA0"/>
    <w:rsid w:val="0003789B"/>
    <w:rsid w:val="00045150"/>
    <w:rsid w:val="0005228C"/>
    <w:rsid w:val="00066488"/>
    <w:rsid w:val="000911B1"/>
    <w:rsid w:val="000B022D"/>
    <w:rsid w:val="000C66AC"/>
    <w:rsid w:val="000C7ECB"/>
    <w:rsid w:val="000E3444"/>
    <w:rsid w:val="000F2088"/>
    <w:rsid w:val="000F68A3"/>
    <w:rsid w:val="000F7B15"/>
    <w:rsid w:val="00111A9F"/>
    <w:rsid w:val="001218C5"/>
    <w:rsid w:val="001268B5"/>
    <w:rsid w:val="00127CFF"/>
    <w:rsid w:val="00141788"/>
    <w:rsid w:val="001618D4"/>
    <w:rsid w:val="00172897"/>
    <w:rsid w:val="00174135"/>
    <w:rsid w:val="001762DD"/>
    <w:rsid w:val="001770C5"/>
    <w:rsid w:val="001B4BAE"/>
    <w:rsid w:val="002149F8"/>
    <w:rsid w:val="002153C4"/>
    <w:rsid w:val="00215CCC"/>
    <w:rsid w:val="002169BA"/>
    <w:rsid w:val="00227609"/>
    <w:rsid w:val="002313D0"/>
    <w:rsid w:val="00234889"/>
    <w:rsid w:val="002542FB"/>
    <w:rsid w:val="00260363"/>
    <w:rsid w:val="002641F9"/>
    <w:rsid w:val="002735E9"/>
    <w:rsid w:val="002A78AB"/>
    <w:rsid w:val="002E03FF"/>
    <w:rsid w:val="002E25DA"/>
    <w:rsid w:val="002E593A"/>
    <w:rsid w:val="002E6F1D"/>
    <w:rsid w:val="002F2186"/>
    <w:rsid w:val="002F5B4F"/>
    <w:rsid w:val="002F60BE"/>
    <w:rsid w:val="003036D7"/>
    <w:rsid w:val="003244D1"/>
    <w:rsid w:val="00341321"/>
    <w:rsid w:val="00343140"/>
    <w:rsid w:val="00365D58"/>
    <w:rsid w:val="0039175E"/>
    <w:rsid w:val="0039424D"/>
    <w:rsid w:val="003A7B13"/>
    <w:rsid w:val="003D33FB"/>
    <w:rsid w:val="003D68CE"/>
    <w:rsid w:val="00431189"/>
    <w:rsid w:val="00441FB0"/>
    <w:rsid w:val="00486001"/>
    <w:rsid w:val="004916E5"/>
    <w:rsid w:val="0049390B"/>
    <w:rsid w:val="00495744"/>
    <w:rsid w:val="004B283F"/>
    <w:rsid w:val="004B42CE"/>
    <w:rsid w:val="004B7A64"/>
    <w:rsid w:val="004E2779"/>
    <w:rsid w:val="004F6DDF"/>
    <w:rsid w:val="00540F5E"/>
    <w:rsid w:val="00543E0D"/>
    <w:rsid w:val="00550A02"/>
    <w:rsid w:val="005631F4"/>
    <w:rsid w:val="00571C96"/>
    <w:rsid w:val="005B6EDB"/>
    <w:rsid w:val="005E4214"/>
    <w:rsid w:val="005F75DD"/>
    <w:rsid w:val="00601B64"/>
    <w:rsid w:val="006215DB"/>
    <w:rsid w:val="00626B1E"/>
    <w:rsid w:val="00636A0A"/>
    <w:rsid w:val="0067019D"/>
    <w:rsid w:val="00676756"/>
    <w:rsid w:val="00680FF1"/>
    <w:rsid w:val="00684A28"/>
    <w:rsid w:val="00697E06"/>
    <w:rsid w:val="006A13AE"/>
    <w:rsid w:val="006A7ED1"/>
    <w:rsid w:val="00715EA3"/>
    <w:rsid w:val="00727C4E"/>
    <w:rsid w:val="00745BBF"/>
    <w:rsid w:val="00767398"/>
    <w:rsid w:val="00795411"/>
    <w:rsid w:val="007C3DC5"/>
    <w:rsid w:val="007C50C8"/>
    <w:rsid w:val="007E0A19"/>
    <w:rsid w:val="007E0A94"/>
    <w:rsid w:val="00802E87"/>
    <w:rsid w:val="00812C38"/>
    <w:rsid w:val="0083205D"/>
    <w:rsid w:val="00887839"/>
    <w:rsid w:val="008A2209"/>
    <w:rsid w:val="008A4F1F"/>
    <w:rsid w:val="008A7678"/>
    <w:rsid w:val="008C5CF2"/>
    <w:rsid w:val="009018B3"/>
    <w:rsid w:val="009314BC"/>
    <w:rsid w:val="0093153E"/>
    <w:rsid w:val="00947AB4"/>
    <w:rsid w:val="009709F1"/>
    <w:rsid w:val="009824CC"/>
    <w:rsid w:val="009868E8"/>
    <w:rsid w:val="00993534"/>
    <w:rsid w:val="009B4D09"/>
    <w:rsid w:val="009B60F4"/>
    <w:rsid w:val="009E6F6B"/>
    <w:rsid w:val="00A13212"/>
    <w:rsid w:val="00A24ADD"/>
    <w:rsid w:val="00A46D6F"/>
    <w:rsid w:val="00A47956"/>
    <w:rsid w:val="00A706F0"/>
    <w:rsid w:val="00A77639"/>
    <w:rsid w:val="00A94AA5"/>
    <w:rsid w:val="00AA3F47"/>
    <w:rsid w:val="00AB058C"/>
    <w:rsid w:val="00AB3988"/>
    <w:rsid w:val="00AB3C08"/>
    <w:rsid w:val="00AD5482"/>
    <w:rsid w:val="00B13D78"/>
    <w:rsid w:val="00B47FFC"/>
    <w:rsid w:val="00B55D98"/>
    <w:rsid w:val="00B64F28"/>
    <w:rsid w:val="00B65EEF"/>
    <w:rsid w:val="00B91208"/>
    <w:rsid w:val="00BB6EA5"/>
    <w:rsid w:val="00BC6542"/>
    <w:rsid w:val="00BE70D1"/>
    <w:rsid w:val="00C107F4"/>
    <w:rsid w:val="00C128FA"/>
    <w:rsid w:val="00C17808"/>
    <w:rsid w:val="00C63707"/>
    <w:rsid w:val="00C77C49"/>
    <w:rsid w:val="00C81511"/>
    <w:rsid w:val="00C96B6A"/>
    <w:rsid w:val="00CA1F21"/>
    <w:rsid w:val="00CA7C41"/>
    <w:rsid w:val="00CB6E74"/>
    <w:rsid w:val="00CC6EB0"/>
    <w:rsid w:val="00CD73E6"/>
    <w:rsid w:val="00D24A99"/>
    <w:rsid w:val="00D37291"/>
    <w:rsid w:val="00D52FCE"/>
    <w:rsid w:val="00D5453C"/>
    <w:rsid w:val="00D56F6B"/>
    <w:rsid w:val="00D621D0"/>
    <w:rsid w:val="00D77A3C"/>
    <w:rsid w:val="00D805F2"/>
    <w:rsid w:val="00D85CDB"/>
    <w:rsid w:val="00DA135F"/>
    <w:rsid w:val="00DC7844"/>
    <w:rsid w:val="00DE774C"/>
    <w:rsid w:val="00E00937"/>
    <w:rsid w:val="00E01D3A"/>
    <w:rsid w:val="00E2458D"/>
    <w:rsid w:val="00E51CC7"/>
    <w:rsid w:val="00E54EED"/>
    <w:rsid w:val="00E86C58"/>
    <w:rsid w:val="00EA1183"/>
    <w:rsid w:val="00EA3843"/>
    <w:rsid w:val="00EA6014"/>
    <w:rsid w:val="00EA62D7"/>
    <w:rsid w:val="00EA7E01"/>
    <w:rsid w:val="00EB08A9"/>
    <w:rsid w:val="00EC3F83"/>
    <w:rsid w:val="00EF5ED5"/>
    <w:rsid w:val="00F021A1"/>
    <w:rsid w:val="00F05203"/>
    <w:rsid w:val="00F2068D"/>
    <w:rsid w:val="00F33166"/>
    <w:rsid w:val="00F5285A"/>
    <w:rsid w:val="00F53094"/>
    <w:rsid w:val="00F646A1"/>
    <w:rsid w:val="00F83D1C"/>
    <w:rsid w:val="00FA2E3A"/>
    <w:rsid w:val="00FA2EE7"/>
    <w:rsid w:val="00FB1548"/>
    <w:rsid w:val="00FB4B62"/>
    <w:rsid w:val="00FB7A77"/>
    <w:rsid w:val="00FD032E"/>
    <w:rsid w:val="00FD4A7B"/>
    <w:rsid w:val="00FD5EE0"/>
    <w:rsid w:val="00FE5B9D"/>
    <w:rsid w:val="00FF2F64"/>
    <w:rsid w:val="00FF5EA0"/>
    <w:rsid w:val="010042CC"/>
    <w:rsid w:val="02DD0470"/>
    <w:rsid w:val="030C7B23"/>
    <w:rsid w:val="03662CE1"/>
    <w:rsid w:val="03FF46F8"/>
    <w:rsid w:val="06AC52CA"/>
    <w:rsid w:val="06DD2CD1"/>
    <w:rsid w:val="070519D5"/>
    <w:rsid w:val="074879BA"/>
    <w:rsid w:val="079B5113"/>
    <w:rsid w:val="07DC36FC"/>
    <w:rsid w:val="08970E97"/>
    <w:rsid w:val="08AA603E"/>
    <w:rsid w:val="08CA2837"/>
    <w:rsid w:val="095E2108"/>
    <w:rsid w:val="098A288D"/>
    <w:rsid w:val="0A323E60"/>
    <w:rsid w:val="0A461515"/>
    <w:rsid w:val="0AD831E7"/>
    <w:rsid w:val="0AE52540"/>
    <w:rsid w:val="0B2E3881"/>
    <w:rsid w:val="0B9609EC"/>
    <w:rsid w:val="0CD17AE6"/>
    <w:rsid w:val="0CF40F9C"/>
    <w:rsid w:val="0D737168"/>
    <w:rsid w:val="0E42651A"/>
    <w:rsid w:val="0E5F61D9"/>
    <w:rsid w:val="0EF15888"/>
    <w:rsid w:val="113C7F4E"/>
    <w:rsid w:val="11520445"/>
    <w:rsid w:val="11C03E48"/>
    <w:rsid w:val="127A176A"/>
    <w:rsid w:val="12B3099C"/>
    <w:rsid w:val="131C2351"/>
    <w:rsid w:val="13C6161B"/>
    <w:rsid w:val="13FE3348"/>
    <w:rsid w:val="14614824"/>
    <w:rsid w:val="147900F5"/>
    <w:rsid w:val="14957677"/>
    <w:rsid w:val="15D95A34"/>
    <w:rsid w:val="16B33E43"/>
    <w:rsid w:val="181C5855"/>
    <w:rsid w:val="19F8608D"/>
    <w:rsid w:val="1C6F1AEE"/>
    <w:rsid w:val="1E4C5702"/>
    <w:rsid w:val="1E576A97"/>
    <w:rsid w:val="1EFC317A"/>
    <w:rsid w:val="1FD1227A"/>
    <w:rsid w:val="21262B83"/>
    <w:rsid w:val="21CA15BA"/>
    <w:rsid w:val="224B61C8"/>
    <w:rsid w:val="23805F5D"/>
    <w:rsid w:val="23996E41"/>
    <w:rsid w:val="23AD4385"/>
    <w:rsid w:val="23E7149B"/>
    <w:rsid w:val="23E74C33"/>
    <w:rsid w:val="23EF4E39"/>
    <w:rsid w:val="24017D04"/>
    <w:rsid w:val="24136357"/>
    <w:rsid w:val="248E62DB"/>
    <w:rsid w:val="251C362E"/>
    <w:rsid w:val="27274D6D"/>
    <w:rsid w:val="28574817"/>
    <w:rsid w:val="28F30DA3"/>
    <w:rsid w:val="290F0F12"/>
    <w:rsid w:val="2C19452D"/>
    <w:rsid w:val="2C880194"/>
    <w:rsid w:val="2CA82B03"/>
    <w:rsid w:val="2D042D03"/>
    <w:rsid w:val="2E8C4480"/>
    <w:rsid w:val="2EAD1BA6"/>
    <w:rsid w:val="2EED3F38"/>
    <w:rsid w:val="30493733"/>
    <w:rsid w:val="307964C9"/>
    <w:rsid w:val="30F40BA7"/>
    <w:rsid w:val="310B3885"/>
    <w:rsid w:val="338147B2"/>
    <w:rsid w:val="34921D00"/>
    <w:rsid w:val="34AC20C7"/>
    <w:rsid w:val="3518153A"/>
    <w:rsid w:val="35247AB7"/>
    <w:rsid w:val="35E1645C"/>
    <w:rsid w:val="37D509E5"/>
    <w:rsid w:val="38E07FB3"/>
    <w:rsid w:val="39CA2EEB"/>
    <w:rsid w:val="39E6485C"/>
    <w:rsid w:val="3A14130D"/>
    <w:rsid w:val="3A93645F"/>
    <w:rsid w:val="3AF40B74"/>
    <w:rsid w:val="3AF95225"/>
    <w:rsid w:val="3DB55E4C"/>
    <w:rsid w:val="3E83599B"/>
    <w:rsid w:val="3EBE74CE"/>
    <w:rsid w:val="3F095413"/>
    <w:rsid w:val="3F5C661A"/>
    <w:rsid w:val="3FEB3EB8"/>
    <w:rsid w:val="40371276"/>
    <w:rsid w:val="40C907EE"/>
    <w:rsid w:val="416B5E3A"/>
    <w:rsid w:val="41AF53B4"/>
    <w:rsid w:val="41AF7E19"/>
    <w:rsid w:val="421744D1"/>
    <w:rsid w:val="425012F0"/>
    <w:rsid w:val="42A51C2B"/>
    <w:rsid w:val="42AB5B01"/>
    <w:rsid w:val="42DD7C8A"/>
    <w:rsid w:val="42E44775"/>
    <w:rsid w:val="44AE01AC"/>
    <w:rsid w:val="45207633"/>
    <w:rsid w:val="45475D7C"/>
    <w:rsid w:val="46B436D8"/>
    <w:rsid w:val="46E94AA8"/>
    <w:rsid w:val="479D73F7"/>
    <w:rsid w:val="48404AB7"/>
    <w:rsid w:val="485C29CF"/>
    <w:rsid w:val="49884F7D"/>
    <w:rsid w:val="49FC112B"/>
    <w:rsid w:val="4AA23243"/>
    <w:rsid w:val="4AD16E29"/>
    <w:rsid w:val="4B8F3130"/>
    <w:rsid w:val="4BF556C1"/>
    <w:rsid w:val="4DBC2F9F"/>
    <w:rsid w:val="4E6F77B0"/>
    <w:rsid w:val="4F8B5508"/>
    <w:rsid w:val="4F97411A"/>
    <w:rsid w:val="4F9B2D5E"/>
    <w:rsid w:val="504B4F3C"/>
    <w:rsid w:val="50546DA2"/>
    <w:rsid w:val="50945C70"/>
    <w:rsid w:val="5194215F"/>
    <w:rsid w:val="5220116C"/>
    <w:rsid w:val="526A29C1"/>
    <w:rsid w:val="52FF0D7F"/>
    <w:rsid w:val="53CD242E"/>
    <w:rsid w:val="53F20314"/>
    <w:rsid w:val="54CB79D2"/>
    <w:rsid w:val="54E75A9A"/>
    <w:rsid w:val="55126471"/>
    <w:rsid w:val="55D3319D"/>
    <w:rsid w:val="55D42B11"/>
    <w:rsid w:val="55D5535D"/>
    <w:rsid w:val="56795374"/>
    <w:rsid w:val="57D354DE"/>
    <w:rsid w:val="57E3341F"/>
    <w:rsid w:val="58A41150"/>
    <w:rsid w:val="5B367A53"/>
    <w:rsid w:val="5BB9138A"/>
    <w:rsid w:val="5C314845"/>
    <w:rsid w:val="5C3625A1"/>
    <w:rsid w:val="5C727963"/>
    <w:rsid w:val="5D721689"/>
    <w:rsid w:val="5EB36074"/>
    <w:rsid w:val="5FE95136"/>
    <w:rsid w:val="603800F8"/>
    <w:rsid w:val="611B2D5E"/>
    <w:rsid w:val="61372C59"/>
    <w:rsid w:val="620A5D9B"/>
    <w:rsid w:val="623F48B3"/>
    <w:rsid w:val="634F6D7E"/>
    <w:rsid w:val="660E7524"/>
    <w:rsid w:val="66286124"/>
    <w:rsid w:val="668349E3"/>
    <w:rsid w:val="66FD4A34"/>
    <w:rsid w:val="6777756D"/>
    <w:rsid w:val="67FC0389"/>
    <w:rsid w:val="683A3D7F"/>
    <w:rsid w:val="69440E67"/>
    <w:rsid w:val="6C7526BB"/>
    <w:rsid w:val="6CC87F4E"/>
    <w:rsid w:val="6D3A1C18"/>
    <w:rsid w:val="6D68192A"/>
    <w:rsid w:val="6F6D69D8"/>
    <w:rsid w:val="6FE81EC8"/>
    <w:rsid w:val="70394C4A"/>
    <w:rsid w:val="705A6E18"/>
    <w:rsid w:val="71104F6A"/>
    <w:rsid w:val="71F436A1"/>
    <w:rsid w:val="7291323F"/>
    <w:rsid w:val="74235E76"/>
    <w:rsid w:val="74B356D7"/>
    <w:rsid w:val="75491C61"/>
    <w:rsid w:val="75D7129E"/>
    <w:rsid w:val="760F3358"/>
    <w:rsid w:val="773158CF"/>
    <w:rsid w:val="77790EFF"/>
    <w:rsid w:val="77FF0C55"/>
    <w:rsid w:val="78D25A70"/>
    <w:rsid w:val="7C9739A2"/>
    <w:rsid w:val="7CA74AD0"/>
    <w:rsid w:val="7D7F7E81"/>
    <w:rsid w:val="7E2E2581"/>
    <w:rsid w:val="7EBF4504"/>
    <w:rsid w:val="7FB12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character" w:styleId="7">
    <w:name w:val="Strong"/>
    <w:basedOn w:val="6"/>
    <w:qFormat/>
    <w:uiPriority w:val="22"/>
    <w:rPr>
      <w:b/>
    </w:rPr>
  </w:style>
  <w:style w:type="paragraph" w:styleId="8">
    <w:name w:val="List Paragraph"/>
    <w:basedOn w:val="1"/>
    <w:qFormat/>
    <w:uiPriority w:val="34"/>
    <w:pPr>
      <w:ind w:firstLine="420" w:firstLineChars="200"/>
    </w:pPr>
  </w:style>
  <w:style w:type="table" w:customStyle="1" w:styleId="9">
    <w:name w:val="TableGrid"/>
    <w:qFormat/>
    <w:uiPriority w:val="0"/>
    <w:tblPr>
      <w:tblLayout w:type="fixed"/>
      <w:tblCellMar>
        <w:top w:w="0" w:type="dxa"/>
        <w:left w:w="0" w:type="dxa"/>
        <w:bottom w:w="0" w:type="dxa"/>
        <w:right w:w="0" w:type="dxa"/>
      </w:tblCellMar>
    </w:tblPr>
  </w:style>
  <w:style w:type="character" w:customStyle="1" w:styleId="10">
    <w:name w:val="页眉 字符"/>
    <w:basedOn w:val="6"/>
    <w:link w:val="3"/>
    <w:qFormat/>
    <w:uiPriority w:val="99"/>
    <w:rPr>
      <w:sz w:val="18"/>
      <w:szCs w:val="18"/>
    </w:rPr>
  </w:style>
  <w:style w:type="character" w:customStyle="1" w:styleId="11">
    <w:name w:val="页脚 字符"/>
    <w:basedOn w:val="6"/>
    <w:link w:val="2"/>
    <w:qFormat/>
    <w:uiPriority w:val="99"/>
    <w:rPr>
      <w:sz w:val="18"/>
      <w:szCs w:val="18"/>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QN</Company>
  <Pages>5</Pages>
  <Words>492</Words>
  <Characters>2811</Characters>
  <Lines>23</Lines>
  <Paragraphs>6</Paragraphs>
  <TotalTime>377</TotalTime>
  <ScaleCrop>false</ScaleCrop>
  <LinksUpToDate>false</LinksUpToDate>
  <CharactersWithSpaces>3297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2025-06-20T09:06:00Z</dcterms:created>
  <dc:creator>HYC_财务部_任艺男</dc:creator>
  <cp:lastModifiedBy>zyp</cp:lastModifiedBy>
  <cp:lastPrinted>2025-10-17T05:50:00Z</cp:lastPrinted>
  <dcterms:modified xsi:type="dcterms:W3CDTF">2026-08-20T08:15:09Z</dcterms:modified>
  <dc:title>证券代码：688328                                    证券简称：深科达</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