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C7050">
      <w:pPr>
        <w:jc w:val="left"/>
        <w:rPr>
          <w:bCs/>
          <w:sz w:val="24"/>
        </w:rPr>
      </w:pPr>
      <w:bookmarkStart w:id="0" w:name="_Toc359483089"/>
      <w:r>
        <w:rPr>
          <w:b/>
          <w:sz w:val="24"/>
        </w:rPr>
        <w:t>证券代码：688623                                              证券简称：双元科技</w:t>
      </w:r>
    </w:p>
    <w:p w14:paraId="700D7DD5">
      <w:pPr>
        <w:jc w:val="center"/>
        <w:rPr>
          <w:bCs/>
          <w:sz w:val="24"/>
        </w:rPr>
      </w:pPr>
    </w:p>
    <w:p w14:paraId="50A14D3D">
      <w:pPr>
        <w:spacing w:line="288" w:lineRule="auto"/>
        <w:jc w:val="center"/>
        <w:rPr>
          <w:b/>
          <w:sz w:val="32"/>
          <w:szCs w:val="32"/>
        </w:rPr>
      </w:pPr>
      <w:r>
        <w:rPr>
          <w:b/>
          <w:sz w:val="32"/>
          <w:szCs w:val="32"/>
        </w:rPr>
        <w:t>浙江双元科技股份有限公司</w:t>
      </w:r>
    </w:p>
    <w:bookmarkEnd w:id="0"/>
    <w:p w14:paraId="571CF68C">
      <w:pPr>
        <w:spacing w:line="288" w:lineRule="auto"/>
        <w:jc w:val="center"/>
        <w:rPr>
          <w:b/>
          <w:sz w:val="32"/>
          <w:szCs w:val="32"/>
        </w:rPr>
      </w:pPr>
      <w:r>
        <w:rPr>
          <w:b/>
          <w:sz w:val="32"/>
          <w:szCs w:val="32"/>
        </w:rPr>
        <w:t>投资者关系活动记录表</w:t>
      </w:r>
    </w:p>
    <w:p w14:paraId="0D2B4D74">
      <w:pPr>
        <w:spacing w:line="288" w:lineRule="auto"/>
        <w:jc w:val="center"/>
        <w:rPr>
          <w:rFonts w:hint="default" w:eastAsia="宋体"/>
          <w:bCs/>
          <w:sz w:val="24"/>
          <w:lang w:val="en-US" w:eastAsia="zh-CN"/>
        </w:rPr>
      </w:pPr>
      <w:r>
        <w:rPr>
          <w:bCs/>
          <w:sz w:val="24"/>
        </w:rPr>
        <w:t xml:space="preserve">                                                          </w:t>
      </w:r>
      <w:r>
        <w:rPr>
          <w:rFonts w:hint="eastAsia"/>
          <w:bCs/>
          <w:sz w:val="24"/>
        </w:rPr>
        <w:t xml:space="preserve">  </w:t>
      </w:r>
      <w:r>
        <w:rPr>
          <w:bCs/>
          <w:sz w:val="24"/>
        </w:rPr>
        <w:t xml:space="preserve">    </w:t>
      </w:r>
      <w:r>
        <w:rPr>
          <w:rFonts w:hint="eastAsia"/>
          <w:bCs/>
          <w:sz w:val="24"/>
        </w:rPr>
        <w:t xml:space="preserve">  </w:t>
      </w:r>
      <w:r>
        <w:rPr>
          <w:bCs/>
          <w:sz w:val="24"/>
        </w:rPr>
        <w:t xml:space="preserve"> 编号：</w:t>
      </w:r>
      <w:r>
        <w:rPr>
          <w:rFonts w:hint="eastAsia"/>
          <w:bCs/>
          <w:sz w:val="24"/>
        </w:rPr>
        <w:t>2026-0</w:t>
      </w:r>
      <w:r>
        <w:rPr>
          <w:rFonts w:hint="eastAsia"/>
          <w:bCs/>
          <w:sz w:val="24"/>
          <w:lang w:val="en-US" w:eastAsia="zh-CN"/>
        </w:rPr>
        <w:t>04</w:t>
      </w:r>
    </w:p>
    <w:tbl>
      <w:tblPr>
        <w:tblStyle w:val="14"/>
        <w:tblW w:w="0" w:type="auto"/>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9"/>
        <w:gridCol w:w="8196"/>
      </w:tblGrid>
      <w:tr w14:paraId="782B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1449" w:type="dxa"/>
            <w:vAlign w:val="center"/>
          </w:tcPr>
          <w:p w14:paraId="51470087">
            <w:pPr>
              <w:jc w:val="center"/>
              <w:rPr>
                <w:sz w:val="24"/>
              </w:rPr>
            </w:pPr>
            <w:r>
              <w:rPr>
                <w:sz w:val="24"/>
              </w:rPr>
              <w:t>投资者关系活动类别</w:t>
            </w:r>
          </w:p>
        </w:tc>
        <w:tc>
          <w:tcPr>
            <w:tcW w:w="8196" w:type="dxa"/>
            <w:vAlign w:val="center"/>
          </w:tcPr>
          <w:p w14:paraId="2BEC2D63">
            <w:pPr>
              <w:spacing w:line="540" w:lineRule="exact"/>
              <w:jc w:val="left"/>
              <w:rPr>
                <w:sz w:val="24"/>
              </w:rPr>
            </w:pPr>
            <w:r>
              <w:rPr>
                <w:sz w:val="24"/>
              </w:rPr>
              <w:sym w:font="Wingdings 2" w:char="00A3"/>
            </w:r>
            <w:r>
              <w:rPr>
                <w:sz w:val="24"/>
              </w:rPr>
              <w:t xml:space="preserve">特定对象调研          </w:t>
            </w:r>
            <w:r>
              <w:rPr>
                <w:sz w:val="24"/>
              </w:rPr>
              <w:sym w:font="Wingdings 2" w:char="00A3"/>
            </w:r>
            <w:r>
              <w:rPr>
                <w:rFonts w:hint="eastAsia"/>
                <w:sz w:val="24"/>
              </w:rPr>
              <w:t xml:space="preserve"> </w:t>
            </w:r>
            <w:r>
              <w:rPr>
                <w:sz w:val="24"/>
              </w:rPr>
              <w:t xml:space="preserve">分析师会议          </w:t>
            </w:r>
            <w:r>
              <w:rPr>
                <w:sz w:val="24"/>
              </w:rPr>
              <w:sym w:font="Wingdings 2" w:char="00A3"/>
            </w:r>
            <w:r>
              <w:rPr>
                <w:rFonts w:hint="eastAsia"/>
                <w:sz w:val="24"/>
              </w:rPr>
              <w:t xml:space="preserve"> </w:t>
            </w:r>
            <w:r>
              <w:rPr>
                <w:sz w:val="24"/>
              </w:rPr>
              <w:t xml:space="preserve">媒体采访                  </w:t>
            </w:r>
            <w:r>
              <w:rPr>
                <w:sz w:val="24"/>
              </w:rPr>
              <w:sym w:font="Wingdings 2" w:char="0052"/>
            </w:r>
            <w:r>
              <w:rPr>
                <w:rFonts w:hint="eastAsia"/>
                <w:sz w:val="24"/>
              </w:rPr>
              <w:t xml:space="preserve"> </w:t>
            </w:r>
            <w:r>
              <w:rPr>
                <w:sz w:val="24"/>
              </w:rPr>
              <w:t xml:space="preserve">业绩说明会        </w:t>
            </w:r>
            <w:r>
              <w:rPr>
                <w:rFonts w:hint="eastAsia"/>
                <w:sz w:val="24"/>
              </w:rPr>
              <w:t xml:space="preserve"> </w:t>
            </w:r>
            <w:r>
              <w:rPr>
                <w:sz w:val="24"/>
              </w:rPr>
              <w:t xml:space="preserve">   </w:t>
            </w:r>
            <w:r>
              <w:rPr>
                <w:sz w:val="24"/>
              </w:rPr>
              <w:sym w:font="Wingdings 2" w:char="00A3"/>
            </w:r>
            <w:r>
              <w:rPr>
                <w:rFonts w:hint="eastAsia"/>
                <w:sz w:val="24"/>
              </w:rPr>
              <w:t xml:space="preserve"> </w:t>
            </w:r>
            <w:r>
              <w:rPr>
                <w:sz w:val="24"/>
              </w:rPr>
              <w:t xml:space="preserve">新闻发布会      </w:t>
            </w:r>
            <w:r>
              <w:rPr>
                <w:rFonts w:hint="eastAsia"/>
                <w:sz w:val="24"/>
              </w:rPr>
              <w:t xml:space="preserve"> </w:t>
            </w:r>
            <w:r>
              <w:rPr>
                <w:sz w:val="24"/>
              </w:rPr>
              <w:t xml:space="preserve">   </w:t>
            </w:r>
            <w:r>
              <w:rPr>
                <w:sz w:val="24"/>
              </w:rPr>
              <w:sym w:font="Wingdings 2" w:char="00A3"/>
            </w:r>
            <w:r>
              <w:rPr>
                <w:rFonts w:hint="eastAsia"/>
                <w:sz w:val="24"/>
              </w:rPr>
              <w:t xml:space="preserve"> </w:t>
            </w:r>
            <w:r>
              <w:rPr>
                <w:sz w:val="24"/>
              </w:rPr>
              <w:t>路演活动</w:t>
            </w:r>
          </w:p>
          <w:p w14:paraId="1E95E97C">
            <w:pPr>
              <w:spacing w:line="540" w:lineRule="exact"/>
              <w:jc w:val="left"/>
              <w:rPr>
                <w:sz w:val="24"/>
                <w:u w:val="single"/>
              </w:rPr>
            </w:pPr>
            <w:r>
              <w:rPr>
                <w:sz w:val="24"/>
              </w:rPr>
              <w:sym w:font="Wingdings 2" w:char="00A3"/>
            </w:r>
            <w:r>
              <w:rPr>
                <w:rFonts w:hint="eastAsia"/>
                <w:sz w:val="24"/>
              </w:rPr>
              <w:t xml:space="preserve"> </w:t>
            </w:r>
            <w:r>
              <w:rPr>
                <w:sz w:val="24"/>
              </w:rPr>
              <w:t xml:space="preserve">现场参观              </w:t>
            </w:r>
            <w:r>
              <w:rPr>
                <w:sz w:val="24"/>
              </w:rPr>
              <w:sym w:font="Wingdings 2" w:char="00A3"/>
            </w:r>
            <w:r>
              <w:rPr>
                <w:rFonts w:hint="eastAsia"/>
                <w:sz w:val="24"/>
              </w:rPr>
              <w:t xml:space="preserve"> </w:t>
            </w:r>
            <w:r>
              <w:rPr>
                <w:sz w:val="24"/>
              </w:rPr>
              <w:t xml:space="preserve">电话调研            </w:t>
            </w:r>
            <w:r>
              <w:rPr>
                <w:sz w:val="24"/>
              </w:rPr>
              <w:sym w:font="Wingdings 2" w:char="00A3"/>
            </w:r>
            <w:r>
              <w:rPr>
                <w:rFonts w:hint="eastAsia"/>
                <w:sz w:val="24"/>
              </w:rPr>
              <w:t xml:space="preserve"> </w:t>
            </w:r>
            <w:r>
              <w:rPr>
                <w:sz w:val="24"/>
              </w:rPr>
              <w:t>其他</w:t>
            </w:r>
            <w:r>
              <w:rPr>
                <w:sz w:val="24"/>
                <w:u w:val="single"/>
              </w:rPr>
              <w:t xml:space="preserve">       </w:t>
            </w:r>
          </w:p>
        </w:tc>
      </w:tr>
      <w:tr w14:paraId="5E0A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1449" w:type="dxa"/>
            <w:vAlign w:val="center"/>
          </w:tcPr>
          <w:p w14:paraId="26DAA652">
            <w:pPr>
              <w:jc w:val="center"/>
              <w:rPr>
                <w:sz w:val="24"/>
              </w:rPr>
            </w:pPr>
            <w:r>
              <w:rPr>
                <w:sz w:val="24"/>
              </w:rPr>
              <w:t>参与单位</w:t>
            </w:r>
          </w:p>
          <w:p w14:paraId="2D2B62F2">
            <w:pPr>
              <w:jc w:val="center"/>
              <w:rPr>
                <w:sz w:val="24"/>
              </w:rPr>
            </w:pPr>
            <w:r>
              <w:rPr>
                <w:sz w:val="24"/>
              </w:rPr>
              <w:t>名称</w:t>
            </w:r>
          </w:p>
        </w:tc>
        <w:tc>
          <w:tcPr>
            <w:tcW w:w="8196" w:type="dxa"/>
            <w:vAlign w:val="center"/>
          </w:tcPr>
          <w:p w14:paraId="747F9881">
            <w:pPr>
              <w:jc w:val="left"/>
              <w:rPr>
                <w:rFonts w:hint="default" w:eastAsia="宋体"/>
                <w:sz w:val="24"/>
                <w:lang w:val="en-US" w:eastAsia="zh-CN"/>
              </w:rPr>
            </w:pPr>
            <w:r>
              <w:rPr>
                <w:sz w:val="24"/>
              </w:rPr>
              <w:t>通过上海证券交易所上证路演中心参与公司</w:t>
            </w:r>
            <w:r>
              <w:rPr>
                <w:rFonts w:hint="eastAsia" w:ascii="宋体" w:hAnsi="宋体" w:eastAsia="宋体" w:cs="宋体"/>
                <w:bCs/>
                <w:iCs/>
                <w:color w:val="000000"/>
                <w:sz w:val="24"/>
                <w:highlight w:val="none"/>
                <w:lang w:val="en-GB"/>
              </w:rPr>
              <w:t>2026年半年度业绩暨现金分红说明会</w:t>
            </w:r>
            <w:r>
              <w:rPr>
                <w:sz w:val="24"/>
              </w:rPr>
              <w:t>的投资者</w:t>
            </w:r>
          </w:p>
        </w:tc>
      </w:tr>
      <w:tr w14:paraId="326F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449" w:type="dxa"/>
            <w:vAlign w:val="center"/>
          </w:tcPr>
          <w:p w14:paraId="5611D414">
            <w:pPr>
              <w:jc w:val="center"/>
              <w:rPr>
                <w:sz w:val="24"/>
              </w:rPr>
            </w:pPr>
            <w:r>
              <w:rPr>
                <w:sz w:val="24"/>
              </w:rPr>
              <w:t>时间</w:t>
            </w:r>
          </w:p>
        </w:tc>
        <w:tc>
          <w:tcPr>
            <w:tcW w:w="8196" w:type="dxa"/>
            <w:vAlign w:val="center"/>
          </w:tcPr>
          <w:p w14:paraId="0501D5B1">
            <w:pPr>
              <w:jc w:val="left"/>
              <w:rPr>
                <w:rFonts w:hint="default" w:eastAsia="宋体"/>
                <w:sz w:val="24"/>
                <w:lang w:val="en-US" w:eastAsia="zh-CN"/>
              </w:rPr>
            </w:pPr>
            <w:r>
              <w:rPr>
                <w:rFonts w:hint="eastAsia"/>
                <w:sz w:val="24"/>
              </w:rPr>
              <w:t>2026年</w:t>
            </w:r>
            <w:r>
              <w:rPr>
                <w:rFonts w:hint="eastAsia"/>
                <w:sz w:val="24"/>
                <w:lang w:val="en-US" w:eastAsia="zh-CN"/>
              </w:rPr>
              <w:t>8</w:t>
            </w:r>
            <w:r>
              <w:rPr>
                <w:rFonts w:hint="eastAsia"/>
                <w:sz w:val="24"/>
              </w:rPr>
              <w:t>月</w:t>
            </w:r>
            <w:r>
              <w:rPr>
                <w:rFonts w:hint="eastAsia"/>
                <w:sz w:val="24"/>
                <w:lang w:val="en-US" w:eastAsia="zh-CN"/>
              </w:rPr>
              <w:t>24</w:t>
            </w:r>
            <w:r>
              <w:rPr>
                <w:sz w:val="24"/>
              </w:rPr>
              <w:t>日1</w:t>
            </w:r>
            <w:r>
              <w:rPr>
                <w:rFonts w:hint="eastAsia"/>
                <w:sz w:val="24"/>
                <w:lang w:val="en-US" w:eastAsia="zh-CN"/>
              </w:rPr>
              <w:t>4</w:t>
            </w:r>
            <w:r>
              <w:rPr>
                <w:sz w:val="24"/>
              </w:rPr>
              <w:t>:00-1</w:t>
            </w:r>
            <w:r>
              <w:rPr>
                <w:rFonts w:hint="eastAsia"/>
                <w:sz w:val="24"/>
                <w:lang w:val="en-US" w:eastAsia="zh-CN"/>
              </w:rPr>
              <w:t>5</w:t>
            </w:r>
            <w:r>
              <w:rPr>
                <w:sz w:val="24"/>
              </w:rPr>
              <w:t>:00</w:t>
            </w:r>
          </w:p>
        </w:tc>
      </w:tr>
      <w:tr w14:paraId="1F7C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449" w:type="dxa"/>
            <w:vAlign w:val="center"/>
          </w:tcPr>
          <w:p w14:paraId="7D7222E5">
            <w:pPr>
              <w:jc w:val="center"/>
              <w:rPr>
                <w:sz w:val="24"/>
              </w:rPr>
            </w:pPr>
            <w:r>
              <w:rPr>
                <w:sz w:val="24"/>
              </w:rPr>
              <w:t>地点</w:t>
            </w:r>
          </w:p>
        </w:tc>
        <w:tc>
          <w:tcPr>
            <w:tcW w:w="8196" w:type="dxa"/>
            <w:vAlign w:val="center"/>
          </w:tcPr>
          <w:p w14:paraId="73542401">
            <w:pPr>
              <w:rPr>
                <w:sz w:val="24"/>
              </w:rPr>
            </w:pPr>
            <w:r>
              <w:rPr>
                <w:sz w:val="24"/>
              </w:rPr>
              <w:t>上海证券交易所上证路演中心（网址：</w:t>
            </w:r>
            <w:r>
              <w:fldChar w:fldCharType="begin"/>
            </w:r>
            <w:r>
              <w:instrText xml:space="preserve"> HYPERLINK "https://roadshow.sseinfo.com" </w:instrText>
            </w:r>
            <w:r>
              <w:fldChar w:fldCharType="separate"/>
            </w:r>
            <w:r>
              <w:rPr>
                <w:rStyle w:val="18"/>
                <w:rFonts w:hint="eastAsia" w:ascii="宋体" w:hAnsi="宋体"/>
                <w:bCs/>
                <w:sz w:val="24"/>
              </w:rPr>
              <w:t>https://roadshow.sseinfo.com</w:t>
            </w:r>
            <w:r>
              <w:rPr>
                <w:rStyle w:val="18"/>
                <w:rFonts w:hint="eastAsia" w:ascii="宋体" w:hAnsi="宋体"/>
                <w:bCs/>
                <w:sz w:val="24"/>
              </w:rPr>
              <w:fldChar w:fldCharType="end"/>
            </w:r>
            <w:r>
              <w:rPr>
                <w:sz w:val="24"/>
              </w:rPr>
              <w:t>）</w:t>
            </w:r>
            <w:r>
              <w:rPr>
                <w:rFonts w:hint="eastAsia" w:ascii="宋体" w:hAnsi="宋体"/>
                <w:bCs/>
                <w:sz w:val="24"/>
              </w:rPr>
              <w:t xml:space="preserve"> </w:t>
            </w:r>
          </w:p>
        </w:tc>
      </w:tr>
      <w:tr w14:paraId="0090F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1449" w:type="dxa"/>
            <w:vAlign w:val="center"/>
          </w:tcPr>
          <w:p w14:paraId="02467B23">
            <w:pPr>
              <w:jc w:val="center"/>
              <w:rPr>
                <w:sz w:val="24"/>
              </w:rPr>
            </w:pPr>
            <w:r>
              <w:rPr>
                <w:sz w:val="24"/>
              </w:rPr>
              <w:t>上市公司接待人员姓名</w:t>
            </w:r>
          </w:p>
        </w:tc>
        <w:tc>
          <w:tcPr>
            <w:tcW w:w="8196" w:type="dxa"/>
            <w:vAlign w:val="center"/>
          </w:tcPr>
          <w:p w14:paraId="1CF06594">
            <w:pPr>
              <w:jc w:val="left"/>
              <w:rPr>
                <w:rFonts w:hint="default" w:ascii="宋体" w:hAnsi="宋体" w:eastAsia="宋体" w:cs="宋体"/>
                <w:sz w:val="24"/>
                <w:szCs w:val="24"/>
              </w:rPr>
            </w:pPr>
            <w:r>
              <w:rPr>
                <w:rFonts w:hint="eastAsia" w:ascii="宋体" w:hAnsi="宋体" w:eastAsia="宋体" w:cs="宋体"/>
                <w:sz w:val="24"/>
                <w:szCs w:val="24"/>
              </w:rPr>
              <w:t>董</w:t>
            </w:r>
            <w:r>
              <w:rPr>
                <w:rFonts w:hint="default" w:ascii="宋体" w:hAnsi="宋体" w:eastAsia="宋体" w:cs="宋体"/>
                <w:sz w:val="24"/>
                <w:szCs w:val="24"/>
              </w:rPr>
              <w:t>事长、总经理：郑建</w:t>
            </w:r>
          </w:p>
          <w:p w14:paraId="6AFA9507">
            <w:pPr>
              <w:jc w:val="left"/>
              <w:rPr>
                <w:rFonts w:hint="default" w:ascii="宋体" w:hAnsi="宋体" w:eastAsia="宋体" w:cs="宋体"/>
                <w:sz w:val="24"/>
                <w:szCs w:val="24"/>
              </w:rPr>
            </w:pPr>
            <w:r>
              <w:rPr>
                <w:rFonts w:hint="default" w:ascii="宋体" w:hAnsi="宋体" w:eastAsia="宋体" w:cs="宋体"/>
                <w:sz w:val="24"/>
                <w:szCs w:val="24"/>
              </w:rPr>
              <w:t>董事会秘书：泮茜茜</w:t>
            </w:r>
          </w:p>
          <w:p w14:paraId="3A38075C">
            <w:pPr>
              <w:jc w:val="left"/>
              <w:rPr>
                <w:rFonts w:hint="default" w:ascii="宋体" w:hAnsi="宋体" w:eastAsia="宋体" w:cs="宋体"/>
                <w:sz w:val="24"/>
                <w:szCs w:val="24"/>
              </w:rPr>
            </w:pPr>
            <w:r>
              <w:rPr>
                <w:rFonts w:hint="default" w:ascii="宋体" w:hAnsi="宋体" w:eastAsia="宋体" w:cs="宋体"/>
                <w:sz w:val="24"/>
                <w:szCs w:val="24"/>
              </w:rPr>
              <w:t>财务总监：方东良</w:t>
            </w:r>
          </w:p>
          <w:p w14:paraId="3F360BBD">
            <w:pPr>
              <w:jc w:val="left"/>
              <w:rPr>
                <w:rFonts w:hint="default" w:ascii="宋体" w:hAnsi="宋体" w:eastAsia="宋体" w:cs="宋体"/>
                <w:sz w:val="24"/>
                <w:szCs w:val="24"/>
                <w:lang w:val="en-US" w:eastAsia="zh-CN"/>
              </w:rPr>
            </w:pPr>
            <w:r>
              <w:rPr>
                <w:rFonts w:hint="default" w:ascii="宋体" w:hAnsi="宋体" w:eastAsia="宋体" w:cs="宋体"/>
                <w:sz w:val="24"/>
                <w:szCs w:val="24"/>
              </w:rPr>
              <w:t>独立董事：杨莹</w:t>
            </w:r>
          </w:p>
        </w:tc>
      </w:tr>
      <w:tr w14:paraId="6FF1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449" w:type="dxa"/>
            <w:vAlign w:val="center"/>
          </w:tcPr>
          <w:p w14:paraId="54F9ECE4">
            <w:pPr>
              <w:jc w:val="center"/>
              <w:rPr>
                <w:sz w:val="24"/>
              </w:rPr>
            </w:pPr>
            <w:r>
              <w:rPr>
                <w:sz w:val="24"/>
              </w:rPr>
              <w:t>投资者关系活动主要</w:t>
            </w:r>
          </w:p>
          <w:p w14:paraId="1301C205">
            <w:pPr>
              <w:jc w:val="center"/>
              <w:rPr>
                <w:sz w:val="24"/>
              </w:rPr>
            </w:pPr>
            <w:r>
              <w:rPr>
                <w:sz w:val="24"/>
              </w:rPr>
              <w:t>内容介绍</w:t>
            </w:r>
          </w:p>
        </w:tc>
        <w:tc>
          <w:tcPr>
            <w:tcW w:w="8196" w:type="dxa"/>
          </w:tcPr>
          <w:p w14:paraId="07B91E4D">
            <w:pPr>
              <w:keepNext w:val="0"/>
              <w:keepLines w:val="0"/>
              <w:pageBreakBefore w:val="0"/>
              <w:kinsoku/>
              <w:wordWrap/>
              <w:overflowPunct/>
              <w:topLinePunct w:val="0"/>
              <w:autoSpaceDE/>
              <w:autoSpaceDN/>
              <w:bidi w:val="0"/>
              <w:adjustRightInd/>
              <w:snapToGrid/>
              <w:spacing w:line="360" w:lineRule="auto"/>
              <w:textAlignment w:val="auto"/>
              <w:rPr>
                <w:rFonts w:hint="eastAsia" w:ascii="siyuan" w:hAnsi="siyuan" w:eastAsia="宋体" w:cs="siyuan"/>
                <w:b/>
                <w:bCs/>
                <w:i w:val="0"/>
                <w:iCs w:val="0"/>
                <w:caps w:val="0"/>
                <w:color w:val="00040D"/>
                <w:spacing w:val="0"/>
                <w:sz w:val="24"/>
                <w:szCs w:val="24"/>
                <w:shd w:val="clear" w:fill="FFFFFF"/>
                <w:lang w:eastAsia="zh-CN"/>
              </w:rPr>
            </w:pPr>
            <w:r>
              <w:rPr>
                <w:rFonts w:hint="eastAsia" w:ascii="siyuan" w:hAnsi="siyuan" w:eastAsia="siyuan" w:cs="siyuan"/>
                <w:b/>
                <w:bCs/>
                <w:i w:val="0"/>
                <w:iCs w:val="0"/>
                <w:caps w:val="0"/>
                <w:color w:val="00040D"/>
                <w:spacing w:val="0"/>
                <w:sz w:val="24"/>
                <w:szCs w:val="24"/>
                <w:shd w:val="clear" w:fill="FFFFFF"/>
                <w:lang w:val="en-US" w:eastAsia="zh-CN"/>
              </w:rPr>
              <w:t>1、</w:t>
            </w:r>
            <w:r>
              <w:rPr>
                <w:rFonts w:ascii="siyuan" w:hAnsi="siyuan" w:eastAsia="siyuan" w:cs="siyuan"/>
                <w:b/>
                <w:bCs/>
                <w:i w:val="0"/>
                <w:iCs w:val="0"/>
                <w:caps w:val="0"/>
                <w:color w:val="00040D"/>
                <w:spacing w:val="0"/>
                <w:sz w:val="24"/>
                <w:szCs w:val="24"/>
                <w:shd w:val="clear" w:fill="FFFFFF"/>
              </w:rPr>
              <w:t>请问公司现阶段在机器人产业端有哪些布局</w:t>
            </w:r>
            <w:r>
              <w:rPr>
                <w:rFonts w:hint="eastAsia" w:ascii="siyuan" w:hAnsi="siyuan" w:eastAsia="宋体" w:cs="siyuan"/>
                <w:b/>
                <w:bCs/>
                <w:i w:val="0"/>
                <w:iCs w:val="0"/>
                <w:caps w:val="0"/>
                <w:color w:val="00040D"/>
                <w:spacing w:val="0"/>
                <w:sz w:val="24"/>
                <w:szCs w:val="24"/>
                <w:shd w:val="clear" w:fill="FFFFFF"/>
                <w:lang w:eastAsia="zh-CN"/>
              </w:rPr>
              <w:t>？</w:t>
            </w:r>
          </w:p>
          <w:p w14:paraId="338EAF3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siyuan" w:hAnsi="siyuan" w:eastAsia="宋体" w:cs="siyuan"/>
                <w:i w:val="0"/>
                <w:iCs w:val="0"/>
                <w:caps w:val="0"/>
                <w:color w:val="00040D"/>
                <w:spacing w:val="0"/>
                <w:sz w:val="24"/>
                <w:szCs w:val="24"/>
                <w:shd w:val="clear" w:fill="FFFFFF"/>
                <w:lang w:val="en-US" w:eastAsia="zh-CN"/>
              </w:rPr>
            </w:pPr>
            <w:r>
              <w:rPr>
                <w:rFonts w:hint="eastAsia"/>
                <w:sz w:val="24"/>
                <w:szCs w:val="24"/>
                <w:lang w:val="en-US" w:eastAsia="zh-CN"/>
              </w:rPr>
              <w:t>尊敬的投资者，您好。</w:t>
            </w:r>
            <w:r>
              <w:rPr>
                <w:rFonts w:hint="eastAsia"/>
                <w:sz w:val="24"/>
                <w:szCs w:val="24"/>
              </w:rPr>
              <w:t>2</w:t>
            </w:r>
            <w:r>
              <w:rPr>
                <w:rFonts w:hint="default"/>
                <w:sz w:val="24"/>
                <w:szCs w:val="24"/>
              </w:rPr>
              <w:t>026</w:t>
            </w:r>
            <w:r>
              <w:rPr>
                <w:rFonts w:hint="eastAsia"/>
                <w:sz w:val="24"/>
                <w:szCs w:val="24"/>
              </w:rPr>
              <w:t>年</w:t>
            </w:r>
            <w:r>
              <w:rPr>
                <w:rFonts w:hint="default"/>
                <w:sz w:val="24"/>
                <w:szCs w:val="24"/>
              </w:rPr>
              <w:t>3月，公司已与杭州新剑机电传动股份有限公司签署了《战略合作协议》，拟为新剑传动生产的“人形机器人智能驾驶底盘-行星滚柱丝杠、滚珠丝杠”开发自动检测装配设备。</w:t>
            </w:r>
            <w:r>
              <w:rPr>
                <w:rFonts w:hint="eastAsia"/>
                <w:sz w:val="24"/>
                <w:szCs w:val="24"/>
                <w:lang w:val="en-US" w:eastAsia="zh-CN"/>
              </w:rPr>
              <w:t>目前</w:t>
            </w:r>
            <w:r>
              <w:rPr>
                <w:rFonts w:hint="default"/>
                <w:sz w:val="24"/>
                <w:szCs w:val="24"/>
              </w:rPr>
              <w:t>设备设计的完整方案及具体细节已经获得新剑传动的认可，双方正式签订了技术方案和技术协议，项目正在有序推进中。该设备为专用自动化装配设备，用于反向式滚柱丝杠总成的上料、装配、成品下料及数据追溯，替代人工装配，解决人工装配精度差、一致性低、效率低、数据不可追溯等问题，满足批量、高精度、标准化的滚柱丝杠生产需求，适配精密传动零部件量产工艺标准。上述样机主要功能为自动化装配，目前正在制造中，后续设备将叠加精度检测、物料选配等功能。</w:t>
            </w:r>
            <w:r>
              <w:rPr>
                <w:rFonts w:hint="eastAsia"/>
                <w:sz w:val="24"/>
                <w:szCs w:val="24"/>
                <w:highlight w:val="none"/>
                <w:lang w:val="en-US" w:eastAsia="zh-CN"/>
              </w:rPr>
              <w:t>公司与新剑传动的合作将作为公司的标杆案例，公司产品将持续往机器人其他核心零部件领域拓展。感谢您的关注。</w:t>
            </w:r>
          </w:p>
          <w:p w14:paraId="35703D3E">
            <w:pPr>
              <w:keepNext w:val="0"/>
              <w:keepLines w:val="0"/>
              <w:pageBreakBefore w:val="0"/>
              <w:kinsoku/>
              <w:wordWrap/>
              <w:overflowPunct/>
              <w:topLinePunct w:val="0"/>
              <w:autoSpaceDE/>
              <w:autoSpaceDN/>
              <w:bidi w:val="0"/>
              <w:adjustRightInd/>
              <w:snapToGrid/>
              <w:spacing w:line="360" w:lineRule="auto"/>
              <w:textAlignment w:val="auto"/>
              <w:rPr>
                <w:rFonts w:hint="eastAsia" w:ascii="siyuan" w:hAnsi="siyuan" w:eastAsia="宋体" w:cs="siyuan"/>
                <w:i w:val="0"/>
                <w:iCs w:val="0"/>
                <w:caps w:val="0"/>
                <w:color w:val="00040D"/>
                <w:spacing w:val="0"/>
                <w:sz w:val="24"/>
                <w:szCs w:val="24"/>
                <w:shd w:val="clear" w:fill="FFFFFF"/>
                <w:lang w:eastAsia="zh-CN"/>
              </w:rPr>
            </w:pPr>
          </w:p>
          <w:p w14:paraId="2E6EC70E">
            <w:pPr>
              <w:keepNext w:val="0"/>
              <w:keepLines w:val="0"/>
              <w:pageBreakBefore w:val="0"/>
              <w:widowControl/>
              <w:suppressLineNumbers w:val="0"/>
              <w:shd w:val="clear" w:fill="FFFFFF"/>
              <w:kinsoku/>
              <w:wordWrap/>
              <w:overflowPunct/>
              <w:topLinePunct w:val="0"/>
              <w:autoSpaceDE/>
              <w:autoSpaceDN/>
              <w:bidi w:val="0"/>
              <w:adjustRightInd/>
              <w:snapToGrid/>
              <w:spacing w:line="360" w:lineRule="auto"/>
              <w:ind w:left="0" w:firstLine="0"/>
              <w:jc w:val="left"/>
              <w:textAlignment w:val="auto"/>
              <w:rPr>
                <w:rFonts w:ascii="siyuan" w:hAnsi="siyuan" w:eastAsia="siyuan" w:cs="siyuan"/>
                <w:b/>
                <w:bCs/>
                <w:i w:val="0"/>
                <w:iCs w:val="0"/>
                <w:caps w:val="0"/>
                <w:color w:val="00040D"/>
                <w:spacing w:val="0"/>
                <w:sz w:val="24"/>
                <w:szCs w:val="24"/>
              </w:rPr>
            </w:pPr>
            <w:r>
              <w:rPr>
                <w:rFonts w:hint="eastAsia" w:ascii="siyuan" w:hAnsi="siyuan" w:eastAsia="siyuan" w:cs="siyuan"/>
                <w:b/>
                <w:bCs/>
                <w:i w:val="0"/>
                <w:iCs w:val="0"/>
                <w:caps w:val="0"/>
                <w:color w:val="00040D"/>
                <w:spacing w:val="0"/>
                <w:kern w:val="0"/>
                <w:sz w:val="24"/>
                <w:szCs w:val="24"/>
                <w:shd w:val="clear" w:fill="FFFFFF"/>
                <w:lang w:val="en-US" w:eastAsia="zh-CN" w:bidi="ar"/>
              </w:rPr>
              <w:t>2、</w:t>
            </w:r>
            <w:r>
              <w:rPr>
                <w:rFonts w:hint="default" w:ascii="siyuan" w:hAnsi="siyuan" w:eastAsia="siyuan" w:cs="siyuan"/>
                <w:b/>
                <w:bCs/>
                <w:i w:val="0"/>
                <w:iCs w:val="0"/>
                <w:caps w:val="0"/>
                <w:color w:val="00040D"/>
                <w:spacing w:val="0"/>
                <w:kern w:val="0"/>
                <w:sz w:val="24"/>
                <w:szCs w:val="24"/>
                <w:shd w:val="clear" w:fill="FFFFFF"/>
                <w:lang w:val="en-US" w:eastAsia="zh-CN" w:bidi="ar"/>
              </w:rPr>
              <w:t>董秘您好，很关注公司的发展，祝公司业绩长虹，请问董秘小姐，芯测微讯目前进展如何？后面打算如何重点发展公司？</w:t>
            </w:r>
          </w:p>
          <w:p w14:paraId="2A5275F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尊敬的投资者，您好。公司控股子公司</w:t>
            </w:r>
            <w:r>
              <w:rPr>
                <w:rFonts w:hint="default"/>
                <w:sz w:val="24"/>
                <w:szCs w:val="24"/>
                <w:lang w:val="en-US" w:eastAsia="zh-CN"/>
              </w:rPr>
              <w:t>杭州芯测微讯科技有限公司</w:t>
            </w:r>
            <w:r>
              <w:rPr>
                <w:rFonts w:hint="eastAsia"/>
                <w:sz w:val="24"/>
                <w:szCs w:val="24"/>
                <w:lang w:val="en-US" w:eastAsia="zh-CN"/>
              </w:rPr>
              <w:t>成立于2026年1月，主要</w:t>
            </w:r>
            <w:r>
              <w:rPr>
                <w:rFonts w:hint="default"/>
                <w:sz w:val="24"/>
                <w:szCs w:val="24"/>
                <w:lang w:val="en-US" w:eastAsia="zh-CN"/>
              </w:rPr>
              <w:t>从事半导体芯片高端封装行业AOI检测设备和泛半导体行业检测设备的研发生产。截至</w:t>
            </w:r>
            <w:r>
              <w:rPr>
                <w:rFonts w:hint="eastAsia"/>
                <w:sz w:val="24"/>
                <w:szCs w:val="24"/>
                <w:lang w:val="en-US" w:eastAsia="zh-CN"/>
              </w:rPr>
              <w:t>目前</w:t>
            </w:r>
            <w:r>
              <w:rPr>
                <w:rFonts w:hint="default"/>
                <w:sz w:val="24"/>
                <w:szCs w:val="24"/>
                <w:lang w:val="en-US" w:eastAsia="zh-CN"/>
              </w:rPr>
              <w:t>，相关样机开发进度为：1、电测设备：主要用于高阶PCB及IC载板的电性能检测，截至目前产品技术研发已完成，样机制造进入调试阶段；2、Reel隐裂检测设备：主要用于CoWoS、FOPLP等先进封装制程中的芯片隐裂检测，截至目前产品技术研发已完成，样机制造进入调试阶段。</w:t>
            </w:r>
          </w:p>
          <w:p w14:paraId="52BC882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siyuan" w:hAnsi="siyuan" w:eastAsia="宋体" w:cs="siyuan"/>
                <w:i w:val="0"/>
                <w:iCs w:val="0"/>
                <w:caps w:val="0"/>
                <w:color w:val="00040D"/>
                <w:spacing w:val="0"/>
                <w:sz w:val="24"/>
                <w:szCs w:val="24"/>
                <w:shd w:val="clear" w:fill="FFFFFF"/>
                <w:lang w:val="en-US" w:eastAsia="zh-CN"/>
              </w:rPr>
            </w:pPr>
            <w:r>
              <w:rPr>
                <w:rFonts w:hint="default"/>
                <w:sz w:val="24"/>
                <w:szCs w:val="24"/>
                <w:lang w:val="en-US" w:eastAsia="zh-CN"/>
              </w:rPr>
              <w:t>2025年下半年开始新能源行业景气度因储能电池投资需求提升而有所回暖</w:t>
            </w:r>
            <w:r>
              <w:rPr>
                <w:rFonts w:hint="eastAsia"/>
                <w:sz w:val="24"/>
                <w:szCs w:val="24"/>
                <w:lang w:val="en-US" w:eastAsia="zh-CN"/>
              </w:rPr>
              <w:t>，公司经营情况也因下游行业景气度提升而有所改善。</w:t>
            </w:r>
            <w:r>
              <w:rPr>
                <w:rFonts w:hint="default"/>
                <w:sz w:val="24"/>
                <w:szCs w:val="24"/>
                <w:lang w:val="en-US" w:eastAsia="zh-CN"/>
              </w:rPr>
              <w:t>2026年上半年，公司营业收入18,216.97万元，较上年同期上升12.80%；2026年上半年实现归属于上市公司股东的净利润4,369.31万元，较上年同期上升19.68%。截至2026年6月30日，公司在手订单含税金额为9.45亿元。</w:t>
            </w:r>
            <w:r>
              <w:rPr>
                <w:rFonts w:hint="eastAsia"/>
                <w:sz w:val="24"/>
                <w:szCs w:val="24"/>
                <w:lang w:val="en-US" w:eastAsia="zh-CN"/>
              </w:rPr>
              <w:t>在原有业务的基础上，公司拟</w:t>
            </w:r>
            <w:r>
              <w:rPr>
                <w:rFonts w:hint="default"/>
                <w:sz w:val="24"/>
                <w:szCs w:val="24"/>
              </w:rPr>
              <w:t>通过内部产业培育与外部并购扩张持续优化产业布局</w:t>
            </w:r>
            <w:r>
              <w:rPr>
                <w:rFonts w:hint="eastAsia"/>
                <w:sz w:val="24"/>
                <w:szCs w:val="24"/>
                <w:lang w:eastAsia="zh-CN"/>
              </w:rPr>
              <w:t>，</w:t>
            </w:r>
            <w:r>
              <w:rPr>
                <w:rFonts w:hint="default"/>
                <w:sz w:val="24"/>
                <w:szCs w:val="24"/>
              </w:rPr>
              <w:t>重点</w:t>
            </w:r>
            <w:r>
              <w:rPr>
                <w:rFonts w:hint="eastAsia"/>
                <w:sz w:val="24"/>
                <w:szCs w:val="24"/>
                <w:lang w:val="en-US" w:eastAsia="zh-CN"/>
              </w:rPr>
              <w:t>开拓</w:t>
            </w:r>
            <w:r>
              <w:rPr>
                <w:rFonts w:hint="default"/>
                <w:sz w:val="24"/>
                <w:szCs w:val="24"/>
              </w:rPr>
              <w:t>具身智能和半导体量检测</w:t>
            </w:r>
            <w:r>
              <w:rPr>
                <w:rFonts w:hint="eastAsia"/>
                <w:sz w:val="24"/>
                <w:szCs w:val="24"/>
                <w:lang w:val="en-US" w:eastAsia="zh-CN"/>
              </w:rPr>
              <w:t>相关业务，创造公司新的利润增长点。</w:t>
            </w:r>
            <w:r>
              <w:rPr>
                <w:rFonts w:hint="eastAsia"/>
                <w:sz w:val="24"/>
                <w:szCs w:val="24"/>
                <w:highlight w:val="none"/>
                <w:lang w:val="en-US" w:eastAsia="zh-CN"/>
              </w:rPr>
              <w:t>感谢您的关注。</w:t>
            </w:r>
          </w:p>
          <w:p w14:paraId="3F1FCB72">
            <w:pPr>
              <w:keepNext w:val="0"/>
              <w:keepLines w:val="0"/>
              <w:pageBreakBefore w:val="0"/>
              <w:kinsoku/>
              <w:wordWrap/>
              <w:overflowPunct/>
              <w:topLinePunct w:val="0"/>
              <w:autoSpaceDE/>
              <w:autoSpaceDN/>
              <w:bidi w:val="0"/>
              <w:adjustRightInd/>
              <w:snapToGrid/>
              <w:spacing w:line="360" w:lineRule="auto"/>
              <w:textAlignment w:val="auto"/>
              <w:rPr>
                <w:rFonts w:ascii="siyuan" w:hAnsi="siyuan" w:eastAsia="siyuan" w:cs="siyuan"/>
                <w:b/>
                <w:bCs/>
                <w:i w:val="0"/>
                <w:iCs w:val="0"/>
                <w:caps w:val="0"/>
                <w:color w:val="00040D"/>
                <w:spacing w:val="0"/>
                <w:sz w:val="24"/>
                <w:szCs w:val="24"/>
                <w:shd w:val="clear" w:fill="FFFFFF"/>
              </w:rPr>
            </w:pPr>
          </w:p>
          <w:p w14:paraId="7AC7A89F">
            <w:pPr>
              <w:keepNext w:val="0"/>
              <w:keepLines w:val="0"/>
              <w:pageBreakBefore w:val="0"/>
              <w:kinsoku/>
              <w:wordWrap/>
              <w:overflowPunct/>
              <w:topLinePunct w:val="0"/>
              <w:autoSpaceDE/>
              <w:autoSpaceDN/>
              <w:bidi w:val="0"/>
              <w:adjustRightInd/>
              <w:snapToGrid/>
              <w:spacing w:line="360" w:lineRule="auto"/>
              <w:textAlignment w:val="auto"/>
              <w:rPr>
                <w:rFonts w:ascii="siyuan" w:hAnsi="siyuan" w:eastAsia="siyuan" w:cs="siyuan"/>
                <w:b/>
                <w:bCs/>
                <w:i w:val="0"/>
                <w:iCs w:val="0"/>
                <w:caps w:val="0"/>
                <w:color w:val="00040D"/>
                <w:spacing w:val="0"/>
                <w:sz w:val="24"/>
                <w:szCs w:val="24"/>
                <w:shd w:val="clear" w:fill="FFFFFF"/>
              </w:rPr>
            </w:pPr>
            <w:r>
              <w:rPr>
                <w:rFonts w:hint="eastAsia" w:ascii="siyuan" w:hAnsi="siyuan" w:cs="siyuan"/>
                <w:b/>
                <w:bCs/>
                <w:i w:val="0"/>
                <w:iCs w:val="0"/>
                <w:caps w:val="0"/>
                <w:color w:val="00040D"/>
                <w:spacing w:val="0"/>
                <w:sz w:val="24"/>
                <w:szCs w:val="24"/>
                <w:shd w:val="clear" w:fill="FFFFFF"/>
                <w:lang w:val="en-US" w:eastAsia="zh-CN"/>
              </w:rPr>
              <w:t>3、</w:t>
            </w:r>
            <w:r>
              <w:rPr>
                <w:rFonts w:ascii="siyuan" w:hAnsi="siyuan" w:eastAsia="siyuan" w:cs="siyuan"/>
                <w:b/>
                <w:bCs/>
                <w:i w:val="0"/>
                <w:iCs w:val="0"/>
                <w:caps w:val="0"/>
                <w:color w:val="00040D"/>
                <w:spacing w:val="0"/>
                <w:sz w:val="24"/>
                <w:szCs w:val="24"/>
                <w:shd w:val="clear" w:fill="FFFFFF"/>
              </w:rPr>
              <w:t>后面有没有投资并购的计划？</w:t>
            </w:r>
          </w:p>
          <w:p w14:paraId="1EA94BF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none"/>
                <w:lang w:val="en-US" w:eastAsia="zh-CN"/>
              </w:rPr>
            </w:pPr>
            <w:r>
              <w:rPr>
                <w:rFonts w:hint="eastAsia"/>
                <w:sz w:val="24"/>
                <w:szCs w:val="24"/>
                <w:lang w:val="en-US" w:eastAsia="zh-CN"/>
              </w:rPr>
              <w:t>尊敬的投资者，您好。截至2026年6月30日，公司货币资金和交易性金融资产（交易性金融资产主要为募集资金和自有资金的现金管理）总和约为18亿元，无借款，公司目前资金充裕，公司拟</w:t>
            </w:r>
            <w:r>
              <w:rPr>
                <w:rFonts w:hint="default"/>
                <w:sz w:val="24"/>
                <w:szCs w:val="24"/>
              </w:rPr>
              <w:t>通过内部产业培育与外部并购扩张持续优化产业布局。公司未来将重点布局具身智能和半导体量检测领域。具身智能领域，公司将重点关注视觉感知、数据处理、人形机器人零部件检测和自动化装配等方向。半导体量检测领域，公司将重点关注硅片、高端PCB、芯片封装等检测场景。</w:t>
            </w:r>
            <w:r>
              <w:rPr>
                <w:rFonts w:hint="eastAsia"/>
                <w:sz w:val="24"/>
                <w:szCs w:val="24"/>
                <w:highlight w:val="none"/>
                <w:lang w:val="en-US" w:eastAsia="zh-CN"/>
              </w:rPr>
              <w:t>感谢您的关注。</w:t>
            </w:r>
          </w:p>
          <w:p w14:paraId="2CEB77B1">
            <w:pPr>
              <w:keepNext w:val="0"/>
              <w:keepLines w:val="0"/>
              <w:pageBreakBefore w:val="0"/>
              <w:kinsoku/>
              <w:wordWrap/>
              <w:overflowPunct/>
              <w:topLinePunct w:val="0"/>
              <w:autoSpaceDE/>
              <w:autoSpaceDN/>
              <w:bidi w:val="0"/>
              <w:adjustRightInd/>
              <w:snapToGrid/>
              <w:spacing w:line="360" w:lineRule="auto"/>
              <w:textAlignment w:val="auto"/>
              <w:rPr>
                <w:rFonts w:hint="eastAsia"/>
                <w:sz w:val="24"/>
                <w:szCs w:val="24"/>
                <w:highlight w:val="none"/>
                <w:lang w:val="en-US" w:eastAsia="zh-CN"/>
              </w:rPr>
            </w:pPr>
          </w:p>
          <w:p w14:paraId="7ABE4D51">
            <w:pPr>
              <w:keepNext w:val="0"/>
              <w:keepLines w:val="0"/>
              <w:pageBreakBefore w:val="0"/>
              <w:kinsoku/>
              <w:wordWrap/>
              <w:overflowPunct/>
              <w:topLinePunct w:val="0"/>
              <w:autoSpaceDE/>
              <w:autoSpaceDN/>
              <w:bidi w:val="0"/>
              <w:adjustRightInd/>
              <w:snapToGrid/>
              <w:spacing w:line="360" w:lineRule="auto"/>
              <w:textAlignment w:val="auto"/>
              <w:rPr>
                <w:rFonts w:hint="default"/>
                <w:b/>
                <w:bCs/>
                <w:sz w:val="24"/>
                <w:szCs w:val="24"/>
                <w:highlight w:val="none"/>
                <w:lang w:val="en-US" w:eastAsia="zh-CN"/>
              </w:rPr>
            </w:pPr>
            <w:r>
              <w:rPr>
                <w:rFonts w:hint="eastAsia"/>
                <w:b/>
                <w:bCs/>
                <w:sz w:val="24"/>
                <w:szCs w:val="24"/>
                <w:highlight w:val="none"/>
                <w:lang w:val="en-US" w:eastAsia="zh-CN"/>
              </w:rPr>
              <w:t>4、</w:t>
            </w:r>
            <w:r>
              <w:rPr>
                <w:rFonts w:hint="default"/>
                <w:b/>
                <w:bCs/>
                <w:sz w:val="24"/>
                <w:szCs w:val="24"/>
                <w:highlight w:val="none"/>
                <w:lang w:val="en-US" w:eastAsia="zh-CN"/>
              </w:rPr>
              <w:t>公司上半年营收同比增长12.80%、净利润同比增长19.68%，增长有哪些原因导致的？</w:t>
            </w:r>
          </w:p>
          <w:p w14:paraId="4B77348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eastAsia="zh-CN"/>
              </w:rPr>
            </w:pPr>
            <w:r>
              <w:rPr>
                <w:rFonts w:hint="eastAsia"/>
                <w:sz w:val="24"/>
                <w:szCs w:val="24"/>
                <w:lang w:val="en-US" w:eastAsia="zh-CN"/>
              </w:rPr>
              <w:t>尊敬的投资者，您好。2026年上半年</w:t>
            </w:r>
            <w:r>
              <w:rPr>
                <w:rFonts w:hint="eastAsia"/>
                <w:sz w:val="24"/>
                <w:szCs w:val="24"/>
                <w:lang w:eastAsia="zh-CN"/>
              </w:rPr>
              <w:t>营业收入同比增长12.80%，主要</w:t>
            </w:r>
            <w:r>
              <w:rPr>
                <w:rFonts w:hint="eastAsia"/>
                <w:sz w:val="24"/>
                <w:szCs w:val="24"/>
                <w:lang w:val="en-US" w:eastAsia="zh-CN"/>
              </w:rPr>
              <w:t>原因为</w:t>
            </w:r>
            <w:r>
              <w:rPr>
                <w:rFonts w:hint="eastAsia"/>
                <w:sz w:val="24"/>
                <w:szCs w:val="24"/>
                <w:lang w:eastAsia="zh-CN"/>
              </w:rPr>
              <w:t>2025年下半年开始新能源行业景气度因储能电池投资需求提升而有所回暖，</w:t>
            </w:r>
            <w:r>
              <w:rPr>
                <w:rFonts w:hint="eastAsia"/>
                <w:sz w:val="24"/>
                <w:szCs w:val="24"/>
                <w:lang w:val="en-US" w:eastAsia="zh-CN"/>
              </w:rPr>
              <w:t>因此公司</w:t>
            </w:r>
            <w:r>
              <w:rPr>
                <w:rFonts w:hint="eastAsia"/>
                <w:sz w:val="24"/>
                <w:szCs w:val="24"/>
                <w:lang w:eastAsia="zh-CN"/>
              </w:rPr>
              <w:t>新能源电池行业营业收入较上年同期有所增长；</w:t>
            </w:r>
            <w:r>
              <w:rPr>
                <w:rFonts w:hint="eastAsia"/>
                <w:sz w:val="24"/>
                <w:szCs w:val="24"/>
                <w:lang w:val="en-US" w:eastAsia="zh-CN"/>
              </w:rPr>
              <w:t>此外</w:t>
            </w:r>
            <w:r>
              <w:rPr>
                <w:rFonts w:hint="eastAsia"/>
                <w:sz w:val="24"/>
                <w:szCs w:val="24"/>
                <w:lang w:eastAsia="zh-CN"/>
              </w:rPr>
              <w:t>公司加大其他行业及新领域的产品开发，报告期内新领域产品营业收入金额较上年同期增长较多。</w:t>
            </w:r>
          </w:p>
          <w:p w14:paraId="31892654">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公司2026年上半年净利润同比增长19.68%的原因如下：</w:t>
            </w:r>
            <w:r>
              <w:rPr>
                <w:rFonts w:hint="default"/>
                <w:sz w:val="24"/>
                <w:szCs w:val="24"/>
                <w:lang w:val="en-US" w:eastAsia="zh-CN"/>
              </w:rPr>
              <w:t>（1）本期营业收入较去年同期增长；（2）公司加大应收账款催收力度，本期信用减值损失金额较去年同期大幅减少；（3）本期收到的软件退税金额较去年同期有所增长。</w:t>
            </w:r>
            <w:r>
              <w:rPr>
                <w:rFonts w:hint="eastAsia"/>
                <w:sz w:val="24"/>
                <w:szCs w:val="24"/>
                <w:lang w:val="en-US" w:eastAsia="zh-CN"/>
              </w:rPr>
              <w:t>感谢您的关注。</w:t>
            </w:r>
          </w:p>
          <w:p w14:paraId="1E8E6557">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sz w:val="24"/>
                <w:szCs w:val="24"/>
                <w:lang w:val="en-US" w:eastAsia="zh-CN"/>
              </w:rPr>
            </w:pPr>
          </w:p>
          <w:p w14:paraId="32AAD83C">
            <w:pPr>
              <w:keepNext w:val="0"/>
              <w:keepLines w:val="0"/>
              <w:pageBreakBefore w:val="0"/>
              <w:kinsoku/>
              <w:wordWrap/>
              <w:overflowPunct/>
              <w:topLinePunct w:val="0"/>
              <w:autoSpaceDE/>
              <w:autoSpaceDN/>
              <w:bidi w:val="0"/>
              <w:adjustRightInd/>
              <w:snapToGrid/>
              <w:spacing w:line="360" w:lineRule="auto"/>
              <w:textAlignment w:val="auto"/>
              <w:rPr>
                <w:rFonts w:hint="default"/>
                <w:b/>
                <w:bCs/>
                <w:sz w:val="24"/>
                <w:szCs w:val="24"/>
                <w:highlight w:val="none"/>
                <w:lang w:val="en-US" w:eastAsia="zh-CN"/>
              </w:rPr>
            </w:pPr>
            <w:r>
              <w:rPr>
                <w:rFonts w:hint="eastAsia"/>
                <w:b/>
                <w:bCs/>
                <w:sz w:val="24"/>
                <w:szCs w:val="24"/>
                <w:highlight w:val="none"/>
                <w:lang w:val="en-US" w:eastAsia="zh-CN"/>
              </w:rPr>
              <w:t>5、</w:t>
            </w:r>
            <w:r>
              <w:rPr>
                <w:rFonts w:hint="default"/>
                <w:b/>
                <w:bCs/>
                <w:sz w:val="24"/>
                <w:szCs w:val="24"/>
                <w:highlight w:val="none"/>
                <w:lang w:val="en-US" w:eastAsia="zh-CN"/>
              </w:rPr>
              <w:t>AI训练平台和AI智能相机目前的研发状态如何？</w:t>
            </w:r>
          </w:p>
          <w:p w14:paraId="788384DA">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尊敬的投资者，您好。公</w:t>
            </w:r>
            <w:r>
              <w:rPr>
                <w:rFonts w:hint="default"/>
                <w:sz w:val="24"/>
                <w:szCs w:val="24"/>
                <w:lang w:val="en-US" w:eastAsia="zh-CN"/>
              </w:rPr>
              <w:t>司深耕各行业的自动测控和机器视觉领域十余年，积累了大量数据和应用案例，拥有</w:t>
            </w:r>
            <w:r>
              <w:rPr>
                <w:rFonts w:hint="eastAsia"/>
                <w:sz w:val="24"/>
                <w:szCs w:val="24"/>
                <w:lang w:val="en-US" w:eastAsia="zh-CN"/>
              </w:rPr>
              <w:t>A</w:t>
            </w:r>
            <w:r>
              <w:rPr>
                <w:rFonts w:hint="default"/>
                <w:sz w:val="24"/>
                <w:szCs w:val="24"/>
                <w:lang w:val="en-US" w:eastAsia="zh-CN"/>
              </w:rPr>
              <w:t>I应用项目开发实施经验。根据目前日益增长的AI应用市场需求，公司充分利用积累的资源和经验，在现有自主开发的软件基础上，加以系统化提炼和集合，进行AI训练平台的研发，完成由原始数据到模型的转化。AI训练平台将数据集的自动化标注、数据增强、数据清洗、AI训练、多模型适配、AI部署等全流程整合，解决以往AI实施过程工具碎片化、过程结果可视化差、对实施人员要求高的问题。目前AI训练平台已建成集自动化标注、数据增强、数据清洗、AI训练、多模型适配及AI数据生成于一体的能力体系，支持正负样本联合训练和无监督异常检测建模。此外，公司着手研发将特定AI算法集成到智能相机里，实现AI算力的边缘化高速实时处理，实现更快的检测速度。目前AI智能相机样机硬件已经完成制造，开始整体调试工作。</w:t>
            </w:r>
            <w:r>
              <w:rPr>
                <w:rFonts w:hint="eastAsia"/>
                <w:sz w:val="24"/>
                <w:szCs w:val="24"/>
                <w:lang w:val="en-US" w:eastAsia="zh-CN"/>
              </w:rPr>
              <w:t>感谢您的关注。</w:t>
            </w:r>
          </w:p>
          <w:p w14:paraId="2619AEDF">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sz w:val="24"/>
                <w:szCs w:val="24"/>
                <w:lang w:val="en-US" w:eastAsia="zh-CN"/>
              </w:rPr>
            </w:pPr>
          </w:p>
          <w:p w14:paraId="16D91A04">
            <w:pPr>
              <w:keepNext w:val="0"/>
              <w:keepLines w:val="0"/>
              <w:pageBreakBefore w:val="0"/>
              <w:kinsoku/>
              <w:wordWrap/>
              <w:overflowPunct/>
              <w:topLinePunct w:val="0"/>
              <w:autoSpaceDE/>
              <w:autoSpaceDN/>
              <w:bidi w:val="0"/>
              <w:adjustRightInd/>
              <w:snapToGrid/>
              <w:spacing w:line="360" w:lineRule="auto"/>
              <w:textAlignment w:val="auto"/>
              <w:rPr>
                <w:rFonts w:hint="default"/>
                <w:b/>
                <w:bCs/>
                <w:sz w:val="24"/>
                <w:szCs w:val="24"/>
                <w:highlight w:val="none"/>
                <w:lang w:val="en-US" w:eastAsia="zh-CN"/>
              </w:rPr>
            </w:pPr>
            <w:r>
              <w:rPr>
                <w:rFonts w:hint="eastAsia"/>
                <w:b/>
                <w:bCs/>
                <w:sz w:val="24"/>
                <w:szCs w:val="24"/>
                <w:highlight w:val="none"/>
                <w:lang w:val="en-US" w:eastAsia="zh-CN"/>
              </w:rPr>
              <w:t>6、公司上半年海外业务拓展是否有明显进展？</w:t>
            </w:r>
          </w:p>
          <w:p w14:paraId="54F9B093">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尊敬的投资者，您好。</w:t>
            </w:r>
            <w:r>
              <w:rPr>
                <w:rFonts w:hint="default"/>
                <w:sz w:val="24"/>
                <w:szCs w:val="24"/>
                <w:lang w:val="en-US" w:eastAsia="zh-CN"/>
              </w:rPr>
              <w:t>公司的销售主要集中在境内，</w:t>
            </w:r>
            <w:r>
              <w:rPr>
                <w:rFonts w:hint="eastAsia"/>
                <w:sz w:val="24"/>
                <w:szCs w:val="24"/>
                <w:lang w:val="en-US" w:eastAsia="zh-CN"/>
              </w:rPr>
              <w:t>境外收入占比较低。目前</w:t>
            </w:r>
            <w:r>
              <w:rPr>
                <w:rFonts w:hint="default"/>
                <w:sz w:val="24"/>
                <w:szCs w:val="24"/>
                <w:lang w:val="en-US" w:eastAsia="zh-CN"/>
              </w:rPr>
              <w:t>海外市场的开拓</w:t>
            </w:r>
            <w:r>
              <w:rPr>
                <w:rFonts w:hint="eastAsia"/>
                <w:sz w:val="24"/>
                <w:szCs w:val="24"/>
                <w:lang w:val="en-US" w:eastAsia="zh-CN"/>
              </w:rPr>
              <w:t>正在持续推进中，感谢您的关注。</w:t>
            </w:r>
          </w:p>
          <w:p w14:paraId="2C0A4E11">
            <w:pPr>
              <w:pStyle w:val="28"/>
              <w:spacing w:before="0" w:beforeLines="0"/>
              <w:ind w:firstLine="0" w:firstLineChars="0"/>
              <w:rPr>
                <w:rFonts w:hint="eastAsia"/>
                <w:szCs w:val="24"/>
              </w:rPr>
            </w:pPr>
            <w:bookmarkStart w:id="1" w:name="_GoBack"/>
            <w:bookmarkEnd w:id="1"/>
          </w:p>
        </w:tc>
      </w:tr>
      <w:tr w14:paraId="63F3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449" w:type="dxa"/>
            <w:vAlign w:val="center"/>
          </w:tcPr>
          <w:p w14:paraId="1FE6EB4C">
            <w:pPr>
              <w:jc w:val="center"/>
              <w:rPr>
                <w:sz w:val="24"/>
              </w:rPr>
            </w:pPr>
            <w:r>
              <w:rPr>
                <w:rFonts w:hint="eastAsia"/>
                <w:sz w:val="24"/>
              </w:rPr>
              <w:t>风险提示及说明</w:t>
            </w:r>
          </w:p>
        </w:tc>
        <w:tc>
          <w:tcPr>
            <w:tcW w:w="8196" w:type="dxa"/>
          </w:tcPr>
          <w:p w14:paraId="2D538F01">
            <w:pPr>
              <w:pStyle w:val="28"/>
              <w:spacing w:before="0" w:beforeLines="0"/>
              <w:ind w:firstLine="0" w:firstLineChars="0"/>
              <w:rPr>
                <w:szCs w:val="24"/>
              </w:rPr>
            </w:pPr>
            <w:r>
              <w:rPr>
                <w:rFonts w:hint="eastAsia"/>
                <w:szCs w:val="24"/>
              </w:rPr>
              <w:t>以上如涉及对行业的预测、公司发展规划等相关内容，不代表公司或公司管理层对行业、公司发展或业绩的盈利预测和承诺，不构成公司对投资者的实质性承诺，敬请广大投资者注意投资风险。</w:t>
            </w:r>
          </w:p>
          <w:p w14:paraId="78DD7C3A">
            <w:pPr>
              <w:pStyle w:val="28"/>
              <w:spacing w:before="0" w:beforeLines="0"/>
              <w:ind w:firstLine="0" w:firstLineChars="0"/>
              <w:rPr>
                <w:rFonts w:hint="eastAsia"/>
                <w:szCs w:val="24"/>
              </w:rPr>
            </w:pPr>
            <w:r>
              <w:rPr>
                <w:rFonts w:hint="eastAsia"/>
                <w:szCs w:val="24"/>
              </w:rPr>
              <w:t>投资者接待活动过程中，公司接待人员积极回复投资者提出的问题，严格按照有关制度规定，本次活动不存在应当披露的重大信息。</w:t>
            </w:r>
          </w:p>
        </w:tc>
      </w:tr>
      <w:tr w14:paraId="5B5DF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449" w:type="dxa"/>
            <w:vAlign w:val="center"/>
          </w:tcPr>
          <w:p w14:paraId="24BF2FD4">
            <w:pPr>
              <w:jc w:val="center"/>
              <w:rPr>
                <w:sz w:val="24"/>
              </w:rPr>
            </w:pPr>
            <w:r>
              <w:rPr>
                <w:sz w:val="24"/>
              </w:rPr>
              <w:t>附件清单</w:t>
            </w:r>
          </w:p>
          <w:p w14:paraId="559A8F16">
            <w:pPr>
              <w:jc w:val="center"/>
              <w:rPr>
                <w:sz w:val="24"/>
              </w:rPr>
            </w:pPr>
            <w:r>
              <w:rPr>
                <w:sz w:val="24"/>
              </w:rPr>
              <w:t>（如有）</w:t>
            </w:r>
          </w:p>
        </w:tc>
        <w:tc>
          <w:tcPr>
            <w:tcW w:w="8196" w:type="dxa"/>
          </w:tcPr>
          <w:p w14:paraId="25702C3D">
            <w:pPr>
              <w:spacing w:line="540" w:lineRule="exact"/>
              <w:jc w:val="left"/>
              <w:rPr>
                <w:sz w:val="24"/>
              </w:rPr>
            </w:pPr>
            <w:r>
              <w:rPr>
                <w:rFonts w:hint="eastAsia"/>
                <w:sz w:val="24"/>
              </w:rPr>
              <w:t>无</w:t>
            </w:r>
          </w:p>
        </w:tc>
      </w:tr>
      <w:tr w14:paraId="7CB02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1449" w:type="dxa"/>
          </w:tcPr>
          <w:p w14:paraId="3E556ECB">
            <w:pPr>
              <w:spacing w:line="540" w:lineRule="exact"/>
              <w:jc w:val="center"/>
              <w:rPr>
                <w:sz w:val="24"/>
              </w:rPr>
            </w:pPr>
            <w:r>
              <w:rPr>
                <w:sz w:val="24"/>
              </w:rPr>
              <w:t>日期</w:t>
            </w:r>
          </w:p>
        </w:tc>
        <w:tc>
          <w:tcPr>
            <w:tcW w:w="8196" w:type="dxa"/>
          </w:tcPr>
          <w:p w14:paraId="6E884446">
            <w:pPr>
              <w:spacing w:line="540" w:lineRule="exact"/>
              <w:rPr>
                <w:sz w:val="24"/>
              </w:rPr>
            </w:pPr>
            <w:r>
              <w:rPr>
                <w:rFonts w:hint="eastAsia"/>
                <w:sz w:val="24"/>
              </w:rPr>
              <w:t>2026年</w:t>
            </w:r>
            <w:r>
              <w:rPr>
                <w:rFonts w:hint="eastAsia"/>
                <w:sz w:val="24"/>
                <w:lang w:val="en-US" w:eastAsia="zh-CN"/>
              </w:rPr>
              <w:t>8</w:t>
            </w:r>
            <w:r>
              <w:rPr>
                <w:rFonts w:hint="eastAsia"/>
                <w:sz w:val="24"/>
              </w:rPr>
              <w:t>月</w:t>
            </w:r>
            <w:r>
              <w:rPr>
                <w:rFonts w:hint="eastAsia"/>
                <w:sz w:val="24"/>
                <w:lang w:val="en-US" w:eastAsia="zh-CN"/>
              </w:rPr>
              <w:t>24</w:t>
            </w:r>
            <w:r>
              <w:rPr>
                <w:rFonts w:hint="eastAsia"/>
                <w:sz w:val="24"/>
              </w:rPr>
              <w:t>日</w:t>
            </w:r>
          </w:p>
        </w:tc>
      </w:tr>
    </w:tbl>
    <w:p w14:paraId="0D9B0F1E">
      <w:pPr>
        <w:jc w:val="left"/>
        <w:rPr>
          <w:rFonts w:hint="eastAsia" w:ascii="宋体" w:hAnsi="宋体"/>
          <w:sz w:val="24"/>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siyuan">
    <w:altName w:val="FFont-Family"/>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4NWExNjBmMzA5MDg5OTk3ODg5MmU2MTRkNjFiYjAifQ=="/>
  </w:docVars>
  <w:rsids>
    <w:rsidRoot w:val="00955ED9"/>
    <w:rsid w:val="000200C0"/>
    <w:rsid w:val="00022936"/>
    <w:rsid w:val="00030AAD"/>
    <w:rsid w:val="00032291"/>
    <w:rsid w:val="000364B8"/>
    <w:rsid w:val="00043AB6"/>
    <w:rsid w:val="000449F1"/>
    <w:rsid w:val="00045340"/>
    <w:rsid w:val="0005158D"/>
    <w:rsid w:val="00056B22"/>
    <w:rsid w:val="00061D23"/>
    <w:rsid w:val="00062098"/>
    <w:rsid w:val="0006239E"/>
    <w:rsid w:val="00063E2A"/>
    <w:rsid w:val="00075B67"/>
    <w:rsid w:val="0008094F"/>
    <w:rsid w:val="000911F1"/>
    <w:rsid w:val="000922A9"/>
    <w:rsid w:val="000A08A7"/>
    <w:rsid w:val="000A123F"/>
    <w:rsid w:val="000A358D"/>
    <w:rsid w:val="000C275D"/>
    <w:rsid w:val="000C2FEB"/>
    <w:rsid w:val="000F4276"/>
    <w:rsid w:val="0010245D"/>
    <w:rsid w:val="00105829"/>
    <w:rsid w:val="001069B7"/>
    <w:rsid w:val="001407F8"/>
    <w:rsid w:val="001428C3"/>
    <w:rsid w:val="0014394F"/>
    <w:rsid w:val="0015684D"/>
    <w:rsid w:val="00160101"/>
    <w:rsid w:val="00160FA4"/>
    <w:rsid w:val="00162CB4"/>
    <w:rsid w:val="001705D8"/>
    <w:rsid w:val="00184973"/>
    <w:rsid w:val="001C7C8C"/>
    <w:rsid w:val="001E57B0"/>
    <w:rsid w:val="00200E6D"/>
    <w:rsid w:val="00225231"/>
    <w:rsid w:val="00231DD7"/>
    <w:rsid w:val="002457DD"/>
    <w:rsid w:val="00270CE2"/>
    <w:rsid w:val="00283665"/>
    <w:rsid w:val="00284774"/>
    <w:rsid w:val="00285F3A"/>
    <w:rsid w:val="002C5251"/>
    <w:rsid w:val="002D15C0"/>
    <w:rsid w:val="002E0964"/>
    <w:rsid w:val="002E773E"/>
    <w:rsid w:val="002F2765"/>
    <w:rsid w:val="002F3A1A"/>
    <w:rsid w:val="002F6292"/>
    <w:rsid w:val="003035DD"/>
    <w:rsid w:val="003036FD"/>
    <w:rsid w:val="00324BD7"/>
    <w:rsid w:val="00351CCE"/>
    <w:rsid w:val="00351CD3"/>
    <w:rsid w:val="00357E0C"/>
    <w:rsid w:val="00373B1F"/>
    <w:rsid w:val="00385F1A"/>
    <w:rsid w:val="00386468"/>
    <w:rsid w:val="00387483"/>
    <w:rsid w:val="0039232B"/>
    <w:rsid w:val="00397B26"/>
    <w:rsid w:val="003A0914"/>
    <w:rsid w:val="003A3849"/>
    <w:rsid w:val="003A60F0"/>
    <w:rsid w:val="003A7CCE"/>
    <w:rsid w:val="003C427F"/>
    <w:rsid w:val="003E47A1"/>
    <w:rsid w:val="003F36FF"/>
    <w:rsid w:val="00402C40"/>
    <w:rsid w:val="00403155"/>
    <w:rsid w:val="00412089"/>
    <w:rsid w:val="004225D2"/>
    <w:rsid w:val="00423C6D"/>
    <w:rsid w:val="00434B27"/>
    <w:rsid w:val="00441990"/>
    <w:rsid w:val="004644C9"/>
    <w:rsid w:val="00470B7C"/>
    <w:rsid w:val="00481DEF"/>
    <w:rsid w:val="00485C16"/>
    <w:rsid w:val="0049218D"/>
    <w:rsid w:val="004A576F"/>
    <w:rsid w:val="004B237A"/>
    <w:rsid w:val="004B6C1D"/>
    <w:rsid w:val="004C0EB9"/>
    <w:rsid w:val="004C7E35"/>
    <w:rsid w:val="004E40E0"/>
    <w:rsid w:val="004E6DB7"/>
    <w:rsid w:val="004F4FD9"/>
    <w:rsid w:val="00505E11"/>
    <w:rsid w:val="00511909"/>
    <w:rsid w:val="00513EE0"/>
    <w:rsid w:val="005164DF"/>
    <w:rsid w:val="00517925"/>
    <w:rsid w:val="00524F69"/>
    <w:rsid w:val="005302BF"/>
    <w:rsid w:val="00535BDE"/>
    <w:rsid w:val="0054218A"/>
    <w:rsid w:val="00547C18"/>
    <w:rsid w:val="00552308"/>
    <w:rsid w:val="00594D7E"/>
    <w:rsid w:val="005A2AAA"/>
    <w:rsid w:val="005A7270"/>
    <w:rsid w:val="005B0107"/>
    <w:rsid w:val="005C0C8B"/>
    <w:rsid w:val="005C415D"/>
    <w:rsid w:val="005C5D7C"/>
    <w:rsid w:val="005C776E"/>
    <w:rsid w:val="005F075A"/>
    <w:rsid w:val="005F1AF1"/>
    <w:rsid w:val="00610A40"/>
    <w:rsid w:val="00611636"/>
    <w:rsid w:val="00613E75"/>
    <w:rsid w:val="00614D4D"/>
    <w:rsid w:val="00636F51"/>
    <w:rsid w:val="00646D8A"/>
    <w:rsid w:val="006524AC"/>
    <w:rsid w:val="0065750D"/>
    <w:rsid w:val="00662610"/>
    <w:rsid w:val="0066658D"/>
    <w:rsid w:val="006752EA"/>
    <w:rsid w:val="00677C5C"/>
    <w:rsid w:val="00683D36"/>
    <w:rsid w:val="006A3F13"/>
    <w:rsid w:val="006A6018"/>
    <w:rsid w:val="006A63E6"/>
    <w:rsid w:val="006B5B5B"/>
    <w:rsid w:val="006B6A81"/>
    <w:rsid w:val="006C03D2"/>
    <w:rsid w:val="006D3166"/>
    <w:rsid w:val="006D55FD"/>
    <w:rsid w:val="006D6B46"/>
    <w:rsid w:val="006E39F7"/>
    <w:rsid w:val="006F2208"/>
    <w:rsid w:val="00701DC4"/>
    <w:rsid w:val="0070316D"/>
    <w:rsid w:val="007063BC"/>
    <w:rsid w:val="00716AB5"/>
    <w:rsid w:val="00722312"/>
    <w:rsid w:val="00730FD8"/>
    <w:rsid w:val="00733BED"/>
    <w:rsid w:val="00747F4E"/>
    <w:rsid w:val="00753350"/>
    <w:rsid w:val="00762620"/>
    <w:rsid w:val="007679FE"/>
    <w:rsid w:val="00770E1A"/>
    <w:rsid w:val="00771F07"/>
    <w:rsid w:val="0078559B"/>
    <w:rsid w:val="007A7B36"/>
    <w:rsid w:val="007B019D"/>
    <w:rsid w:val="007B1E06"/>
    <w:rsid w:val="007C41B7"/>
    <w:rsid w:val="007C477A"/>
    <w:rsid w:val="007C6432"/>
    <w:rsid w:val="007D59D6"/>
    <w:rsid w:val="007F4578"/>
    <w:rsid w:val="008105A2"/>
    <w:rsid w:val="00811BB7"/>
    <w:rsid w:val="00812233"/>
    <w:rsid w:val="00817CB9"/>
    <w:rsid w:val="008336F8"/>
    <w:rsid w:val="0084700E"/>
    <w:rsid w:val="00847507"/>
    <w:rsid w:val="008537DC"/>
    <w:rsid w:val="00871E32"/>
    <w:rsid w:val="00872021"/>
    <w:rsid w:val="00883CAE"/>
    <w:rsid w:val="008A64FA"/>
    <w:rsid w:val="008A6A75"/>
    <w:rsid w:val="008A7855"/>
    <w:rsid w:val="008B0CD2"/>
    <w:rsid w:val="008B499A"/>
    <w:rsid w:val="008B5F37"/>
    <w:rsid w:val="008C042F"/>
    <w:rsid w:val="008C1706"/>
    <w:rsid w:val="008C1C96"/>
    <w:rsid w:val="008D01BF"/>
    <w:rsid w:val="008D6252"/>
    <w:rsid w:val="008E30FC"/>
    <w:rsid w:val="00906FF4"/>
    <w:rsid w:val="009109AC"/>
    <w:rsid w:val="00920CA0"/>
    <w:rsid w:val="0093446B"/>
    <w:rsid w:val="00955ED9"/>
    <w:rsid w:val="009A6DF8"/>
    <w:rsid w:val="009A7936"/>
    <w:rsid w:val="009B209D"/>
    <w:rsid w:val="009C2AD9"/>
    <w:rsid w:val="009C4090"/>
    <w:rsid w:val="009C674D"/>
    <w:rsid w:val="009D1E33"/>
    <w:rsid w:val="009D769E"/>
    <w:rsid w:val="009E358A"/>
    <w:rsid w:val="009E5203"/>
    <w:rsid w:val="009E64A0"/>
    <w:rsid w:val="009E7E8A"/>
    <w:rsid w:val="00A221EB"/>
    <w:rsid w:val="00A322B5"/>
    <w:rsid w:val="00A32B10"/>
    <w:rsid w:val="00A43865"/>
    <w:rsid w:val="00A63B7A"/>
    <w:rsid w:val="00A640BB"/>
    <w:rsid w:val="00A67899"/>
    <w:rsid w:val="00A7003F"/>
    <w:rsid w:val="00A83E51"/>
    <w:rsid w:val="00A901B4"/>
    <w:rsid w:val="00A92369"/>
    <w:rsid w:val="00A93129"/>
    <w:rsid w:val="00A978BB"/>
    <w:rsid w:val="00A97B50"/>
    <w:rsid w:val="00AA1868"/>
    <w:rsid w:val="00AA1EC5"/>
    <w:rsid w:val="00AA39A2"/>
    <w:rsid w:val="00AB53C4"/>
    <w:rsid w:val="00AC0FE4"/>
    <w:rsid w:val="00AC2A4D"/>
    <w:rsid w:val="00AC7F40"/>
    <w:rsid w:val="00AE1F64"/>
    <w:rsid w:val="00AE2135"/>
    <w:rsid w:val="00AE6E40"/>
    <w:rsid w:val="00AF2B48"/>
    <w:rsid w:val="00AF6FC7"/>
    <w:rsid w:val="00B02618"/>
    <w:rsid w:val="00B11C73"/>
    <w:rsid w:val="00B4104B"/>
    <w:rsid w:val="00B41A7D"/>
    <w:rsid w:val="00B45782"/>
    <w:rsid w:val="00B45B21"/>
    <w:rsid w:val="00B47D1A"/>
    <w:rsid w:val="00B507CC"/>
    <w:rsid w:val="00B75549"/>
    <w:rsid w:val="00B82977"/>
    <w:rsid w:val="00B831A6"/>
    <w:rsid w:val="00B83708"/>
    <w:rsid w:val="00B957B3"/>
    <w:rsid w:val="00BA001F"/>
    <w:rsid w:val="00BB689D"/>
    <w:rsid w:val="00BB71ED"/>
    <w:rsid w:val="00BC0F5F"/>
    <w:rsid w:val="00BC3A10"/>
    <w:rsid w:val="00BD10F5"/>
    <w:rsid w:val="00BF0CC9"/>
    <w:rsid w:val="00BF2E82"/>
    <w:rsid w:val="00BF3F10"/>
    <w:rsid w:val="00C0492F"/>
    <w:rsid w:val="00C108F3"/>
    <w:rsid w:val="00C2292B"/>
    <w:rsid w:val="00C2780A"/>
    <w:rsid w:val="00C31162"/>
    <w:rsid w:val="00C3422C"/>
    <w:rsid w:val="00C473B0"/>
    <w:rsid w:val="00C54025"/>
    <w:rsid w:val="00C56AF4"/>
    <w:rsid w:val="00C56D43"/>
    <w:rsid w:val="00C7293C"/>
    <w:rsid w:val="00C74393"/>
    <w:rsid w:val="00C950A9"/>
    <w:rsid w:val="00C96EB9"/>
    <w:rsid w:val="00C97046"/>
    <w:rsid w:val="00C9724A"/>
    <w:rsid w:val="00CB210E"/>
    <w:rsid w:val="00CC67AC"/>
    <w:rsid w:val="00CC6BF3"/>
    <w:rsid w:val="00CE1EC5"/>
    <w:rsid w:val="00D064E8"/>
    <w:rsid w:val="00D14478"/>
    <w:rsid w:val="00D254BA"/>
    <w:rsid w:val="00D322A0"/>
    <w:rsid w:val="00D519CB"/>
    <w:rsid w:val="00D73699"/>
    <w:rsid w:val="00DA1F96"/>
    <w:rsid w:val="00DA48FB"/>
    <w:rsid w:val="00DB19E2"/>
    <w:rsid w:val="00DB2268"/>
    <w:rsid w:val="00DB27E8"/>
    <w:rsid w:val="00DC6918"/>
    <w:rsid w:val="00DD14A2"/>
    <w:rsid w:val="00DD2DBD"/>
    <w:rsid w:val="00DD4AD9"/>
    <w:rsid w:val="00DE1E62"/>
    <w:rsid w:val="00DE7045"/>
    <w:rsid w:val="00DE732D"/>
    <w:rsid w:val="00E01E3E"/>
    <w:rsid w:val="00E02570"/>
    <w:rsid w:val="00E0292C"/>
    <w:rsid w:val="00E05E49"/>
    <w:rsid w:val="00E12C0D"/>
    <w:rsid w:val="00E16BFE"/>
    <w:rsid w:val="00E3061D"/>
    <w:rsid w:val="00E32D50"/>
    <w:rsid w:val="00E74FAE"/>
    <w:rsid w:val="00E81D05"/>
    <w:rsid w:val="00E832B6"/>
    <w:rsid w:val="00E868E1"/>
    <w:rsid w:val="00E912EF"/>
    <w:rsid w:val="00E93C9A"/>
    <w:rsid w:val="00E93F5E"/>
    <w:rsid w:val="00EA2FCB"/>
    <w:rsid w:val="00EA4C20"/>
    <w:rsid w:val="00EA6E6A"/>
    <w:rsid w:val="00EC75FE"/>
    <w:rsid w:val="00ED4979"/>
    <w:rsid w:val="00ED5D58"/>
    <w:rsid w:val="00EF4272"/>
    <w:rsid w:val="00F03B54"/>
    <w:rsid w:val="00F519E3"/>
    <w:rsid w:val="00F57D55"/>
    <w:rsid w:val="00F61BFD"/>
    <w:rsid w:val="00F75FA2"/>
    <w:rsid w:val="00F85B27"/>
    <w:rsid w:val="00F86EFF"/>
    <w:rsid w:val="00FB079F"/>
    <w:rsid w:val="00FB12F8"/>
    <w:rsid w:val="00FB3D2C"/>
    <w:rsid w:val="00FD09E0"/>
    <w:rsid w:val="00FD623C"/>
    <w:rsid w:val="00FE0224"/>
    <w:rsid w:val="00FE0C8F"/>
    <w:rsid w:val="00FE44FD"/>
    <w:rsid w:val="00FF1EF3"/>
    <w:rsid w:val="00FF3A15"/>
    <w:rsid w:val="00FF6380"/>
    <w:rsid w:val="01DD1E9F"/>
    <w:rsid w:val="024B5F91"/>
    <w:rsid w:val="025A34EF"/>
    <w:rsid w:val="03064DAE"/>
    <w:rsid w:val="03653EFA"/>
    <w:rsid w:val="03F2717B"/>
    <w:rsid w:val="046A40FD"/>
    <w:rsid w:val="04A10F62"/>
    <w:rsid w:val="04A23867"/>
    <w:rsid w:val="04E452F2"/>
    <w:rsid w:val="057448C8"/>
    <w:rsid w:val="082A74C0"/>
    <w:rsid w:val="08D631A4"/>
    <w:rsid w:val="0A7A51D9"/>
    <w:rsid w:val="0ABD2BD6"/>
    <w:rsid w:val="0B9A495D"/>
    <w:rsid w:val="0BEA58E4"/>
    <w:rsid w:val="0C4B5C57"/>
    <w:rsid w:val="0CF06F2A"/>
    <w:rsid w:val="0E3A41D5"/>
    <w:rsid w:val="0E5531FB"/>
    <w:rsid w:val="0E6F0323"/>
    <w:rsid w:val="0E776122"/>
    <w:rsid w:val="0F0C2FD0"/>
    <w:rsid w:val="0F7200CA"/>
    <w:rsid w:val="10855BDB"/>
    <w:rsid w:val="10AE15C3"/>
    <w:rsid w:val="10C350C1"/>
    <w:rsid w:val="10F231DF"/>
    <w:rsid w:val="1117506F"/>
    <w:rsid w:val="111A4B70"/>
    <w:rsid w:val="11AF4195"/>
    <w:rsid w:val="122E5DFF"/>
    <w:rsid w:val="125910CE"/>
    <w:rsid w:val="12802AFE"/>
    <w:rsid w:val="129B7938"/>
    <w:rsid w:val="12C30C3D"/>
    <w:rsid w:val="14812B5E"/>
    <w:rsid w:val="14BE16BC"/>
    <w:rsid w:val="14C52A4A"/>
    <w:rsid w:val="15FD6214"/>
    <w:rsid w:val="16432F89"/>
    <w:rsid w:val="16EA2C3C"/>
    <w:rsid w:val="173043C7"/>
    <w:rsid w:val="179E7583"/>
    <w:rsid w:val="181066D2"/>
    <w:rsid w:val="1A50511F"/>
    <w:rsid w:val="1B4072CF"/>
    <w:rsid w:val="1B5E6896"/>
    <w:rsid w:val="1BCF41AF"/>
    <w:rsid w:val="1BF63E31"/>
    <w:rsid w:val="1C535F4A"/>
    <w:rsid w:val="1C6E7E6B"/>
    <w:rsid w:val="1CCC6940"/>
    <w:rsid w:val="1CE35C57"/>
    <w:rsid w:val="1DB00010"/>
    <w:rsid w:val="1DE008F5"/>
    <w:rsid w:val="1E075E82"/>
    <w:rsid w:val="1E33787C"/>
    <w:rsid w:val="1E9F430C"/>
    <w:rsid w:val="1ED22B82"/>
    <w:rsid w:val="1F66307C"/>
    <w:rsid w:val="20047259"/>
    <w:rsid w:val="20496733"/>
    <w:rsid w:val="20E05780"/>
    <w:rsid w:val="211D59BC"/>
    <w:rsid w:val="211F46C2"/>
    <w:rsid w:val="21B7196D"/>
    <w:rsid w:val="224D20BA"/>
    <w:rsid w:val="235A6E60"/>
    <w:rsid w:val="23802022"/>
    <w:rsid w:val="23BC14BC"/>
    <w:rsid w:val="25E457F2"/>
    <w:rsid w:val="260D62C5"/>
    <w:rsid w:val="263E08AF"/>
    <w:rsid w:val="26461511"/>
    <w:rsid w:val="2674607E"/>
    <w:rsid w:val="26A12BEB"/>
    <w:rsid w:val="26DB4109"/>
    <w:rsid w:val="27353746"/>
    <w:rsid w:val="27691941"/>
    <w:rsid w:val="28612632"/>
    <w:rsid w:val="288F719F"/>
    <w:rsid w:val="29D82DC8"/>
    <w:rsid w:val="2A410134"/>
    <w:rsid w:val="2A4B4BF1"/>
    <w:rsid w:val="2B4F5948"/>
    <w:rsid w:val="2B5D17D7"/>
    <w:rsid w:val="2BC25ADE"/>
    <w:rsid w:val="2C8E72AF"/>
    <w:rsid w:val="2D621714"/>
    <w:rsid w:val="2E2069F4"/>
    <w:rsid w:val="2F2A5E74"/>
    <w:rsid w:val="30662EDC"/>
    <w:rsid w:val="3102072B"/>
    <w:rsid w:val="31774C75"/>
    <w:rsid w:val="32140715"/>
    <w:rsid w:val="32252923"/>
    <w:rsid w:val="326C2300"/>
    <w:rsid w:val="337771AE"/>
    <w:rsid w:val="341D5FA7"/>
    <w:rsid w:val="3428494C"/>
    <w:rsid w:val="3442156A"/>
    <w:rsid w:val="349B38F8"/>
    <w:rsid w:val="34C53F49"/>
    <w:rsid w:val="357240D1"/>
    <w:rsid w:val="35B30245"/>
    <w:rsid w:val="35F76384"/>
    <w:rsid w:val="36AC53C0"/>
    <w:rsid w:val="36FA25D0"/>
    <w:rsid w:val="376D0FF4"/>
    <w:rsid w:val="38156F95"/>
    <w:rsid w:val="38267F5A"/>
    <w:rsid w:val="38797524"/>
    <w:rsid w:val="38EA6674"/>
    <w:rsid w:val="3AC727C9"/>
    <w:rsid w:val="3AE056A7"/>
    <w:rsid w:val="3B00217F"/>
    <w:rsid w:val="3B563B4D"/>
    <w:rsid w:val="3BC94845"/>
    <w:rsid w:val="3C2E6878"/>
    <w:rsid w:val="3C320116"/>
    <w:rsid w:val="3CFC5A39"/>
    <w:rsid w:val="3DA46DF1"/>
    <w:rsid w:val="3E8C147B"/>
    <w:rsid w:val="3EBB73C7"/>
    <w:rsid w:val="3EF61028"/>
    <w:rsid w:val="3F19744F"/>
    <w:rsid w:val="3F9D28CE"/>
    <w:rsid w:val="40907B01"/>
    <w:rsid w:val="40D1201B"/>
    <w:rsid w:val="41D54F0A"/>
    <w:rsid w:val="426C1EA8"/>
    <w:rsid w:val="42A66AD1"/>
    <w:rsid w:val="43087D58"/>
    <w:rsid w:val="434846C3"/>
    <w:rsid w:val="43E268C5"/>
    <w:rsid w:val="44366C11"/>
    <w:rsid w:val="4476700E"/>
    <w:rsid w:val="449415E2"/>
    <w:rsid w:val="44B76D66"/>
    <w:rsid w:val="44BF6C07"/>
    <w:rsid w:val="454C3CB1"/>
    <w:rsid w:val="45C67B21"/>
    <w:rsid w:val="45E3194E"/>
    <w:rsid w:val="4691012F"/>
    <w:rsid w:val="475B5D5A"/>
    <w:rsid w:val="475D6041"/>
    <w:rsid w:val="4772112D"/>
    <w:rsid w:val="47C00CCC"/>
    <w:rsid w:val="47E9650D"/>
    <w:rsid w:val="48474F56"/>
    <w:rsid w:val="48FB5D34"/>
    <w:rsid w:val="492E7EB7"/>
    <w:rsid w:val="4A9A51B6"/>
    <w:rsid w:val="4AD827D0"/>
    <w:rsid w:val="4AF84095"/>
    <w:rsid w:val="4AFD407E"/>
    <w:rsid w:val="4BAF082E"/>
    <w:rsid w:val="4C83676C"/>
    <w:rsid w:val="4DE4323A"/>
    <w:rsid w:val="4DF60BEA"/>
    <w:rsid w:val="4F183BE6"/>
    <w:rsid w:val="4FE47521"/>
    <w:rsid w:val="503C110B"/>
    <w:rsid w:val="504E15BD"/>
    <w:rsid w:val="50887115"/>
    <w:rsid w:val="515B7CB7"/>
    <w:rsid w:val="516A3A56"/>
    <w:rsid w:val="51887D83"/>
    <w:rsid w:val="518A774A"/>
    <w:rsid w:val="52171E30"/>
    <w:rsid w:val="52274C06"/>
    <w:rsid w:val="52481FEA"/>
    <w:rsid w:val="535A5977"/>
    <w:rsid w:val="53E47AF0"/>
    <w:rsid w:val="53E93358"/>
    <w:rsid w:val="54870351"/>
    <w:rsid w:val="54F621D1"/>
    <w:rsid w:val="5509043B"/>
    <w:rsid w:val="55D1679A"/>
    <w:rsid w:val="56821842"/>
    <w:rsid w:val="5798756F"/>
    <w:rsid w:val="57A33C6D"/>
    <w:rsid w:val="58331046"/>
    <w:rsid w:val="585E773A"/>
    <w:rsid w:val="58B73A25"/>
    <w:rsid w:val="58ED38EB"/>
    <w:rsid w:val="593B2894"/>
    <w:rsid w:val="59A27657"/>
    <w:rsid w:val="59C96DF2"/>
    <w:rsid w:val="5AA1498D"/>
    <w:rsid w:val="5B0E7B48"/>
    <w:rsid w:val="5B0F0F1D"/>
    <w:rsid w:val="5BA10F5E"/>
    <w:rsid w:val="5C387DB0"/>
    <w:rsid w:val="5C4750C0"/>
    <w:rsid w:val="5C81185E"/>
    <w:rsid w:val="5DBC7D30"/>
    <w:rsid w:val="5DDC06E4"/>
    <w:rsid w:val="5E5B30A5"/>
    <w:rsid w:val="5EAE7678"/>
    <w:rsid w:val="5ECE7E14"/>
    <w:rsid w:val="5F3C2ED6"/>
    <w:rsid w:val="5FE5356E"/>
    <w:rsid w:val="601E25DC"/>
    <w:rsid w:val="60457B68"/>
    <w:rsid w:val="616E30EF"/>
    <w:rsid w:val="61E17D65"/>
    <w:rsid w:val="61EF4230"/>
    <w:rsid w:val="62856942"/>
    <w:rsid w:val="634E31D8"/>
    <w:rsid w:val="635A1B7D"/>
    <w:rsid w:val="636E5628"/>
    <w:rsid w:val="63D61F40"/>
    <w:rsid w:val="63E31B72"/>
    <w:rsid w:val="63E975E8"/>
    <w:rsid w:val="63FA3360"/>
    <w:rsid w:val="64590B37"/>
    <w:rsid w:val="64D01BC1"/>
    <w:rsid w:val="653B3C30"/>
    <w:rsid w:val="65B37C6A"/>
    <w:rsid w:val="65D200F0"/>
    <w:rsid w:val="66186DCB"/>
    <w:rsid w:val="66632CA7"/>
    <w:rsid w:val="6742608D"/>
    <w:rsid w:val="684B1530"/>
    <w:rsid w:val="684D1CB0"/>
    <w:rsid w:val="68AF64C7"/>
    <w:rsid w:val="68CD34B9"/>
    <w:rsid w:val="68FC5484"/>
    <w:rsid w:val="699F29DF"/>
    <w:rsid w:val="6A4B66C3"/>
    <w:rsid w:val="6B095C95"/>
    <w:rsid w:val="6CB4125F"/>
    <w:rsid w:val="6CC30793"/>
    <w:rsid w:val="6CFE20B7"/>
    <w:rsid w:val="6D374CDD"/>
    <w:rsid w:val="6DC95B6B"/>
    <w:rsid w:val="6DD61E50"/>
    <w:rsid w:val="6DD662A4"/>
    <w:rsid w:val="6E1B63AC"/>
    <w:rsid w:val="6EB760D5"/>
    <w:rsid w:val="6F7B4CFB"/>
    <w:rsid w:val="6F7B7FF9"/>
    <w:rsid w:val="6FCC5BB0"/>
    <w:rsid w:val="70346FC6"/>
    <w:rsid w:val="70904E30"/>
    <w:rsid w:val="70B64C9A"/>
    <w:rsid w:val="70FF23EA"/>
    <w:rsid w:val="71037A4C"/>
    <w:rsid w:val="71341C5F"/>
    <w:rsid w:val="71B73552"/>
    <w:rsid w:val="71CF29F1"/>
    <w:rsid w:val="72393F24"/>
    <w:rsid w:val="727918F3"/>
    <w:rsid w:val="734D092E"/>
    <w:rsid w:val="73F12089"/>
    <w:rsid w:val="741D6AA8"/>
    <w:rsid w:val="747B287D"/>
    <w:rsid w:val="74980E3C"/>
    <w:rsid w:val="74F71921"/>
    <w:rsid w:val="753C2EB5"/>
    <w:rsid w:val="7553467E"/>
    <w:rsid w:val="75631015"/>
    <w:rsid w:val="75632737"/>
    <w:rsid w:val="76B86A05"/>
    <w:rsid w:val="7726029C"/>
    <w:rsid w:val="779F004E"/>
    <w:rsid w:val="77C96E79"/>
    <w:rsid w:val="78016613"/>
    <w:rsid w:val="78646965"/>
    <w:rsid w:val="78A23952"/>
    <w:rsid w:val="78E55F35"/>
    <w:rsid w:val="795A422D"/>
    <w:rsid w:val="7AAA4D40"/>
    <w:rsid w:val="7AC34C4F"/>
    <w:rsid w:val="7B7B66DC"/>
    <w:rsid w:val="7BFC4543"/>
    <w:rsid w:val="7C37080D"/>
    <w:rsid w:val="7C40241F"/>
    <w:rsid w:val="7C683105"/>
    <w:rsid w:val="7CAA7279"/>
    <w:rsid w:val="7CCC3693"/>
    <w:rsid w:val="7D7D2BE0"/>
    <w:rsid w:val="7D985324"/>
    <w:rsid w:val="7DC963A8"/>
    <w:rsid w:val="7DFE2A11"/>
    <w:rsid w:val="7EB121D4"/>
    <w:rsid w:val="7ECC44F9"/>
    <w:rsid w:val="7F710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6"/>
    <w:semiHidden/>
    <w:unhideWhenUsed/>
    <w:qFormat/>
    <w:uiPriority w:val="99"/>
    <w:pPr>
      <w:jc w:val="left"/>
    </w:pPr>
  </w:style>
  <w:style w:type="paragraph" w:styleId="3">
    <w:name w:val="Body Text"/>
    <w:basedOn w:val="1"/>
    <w:qFormat/>
    <w:uiPriority w:val="1"/>
    <w:pPr>
      <w:ind w:left="220" w:firstLine="479"/>
    </w:pPr>
    <w:rPr>
      <w:rFonts w:ascii="宋体" w:hAnsi="宋体" w:cs="宋体"/>
      <w:sz w:val="24"/>
      <w:lang w:val="zh-CN" w:bidi="zh-CN"/>
    </w:rPr>
  </w:style>
  <w:style w:type="paragraph" w:styleId="4">
    <w:name w:val="Plain Text"/>
    <w:basedOn w:val="1"/>
    <w:qFormat/>
    <w:uiPriority w:val="0"/>
    <w:pPr>
      <w:jc w:val="left"/>
    </w:pPr>
    <w:rPr>
      <w:rFonts w:ascii="MingLiU" w:hAnsi="Courier New" w:eastAsia="MingLiU"/>
      <w:sz w:val="24"/>
      <w:szCs w:val="20"/>
      <w:lang w:eastAsia="zh-TW"/>
    </w:rPr>
  </w:style>
  <w:style w:type="paragraph" w:styleId="5">
    <w:name w:val="Balloon Text"/>
    <w:basedOn w:val="1"/>
    <w:link w:val="25"/>
    <w:semiHidden/>
    <w:unhideWhenUsed/>
    <w:qFormat/>
    <w:uiPriority w:val="99"/>
    <w:rPr>
      <w:sz w:val="18"/>
      <w:szCs w:val="18"/>
    </w:rPr>
  </w:style>
  <w:style w:type="paragraph" w:styleId="6">
    <w:name w:val="footer"/>
    <w:basedOn w:val="1"/>
    <w:link w:val="2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footnote text"/>
    <w:basedOn w:val="1"/>
    <w:qFormat/>
    <w:uiPriority w:val="99"/>
    <w:pPr>
      <w:snapToGrid w:val="0"/>
      <w:jc w:val="left"/>
    </w:pPr>
    <w:rPr>
      <w:sz w:val="18"/>
      <w:szCs w:val="18"/>
    </w:rPr>
  </w:style>
  <w:style w:type="paragraph" w:styleId="9">
    <w:name w:val="HTML Preformatted"/>
    <w:basedOn w:val="1"/>
    <w:link w:val="29"/>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Title"/>
    <w:basedOn w:val="1"/>
    <w:next w:val="1"/>
    <w:link w:val="23"/>
    <w:qFormat/>
    <w:uiPriority w:val="0"/>
    <w:pPr>
      <w:spacing w:before="240" w:after="60"/>
      <w:jc w:val="center"/>
      <w:outlineLvl w:val="0"/>
    </w:pPr>
    <w:rPr>
      <w:rFonts w:ascii="Cambria" w:hAnsi="Cambria"/>
      <w:b/>
      <w:bCs/>
      <w:sz w:val="32"/>
      <w:szCs w:val="32"/>
    </w:rPr>
  </w:style>
  <w:style w:type="paragraph" w:styleId="12">
    <w:name w:val="annotation subject"/>
    <w:basedOn w:val="2"/>
    <w:next w:val="2"/>
    <w:link w:val="27"/>
    <w:semiHidden/>
    <w:unhideWhenUsed/>
    <w:qFormat/>
    <w:uiPriority w:val="99"/>
    <w:rPr>
      <w:b/>
      <w:bCs/>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rPr>
  </w:style>
  <w:style w:type="character" w:styleId="17">
    <w:name w:val="page number"/>
    <w:basedOn w:val="15"/>
    <w:qFormat/>
    <w:uiPriority w:val="0"/>
  </w:style>
  <w:style w:type="character" w:styleId="18">
    <w:name w:val="Hyperlink"/>
    <w:basedOn w:val="15"/>
    <w:semiHidden/>
    <w:unhideWhenUsed/>
    <w:qFormat/>
    <w:uiPriority w:val="99"/>
    <w:rPr>
      <w:color w:val="0000FF"/>
      <w:u w:val="single"/>
    </w:rPr>
  </w:style>
  <w:style w:type="character" w:styleId="19">
    <w:name w:val="annotation reference"/>
    <w:basedOn w:val="15"/>
    <w:semiHidden/>
    <w:unhideWhenUsed/>
    <w:qFormat/>
    <w:uiPriority w:val="99"/>
    <w:rPr>
      <w:sz w:val="21"/>
      <w:szCs w:val="21"/>
    </w:rPr>
  </w:style>
  <w:style w:type="character" w:styleId="20">
    <w:name w:val="footnote reference"/>
    <w:qFormat/>
    <w:uiPriority w:val="99"/>
    <w:rPr>
      <w:vertAlign w:val="superscript"/>
    </w:rPr>
  </w:style>
  <w:style w:type="character" w:customStyle="1" w:styleId="21">
    <w:name w:val="页眉 字符"/>
    <w:basedOn w:val="15"/>
    <w:link w:val="7"/>
    <w:qFormat/>
    <w:uiPriority w:val="99"/>
    <w:rPr>
      <w:sz w:val="18"/>
      <w:szCs w:val="18"/>
    </w:rPr>
  </w:style>
  <w:style w:type="character" w:customStyle="1" w:styleId="22">
    <w:name w:val="页脚 字符"/>
    <w:basedOn w:val="15"/>
    <w:link w:val="6"/>
    <w:qFormat/>
    <w:uiPriority w:val="99"/>
    <w:rPr>
      <w:sz w:val="18"/>
      <w:szCs w:val="18"/>
    </w:rPr>
  </w:style>
  <w:style w:type="character" w:customStyle="1" w:styleId="23">
    <w:name w:val="标题 字符"/>
    <w:basedOn w:val="15"/>
    <w:link w:val="11"/>
    <w:qFormat/>
    <w:uiPriority w:val="0"/>
    <w:rPr>
      <w:rFonts w:ascii="Cambria" w:hAnsi="Cambria" w:eastAsia="宋体" w:cs="Times New Roman"/>
      <w:b/>
      <w:bCs/>
      <w:sz w:val="32"/>
      <w:szCs w:val="32"/>
    </w:rPr>
  </w:style>
  <w:style w:type="paragraph" w:styleId="24">
    <w:name w:val="List Paragraph"/>
    <w:basedOn w:val="1"/>
    <w:unhideWhenUsed/>
    <w:qFormat/>
    <w:uiPriority w:val="99"/>
    <w:pPr>
      <w:ind w:firstLine="420" w:firstLineChars="200"/>
    </w:pPr>
  </w:style>
  <w:style w:type="character" w:customStyle="1" w:styleId="25">
    <w:name w:val="批注框文本 字符"/>
    <w:basedOn w:val="15"/>
    <w:link w:val="5"/>
    <w:semiHidden/>
    <w:qFormat/>
    <w:uiPriority w:val="99"/>
    <w:rPr>
      <w:rFonts w:ascii="Times New Roman" w:hAnsi="Times New Roman" w:eastAsia="宋体" w:cs="Times New Roman"/>
      <w:kern w:val="2"/>
      <w:sz w:val="18"/>
      <w:szCs w:val="18"/>
    </w:rPr>
  </w:style>
  <w:style w:type="character" w:customStyle="1" w:styleId="26">
    <w:name w:val="批注文字 字符"/>
    <w:basedOn w:val="15"/>
    <w:link w:val="2"/>
    <w:semiHidden/>
    <w:qFormat/>
    <w:uiPriority w:val="99"/>
    <w:rPr>
      <w:rFonts w:ascii="Times New Roman" w:hAnsi="Times New Roman" w:eastAsia="宋体" w:cs="Times New Roman"/>
      <w:kern w:val="2"/>
      <w:sz w:val="21"/>
      <w:szCs w:val="24"/>
    </w:rPr>
  </w:style>
  <w:style w:type="character" w:customStyle="1" w:styleId="27">
    <w:name w:val="批注主题 字符"/>
    <w:basedOn w:val="26"/>
    <w:link w:val="12"/>
    <w:semiHidden/>
    <w:qFormat/>
    <w:uiPriority w:val="99"/>
    <w:rPr>
      <w:rFonts w:ascii="Times New Roman" w:hAnsi="Times New Roman" w:eastAsia="宋体" w:cs="Times New Roman"/>
      <w:b/>
      <w:bCs/>
      <w:kern w:val="2"/>
      <w:sz w:val="21"/>
      <w:szCs w:val="24"/>
    </w:rPr>
  </w:style>
  <w:style w:type="paragraph" w:customStyle="1" w:styleId="28">
    <w:name w:val="005正文"/>
    <w:qFormat/>
    <w:uiPriority w:val="0"/>
    <w:pPr>
      <w:widowControl w:val="0"/>
      <w:spacing w:before="50" w:beforeLines="50" w:line="360" w:lineRule="auto"/>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29">
    <w:name w:val="HTML 预设格式 字符"/>
    <w:basedOn w:val="15"/>
    <w:link w:val="9"/>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A98EF-3506-4A27-A3B2-2F6A24793EE9}">
  <ds:schemaRefs/>
</ds:datastoreItem>
</file>

<file path=docProps/app.xml><?xml version="1.0" encoding="utf-8"?>
<Properties xmlns="http://schemas.openxmlformats.org/officeDocument/2006/extended-properties" xmlns:vt="http://schemas.openxmlformats.org/officeDocument/2006/docPropsVTypes">
  <Template>Normal</Template>
  <Pages>4</Pages>
  <Words>2089</Words>
  <Characters>2206</Characters>
  <Lines>10</Lines>
  <Paragraphs>2</Paragraphs>
  <TotalTime>4</TotalTime>
  <ScaleCrop>false</ScaleCrop>
  <LinksUpToDate>false</LinksUpToDate>
  <CharactersWithSpaces>2422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2022-12-08T07:47:00Z</dcterms:created>
  <dc:creator>凌云光-丁文思</dc:creator>
  <cp:lastModifiedBy>包</cp:lastModifiedBy>
  <cp:lastPrinted>2022-07-14T03:06:00Z</cp:lastPrinted>
  <dcterms:modified xsi:type="dcterms:W3CDTF">2026-08-24T08:09:38Z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2CD84E9C91614684BE7E44E22CB50D4A</vt:lpwstr>
  </property>
  <property fmtid="{D5CDD505-2E9C-101B-9397-08002B2CF9AE}" pid="4" name="KSOTemplateDocerSaveRecord">
    <vt:lpwstr>eyJoZGlkIjoiZjU3NTEzYjdmZDRjOWIyZWQ0ZTBjMjdlYTU2M2M5NWUiLCJ1c2VySWQiOiI1MDAxMTg2MjEifQ==</vt:lpwstr>
  </property>
</Properties>
</file>