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3C1F42">
      <w:pPr>
        <w:outlineLvl w:val="0"/>
        <w:rPr>
          <w:rFonts w:ascii="宋体" w:hAnsi="宋体" w:cs="宋体"/>
          <w:iCs/>
          <w:color w:val="000000" w:themeColor="text1"/>
          <w:sz w:val="24"/>
          <w14:textFill>
            <w14:solidFill>
              <w14:schemeClr w14:val="tx1"/>
            </w14:solidFill>
          </w14:textFill>
        </w:rPr>
      </w:pPr>
      <w:r>
        <w:rPr>
          <w:rFonts w:hint="eastAsia" w:ascii="宋体" w:hAnsi="宋体" w:cs="宋体"/>
          <w:iCs/>
          <w:color w:val="000000" w:themeColor="text1"/>
          <w:sz w:val="24"/>
          <w14:textFill>
            <w14:solidFill>
              <w14:schemeClr w14:val="tx1"/>
            </w14:solidFill>
          </w14:textFill>
        </w:rPr>
        <w:t>证券代码688151                                   证券简称：华强科技</w:t>
      </w:r>
    </w:p>
    <w:p w14:paraId="09DC3900">
      <w:pPr>
        <w:spacing w:before="312" w:beforeLines="100" w:after="312" w:afterLines="100"/>
        <w:jc w:val="center"/>
        <w:outlineLvl w:val="0"/>
        <w:rPr>
          <w:rFonts w:ascii="黑体" w:hAnsi="黑体" w:eastAsia="黑体"/>
          <w:iCs/>
          <w:color w:val="000000" w:themeColor="text1"/>
          <w:sz w:val="30"/>
          <w:szCs w:val="30"/>
          <w14:textFill>
            <w14:solidFill>
              <w14:schemeClr w14:val="tx1"/>
            </w14:solidFill>
          </w14:textFill>
        </w:rPr>
      </w:pPr>
      <w:r>
        <w:rPr>
          <w:rFonts w:hint="eastAsia" w:ascii="黑体" w:hAnsi="黑体" w:eastAsia="黑体"/>
          <w:iCs/>
          <w:color w:val="000000" w:themeColor="text1"/>
          <w:sz w:val="30"/>
          <w:szCs w:val="30"/>
          <w14:textFill>
            <w14:solidFill>
              <w14:schemeClr w14:val="tx1"/>
            </w14:solidFill>
          </w14:textFill>
        </w:rPr>
        <w:t>湖北华强科技股份有限公司投资者关系活动记录表</w:t>
      </w:r>
    </w:p>
    <w:p w14:paraId="2A2F0600">
      <w:pPr>
        <w:spacing w:before="156" w:beforeLines="50" w:after="156" w:afterLines="50" w:line="500" w:lineRule="exact"/>
        <w:jc w:val="right"/>
        <w:outlineLvl w:val="0"/>
        <w:rPr>
          <w:rFonts w:hint="default" w:ascii="Times New Roman" w:hAnsi="Times New Roman" w:eastAsia="仿宋_GB2312"/>
          <w:iCs/>
          <w:color w:val="000000" w:themeColor="text1"/>
          <w:sz w:val="28"/>
          <w:szCs w:val="28"/>
          <w:lang w:val="en-US" w:eastAsia="zh-CN"/>
          <w14:textFill>
            <w14:solidFill>
              <w14:schemeClr w14:val="tx1"/>
            </w14:solidFill>
          </w14:textFill>
        </w:rPr>
      </w:pPr>
      <w:r>
        <w:rPr>
          <w:rFonts w:hint="eastAsia" w:ascii="Times New Roman" w:hAnsi="Times New Roman" w:eastAsia="仿宋_GB2312"/>
          <w:bCs/>
          <w:iCs/>
          <w:color w:val="000000" w:themeColor="text1"/>
          <w:sz w:val="28"/>
          <w:szCs w:val="28"/>
          <w14:textFill>
            <w14:solidFill>
              <w14:schemeClr w14:val="tx1"/>
            </w14:solidFill>
          </w14:textFill>
        </w:rPr>
        <w:t>编号：2</w:t>
      </w:r>
      <w:r>
        <w:rPr>
          <w:rFonts w:ascii="Times New Roman" w:hAnsi="Times New Roman" w:eastAsia="仿宋_GB2312"/>
          <w:bCs/>
          <w:iCs/>
          <w:color w:val="000000" w:themeColor="text1"/>
          <w:sz w:val="28"/>
          <w:szCs w:val="28"/>
          <w14:textFill>
            <w14:solidFill>
              <w14:schemeClr w14:val="tx1"/>
            </w14:solidFill>
          </w14:textFill>
        </w:rPr>
        <w:t>02</w:t>
      </w:r>
      <w:r>
        <w:rPr>
          <w:rFonts w:hint="eastAsia" w:eastAsia="仿宋_GB2312"/>
          <w:bCs/>
          <w:iCs/>
          <w:color w:val="000000" w:themeColor="text1"/>
          <w:sz w:val="28"/>
          <w:szCs w:val="28"/>
          <w:lang w:val="en-US" w:eastAsia="zh-CN"/>
          <w14:textFill>
            <w14:solidFill>
              <w14:schemeClr w14:val="tx1"/>
            </w14:solidFill>
          </w14:textFill>
        </w:rPr>
        <w:t>6</w:t>
      </w:r>
      <w:r>
        <w:rPr>
          <w:rFonts w:ascii="Times New Roman" w:hAnsi="Times New Roman" w:eastAsia="仿宋_GB2312"/>
          <w:bCs/>
          <w:iCs/>
          <w:color w:val="000000" w:themeColor="text1"/>
          <w:sz w:val="28"/>
          <w:szCs w:val="28"/>
          <w14:textFill>
            <w14:solidFill>
              <w14:schemeClr w14:val="tx1"/>
            </w14:solidFill>
          </w14:textFill>
        </w:rPr>
        <w:t>-</w:t>
      </w:r>
      <w:r>
        <w:rPr>
          <w:rFonts w:hint="eastAsia" w:ascii="Times New Roman" w:hAnsi="Times New Roman" w:eastAsia="仿宋_GB2312"/>
          <w:bCs/>
          <w:iCs/>
          <w:color w:val="000000" w:themeColor="text1"/>
          <w:sz w:val="28"/>
          <w:szCs w:val="28"/>
          <w14:textFill>
            <w14:solidFill>
              <w14:schemeClr w14:val="tx1"/>
            </w14:solidFill>
          </w14:textFill>
        </w:rPr>
        <w:t>0</w:t>
      </w:r>
      <w:r>
        <w:rPr>
          <w:rFonts w:hint="eastAsia" w:eastAsia="仿宋_GB2312"/>
          <w:bCs/>
          <w:iCs/>
          <w:color w:val="000000" w:themeColor="text1"/>
          <w:sz w:val="28"/>
          <w:szCs w:val="28"/>
          <w:lang w:val="en-US" w:eastAsia="zh-CN"/>
          <w14:textFill>
            <w14:solidFill>
              <w14:schemeClr w14:val="tx1"/>
            </w14:solidFill>
          </w14:textFill>
        </w:rPr>
        <w:t>05</w:t>
      </w:r>
    </w:p>
    <w:tbl>
      <w:tblPr>
        <w:tblStyle w:val="11"/>
        <w:tblW w:w="98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1435"/>
        <w:gridCol w:w="8463"/>
      </w:tblGrid>
      <w:tr w14:paraId="1DFA6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190" w:hRule="atLeast"/>
          <w:jc w:val="center"/>
        </w:trPr>
        <w:tc>
          <w:tcPr>
            <w:tcW w:w="14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58C8C26">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ascii="Times New Roman" w:hAnsi="Times New Roman" w:eastAsia="仿宋_GB2312"/>
                <w:bCs/>
                <w:iCs/>
                <w:color w:val="auto"/>
                <w:kern w:val="0"/>
                <w:sz w:val="28"/>
                <w:szCs w:val="28"/>
              </w:rPr>
            </w:pPr>
            <w:r>
              <w:rPr>
                <w:rFonts w:hint="eastAsia" w:ascii="Times New Roman" w:hAnsi="Times New Roman" w:eastAsia="仿宋_GB2312"/>
                <w:bCs/>
                <w:iCs/>
                <w:color w:val="auto"/>
                <w:kern w:val="0"/>
                <w:sz w:val="28"/>
                <w:szCs w:val="28"/>
              </w:rPr>
              <w:t>投资者关系活动类别</w:t>
            </w:r>
          </w:p>
        </w:tc>
        <w:tc>
          <w:tcPr>
            <w:tcW w:w="84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BF83917">
            <w:pPr>
              <w:keepNext w:val="0"/>
              <w:keepLines w:val="0"/>
              <w:pageBreakBefore w:val="0"/>
              <w:kinsoku/>
              <w:wordWrap/>
              <w:overflowPunct/>
              <w:topLinePunct w:val="0"/>
              <w:autoSpaceDE/>
              <w:autoSpaceDN/>
              <w:bidi w:val="0"/>
              <w:adjustRightInd/>
              <w:snapToGrid/>
              <w:spacing w:line="240" w:lineRule="auto"/>
              <w:ind w:left="0" w:leftChars="0"/>
              <w:jc w:val="left"/>
              <w:textAlignment w:val="auto"/>
              <w:rPr>
                <w:rFonts w:ascii="Times New Roman" w:hAnsi="Times New Roman" w:eastAsia="仿宋_GB2312"/>
                <w:bCs/>
                <w:iCs/>
                <w:color w:val="auto"/>
                <w:kern w:val="0"/>
                <w:sz w:val="28"/>
                <w:szCs w:val="28"/>
              </w:rPr>
            </w:pPr>
            <w:r>
              <w:rPr>
                <w:rFonts w:hint="eastAsia" w:ascii="Times New Roman" w:hAnsi="Times New Roman" w:eastAsia="仿宋_GB2312"/>
                <w:bCs/>
                <w:iCs/>
                <w:color w:val="auto"/>
                <w:kern w:val="0"/>
                <w:sz w:val="28"/>
                <w:szCs w:val="28"/>
              </w:rPr>
              <w:t>□特定对象调研        □分析师会议</w:t>
            </w:r>
          </w:p>
          <w:p w14:paraId="7064C8E9">
            <w:pPr>
              <w:keepNext w:val="0"/>
              <w:keepLines w:val="0"/>
              <w:pageBreakBefore w:val="0"/>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仿宋_GB2312"/>
                <w:bCs/>
                <w:iCs/>
                <w:color w:val="auto"/>
                <w:kern w:val="0"/>
                <w:sz w:val="28"/>
                <w:szCs w:val="28"/>
                <w:lang w:val="en-US"/>
              </w:rPr>
            </w:pPr>
            <w:r>
              <w:rPr>
                <w:rFonts w:hint="eastAsia" w:ascii="Times New Roman" w:hAnsi="Times New Roman" w:eastAsia="仿宋_GB2312"/>
                <w:bCs/>
                <w:iCs/>
                <w:color w:val="auto"/>
                <w:kern w:val="0"/>
                <w:sz w:val="28"/>
                <w:szCs w:val="28"/>
              </w:rPr>
              <w:t xml:space="preserve">□媒体采访            </w:t>
            </w:r>
            <w:r>
              <w:rPr>
                <w:rFonts w:hint="eastAsia" w:ascii="Times New Roman" w:hAnsi="Times New Roman" w:eastAsia="仿宋_GB2312"/>
                <w:bCs/>
                <w:iCs/>
                <w:color w:val="auto"/>
                <w:kern w:val="0"/>
                <w:sz w:val="28"/>
                <w:szCs w:val="28"/>
                <w:lang w:eastAsia="zh-CN"/>
              </w:rPr>
              <w:t>☑</w:t>
            </w:r>
            <w:r>
              <w:rPr>
                <w:rFonts w:hint="eastAsia" w:ascii="Times New Roman" w:hAnsi="Times New Roman" w:eastAsia="仿宋_GB2312"/>
                <w:bCs/>
                <w:iCs/>
                <w:color w:val="auto"/>
                <w:kern w:val="0"/>
                <w:sz w:val="28"/>
                <w:szCs w:val="28"/>
              </w:rPr>
              <w:t>业绩说明会</w:t>
            </w:r>
          </w:p>
          <w:p w14:paraId="4BC7A6D7">
            <w:pPr>
              <w:keepNext w:val="0"/>
              <w:keepLines w:val="0"/>
              <w:pageBreakBefore w:val="0"/>
              <w:kinsoku/>
              <w:wordWrap/>
              <w:overflowPunct/>
              <w:topLinePunct w:val="0"/>
              <w:autoSpaceDE/>
              <w:autoSpaceDN/>
              <w:bidi w:val="0"/>
              <w:adjustRightInd/>
              <w:snapToGrid/>
              <w:spacing w:line="240" w:lineRule="auto"/>
              <w:ind w:left="0" w:leftChars="0"/>
              <w:jc w:val="left"/>
              <w:textAlignment w:val="auto"/>
              <w:rPr>
                <w:rFonts w:ascii="Times New Roman" w:hAnsi="Times New Roman" w:eastAsia="仿宋_GB2312"/>
                <w:bCs/>
                <w:iCs/>
                <w:color w:val="auto"/>
                <w:kern w:val="0"/>
                <w:sz w:val="28"/>
                <w:szCs w:val="28"/>
              </w:rPr>
            </w:pPr>
            <w:r>
              <w:rPr>
                <w:rFonts w:hint="eastAsia" w:ascii="Times New Roman" w:hAnsi="Times New Roman" w:eastAsia="仿宋_GB2312"/>
                <w:bCs/>
                <w:iCs/>
                <w:color w:val="auto"/>
                <w:kern w:val="0"/>
                <w:sz w:val="28"/>
                <w:szCs w:val="28"/>
              </w:rPr>
              <w:t xml:space="preserve">□新闻发布会          </w:t>
            </w:r>
            <w:r>
              <w:rPr>
                <w:rFonts w:hint="eastAsia" w:ascii="Times New Roman" w:hAnsi="Times New Roman" w:eastAsia="仿宋_GB2312"/>
                <w:bCs/>
                <w:iCs/>
                <w:color w:val="auto"/>
                <w:kern w:val="0"/>
                <w:sz w:val="28"/>
                <w:szCs w:val="28"/>
                <w:lang w:eastAsia="zh-CN"/>
              </w:rPr>
              <w:t>□</w:t>
            </w:r>
            <w:r>
              <w:rPr>
                <w:rFonts w:hint="eastAsia" w:ascii="Times New Roman" w:hAnsi="Times New Roman" w:eastAsia="仿宋_GB2312"/>
                <w:bCs/>
                <w:iCs/>
                <w:color w:val="auto"/>
                <w:kern w:val="0"/>
                <w:sz w:val="28"/>
                <w:szCs w:val="28"/>
              </w:rPr>
              <w:t>路演活动</w:t>
            </w:r>
          </w:p>
          <w:p w14:paraId="574E5CD4">
            <w:pPr>
              <w:keepNext w:val="0"/>
              <w:keepLines w:val="0"/>
              <w:pageBreakBefore w:val="0"/>
              <w:kinsoku/>
              <w:wordWrap/>
              <w:overflowPunct/>
              <w:topLinePunct w:val="0"/>
              <w:autoSpaceDE/>
              <w:autoSpaceDN/>
              <w:bidi w:val="0"/>
              <w:adjustRightInd/>
              <w:snapToGrid/>
              <w:spacing w:line="240" w:lineRule="auto"/>
              <w:ind w:left="0" w:leftChars="0"/>
              <w:jc w:val="left"/>
              <w:textAlignment w:val="auto"/>
              <w:rPr>
                <w:rFonts w:ascii="Times New Roman" w:hAnsi="Times New Roman" w:eastAsia="仿宋_GB2312"/>
                <w:bCs/>
                <w:iCs/>
                <w:color w:val="auto"/>
                <w:kern w:val="0"/>
                <w:sz w:val="28"/>
                <w:szCs w:val="28"/>
              </w:rPr>
            </w:pPr>
            <w:r>
              <w:rPr>
                <w:rFonts w:hint="eastAsia" w:ascii="Times New Roman" w:hAnsi="Times New Roman" w:eastAsia="仿宋_GB2312"/>
                <w:bCs/>
                <w:iCs/>
                <w:color w:val="auto"/>
                <w:kern w:val="0"/>
                <w:sz w:val="28"/>
                <w:szCs w:val="28"/>
              </w:rPr>
              <w:t>□现场参观            □其他</w:t>
            </w:r>
          </w:p>
        </w:tc>
      </w:tr>
      <w:tr w14:paraId="671A9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58" w:hRule="atLeast"/>
          <w:jc w:val="center"/>
        </w:trPr>
        <w:tc>
          <w:tcPr>
            <w:tcW w:w="14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5B3EC9E">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ascii="Times New Roman" w:hAnsi="Times New Roman" w:eastAsia="仿宋_GB2312"/>
                <w:bCs/>
                <w:iCs/>
                <w:color w:val="auto"/>
                <w:kern w:val="0"/>
                <w:sz w:val="28"/>
                <w:szCs w:val="28"/>
              </w:rPr>
            </w:pPr>
            <w:r>
              <w:rPr>
                <w:rFonts w:hint="eastAsia" w:ascii="Times New Roman" w:hAnsi="Times New Roman" w:eastAsia="仿宋_GB2312"/>
                <w:bCs/>
                <w:iCs/>
                <w:color w:val="auto"/>
                <w:kern w:val="0"/>
                <w:sz w:val="28"/>
                <w:szCs w:val="28"/>
              </w:rPr>
              <w:t>参与单位名称</w:t>
            </w:r>
          </w:p>
        </w:tc>
        <w:tc>
          <w:tcPr>
            <w:tcW w:w="84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4E8B47F">
            <w:pPr>
              <w:keepNext w:val="0"/>
              <w:keepLines w:val="0"/>
              <w:pageBreakBefore w:val="0"/>
              <w:widowControl/>
              <w:kinsoku/>
              <w:wordWrap/>
              <w:overflowPunct/>
              <w:topLinePunct w:val="0"/>
              <w:autoSpaceDE/>
              <w:autoSpaceDN/>
              <w:bidi w:val="0"/>
              <w:adjustRightInd/>
              <w:snapToGrid/>
              <w:spacing w:line="240" w:lineRule="auto"/>
              <w:ind w:left="0" w:leftChars="0"/>
              <w:jc w:val="left"/>
              <w:textAlignment w:val="auto"/>
              <w:rPr>
                <w:rFonts w:ascii="Times New Roman" w:hAnsi="Times New Roman" w:eastAsia="仿宋_GB2312"/>
              </w:rPr>
            </w:pPr>
            <w:r>
              <w:rPr>
                <w:rFonts w:hint="eastAsia" w:ascii="Times New Roman" w:hAnsi="Times New Roman" w:eastAsia="仿宋_GB2312" w:cs="仿宋"/>
                <w:color w:val="auto"/>
                <w:sz w:val="28"/>
                <w:szCs w:val="28"/>
                <w:shd w:val="clear" w:color="auto" w:fill="FFFFFF"/>
              </w:rPr>
              <w:t>通过</w:t>
            </w:r>
            <w:r>
              <w:rPr>
                <w:rFonts w:hint="eastAsia" w:ascii="Times New Roman" w:hAnsi="Times New Roman" w:eastAsia="仿宋_GB2312" w:cs="仿宋"/>
                <w:color w:val="auto"/>
                <w:sz w:val="28"/>
                <w:szCs w:val="28"/>
                <w:shd w:val="clear" w:color="auto" w:fill="FFFFFF"/>
                <w:lang w:val="en-US" w:eastAsia="zh-CN"/>
              </w:rPr>
              <w:t>上证路演中心</w:t>
            </w:r>
            <w:r>
              <w:rPr>
                <w:rFonts w:hint="eastAsia" w:eastAsia="仿宋_GB2312" w:cs="仿宋"/>
                <w:color w:val="auto"/>
                <w:sz w:val="28"/>
                <w:szCs w:val="28"/>
                <w:shd w:val="clear" w:color="auto" w:fill="FFFFFF"/>
                <w:lang w:val="en-US" w:eastAsia="zh-CN"/>
              </w:rPr>
              <w:t>和价值在线</w:t>
            </w:r>
            <w:r>
              <w:rPr>
                <w:rFonts w:hint="eastAsia" w:ascii="Times New Roman" w:hAnsi="Times New Roman" w:eastAsia="仿宋_GB2312" w:cs="仿宋"/>
                <w:color w:val="auto"/>
                <w:sz w:val="28"/>
                <w:szCs w:val="28"/>
                <w:shd w:val="clear" w:color="auto" w:fill="FFFFFF"/>
              </w:rPr>
              <w:t>参与</w:t>
            </w:r>
            <w:r>
              <w:rPr>
                <w:rFonts w:hint="eastAsia" w:ascii="Times New Roman" w:hAnsi="Times New Roman" w:eastAsia="仿宋_GB2312" w:cs="仿宋"/>
                <w:color w:val="auto"/>
                <w:sz w:val="28"/>
                <w:szCs w:val="28"/>
                <w:shd w:val="clear" w:color="auto" w:fill="FFFFFF"/>
                <w:lang w:val="en-US" w:eastAsia="zh-CN"/>
              </w:rPr>
              <w:t>公司</w:t>
            </w:r>
            <w:r>
              <w:rPr>
                <w:rFonts w:hint="eastAsia" w:ascii="Times New Roman" w:hAnsi="Times New Roman" w:eastAsia="仿宋_GB2312" w:cs="仿宋"/>
                <w:color w:val="auto"/>
                <w:sz w:val="28"/>
                <w:szCs w:val="28"/>
                <w:shd w:val="clear" w:color="auto" w:fill="FFFFFF"/>
                <w:lang w:eastAsia="zh-CN"/>
              </w:rPr>
              <w:t>“</w:t>
            </w:r>
            <w:r>
              <w:rPr>
                <w:rFonts w:hint="eastAsia" w:ascii="Times New Roman" w:hAnsi="Times New Roman" w:eastAsia="仿宋_GB2312" w:cs="仿宋"/>
                <w:color w:val="auto"/>
                <w:kern w:val="2"/>
                <w:sz w:val="28"/>
                <w:szCs w:val="28"/>
                <w:shd w:val="clear" w:color="auto" w:fill="FFFFFF"/>
                <w:lang w:val="en-US" w:eastAsia="zh-CN" w:bidi="ar-SA"/>
              </w:rPr>
              <w:t>2026年</w:t>
            </w:r>
            <w:r>
              <w:rPr>
                <w:rFonts w:hint="eastAsia" w:eastAsia="仿宋_GB2312" w:cs="仿宋"/>
                <w:color w:val="auto"/>
                <w:kern w:val="2"/>
                <w:sz w:val="28"/>
                <w:szCs w:val="28"/>
                <w:shd w:val="clear" w:color="auto" w:fill="FFFFFF"/>
                <w:lang w:val="en-US" w:eastAsia="zh-CN" w:bidi="ar-SA"/>
              </w:rPr>
              <w:t>半年</w:t>
            </w:r>
            <w:r>
              <w:rPr>
                <w:rFonts w:hint="eastAsia" w:ascii="Times New Roman" w:hAnsi="Times New Roman" w:eastAsia="仿宋_GB2312" w:cs="仿宋"/>
                <w:color w:val="auto"/>
                <w:kern w:val="2"/>
                <w:sz w:val="28"/>
                <w:szCs w:val="28"/>
                <w:shd w:val="clear" w:color="auto" w:fill="FFFFFF"/>
                <w:lang w:val="en-US" w:eastAsia="zh-CN" w:bidi="ar-SA"/>
              </w:rPr>
              <w:t>度业绩说明会</w:t>
            </w:r>
            <w:r>
              <w:rPr>
                <w:rFonts w:hint="eastAsia" w:ascii="Times New Roman" w:hAnsi="Times New Roman" w:eastAsia="仿宋_GB2312" w:cs="仿宋"/>
                <w:color w:val="auto"/>
                <w:sz w:val="28"/>
                <w:szCs w:val="28"/>
                <w:shd w:val="clear" w:color="auto" w:fill="FFFFFF"/>
                <w:lang w:eastAsia="zh-CN"/>
              </w:rPr>
              <w:t>”</w:t>
            </w:r>
            <w:r>
              <w:rPr>
                <w:rFonts w:hint="eastAsia" w:ascii="Times New Roman" w:hAnsi="Times New Roman" w:eastAsia="仿宋_GB2312" w:cs="仿宋"/>
                <w:color w:val="auto"/>
                <w:kern w:val="2"/>
                <w:sz w:val="28"/>
                <w:szCs w:val="28"/>
                <w:shd w:val="clear" w:color="auto" w:fill="FFFFFF"/>
                <w:lang w:val="en-US" w:eastAsia="zh-CN" w:bidi="ar-SA"/>
              </w:rPr>
              <w:t>的投资者</w:t>
            </w:r>
          </w:p>
        </w:tc>
      </w:tr>
      <w:tr w14:paraId="4133F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57" w:hRule="atLeast"/>
          <w:jc w:val="center"/>
        </w:trPr>
        <w:tc>
          <w:tcPr>
            <w:tcW w:w="14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1C38761">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ascii="Times New Roman" w:hAnsi="Times New Roman" w:eastAsia="仿宋_GB2312"/>
                <w:bCs/>
                <w:iCs/>
                <w:color w:val="auto"/>
                <w:kern w:val="0"/>
                <w:sz w:val="28"/>
                <w:szCs w:val="28"/>
              </w:rPr>
            </w:pPr>
            <w:r>
              <w:rPr>
                <w:rFonts w:hint="eastAsia" w:ascii="Times New Roman" w:hAnsi="Times New Roman" w:eastAsia="仿宋_GB2312"/>
                <w:bCs/>
                <w:iCs/>
                <w:color w:val="auto"/>
                <w:kern w:val="0"/>
                <w:sz w:val="28"/>
                <w:szCs w:val="28"/>
              </w:rPr>
              <w:t>时间</w:t>
            </w:r>
          </w:p>
        </w:tc>
        <w:tc>
          <w:tcPr>
            <w:tcW w:w="84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DC5FEF1">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仿宋_GB2312"/>
                <w:bCs/>
                <w:iCs/>
                <w:color w:val="auto"/>
                <w:kern w:val="0"/>
                <w:sz w:val="28"/>
                <w:szCs w:val="28"/>
                <w:lang w:val="en-US" w:eastAsia="zh-CN"/>
              </w:rPr>
            </w:pPr>
            <w:r>
              <w:rPr>
                <w:rFonts w:hint="default" w:ascii="Times New Roman" w:hAnsi="Times New Roman" w:eastAsia="仿宋_GB2312"/>
                <w:bCs/>
                <w:iCs/>
                <w:color w:val="auto"/>
                <w:kern w:val="0"/>
                <w:sz w:val="28"/>
                <w:szCs w:val="28"/>
                <w:lang w:val="en-US" w:eastAsia="zh-CN"/>
              </w:rPr>
              <w:t>2026年</w:t>
            </w:r>
            <w:r>
              <w:rPr>
                <w:rFonts w:hint="eastAsia" w:eastAsia="仿宋_GB2312"/>
                <w:bCs/>
                <w:iCs/>
                <w:color w:val="auto"/>
                <w:kern w:val="0"/>
                <w:sz w:val="28"/>
                <w:szCs w:val="28"/>
                <w:lang w:val="en-US" w:eastAsia="zh-CN"/>
              </w:rPr>
              <w:t>8</w:t>
            </w:r>
            <w:r>
              <w:rPr>
                <w:rFonts w:hint="default" w:ascii="Times New Roman" w:hAnsi="Times New Roman" w:eastAsia="仿宋_GB2312"/>
                <w:bCs/>
                <w:iCs/>
                <w:color w:val="auto"/>
                <w:kern w:val="0"/>
                <w:sz w:val="28"/>
                <w:szCs w:val="28"/>
                <w:lang w:val="en-US" w:eastAsia="zh-CN"/>
              </w:rPr>
              <w:t>月</w:t>
            </w:r>
            <w:r>
              <w:rPr>
                <w:rFonts w:hint="eastAsia" w:eastAsia="仿宋_GB2312"/>
                <w:bCs/>
                <w:iCs/>
                <w:color w:val="auto"/>
                <w:kern w:val="0"/>
                <w:sz w:val="28"/>
                <w:szCs w:val="28"/>
                <w:lang w:val="en-US" w:eastAsia="zh-CN"/>
              </w:rPr>
              <w:t>25</w:t>
            </w:r>
            <w:r>
              <w:rPr>
                <w:rFonts w:hint="default" w:ascii="Times New Roman" w:hAnsi="Times New Roman" w:eastAsia="仿宋_GB2312"/>
                <w:bCs/>
                <w:iCs/>
                <w:color w:val="auto"/>
                <w:kern w:val="0"/>
                <w:sz w:val="28"/>
                <w:szCs w:val="28"/>
                <w:lang w:val="en-US" w:eastAsia="zh-CN"/>
              </w:rPr>
              <w:t>日（星期二）09:00-10:00</w:t>
            </w:r>
          </w:p>
        </w:tc>
      </w:tr>
      <w:tr w14:paraId="5B625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89" w:hRule="atLeast"/>
          <w:jc w:val="center"/>
        </w:trPr>
        <w:tc>
          <w:tcPr>
            <w:tcW w:w="14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41BC086">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ascii="Times New Roman" w:hAnsi="Times New Roman" w:eastAsia="仿宋_GB2312"/>
                <w:bCs/>
                <w:iCs/>
                <w:color w:val="auto"/>
                <w:kern w:val="0"/>
                <w:sz w:val="28"/>
                <w:szCs w:val="28"/>
              </w:rPr>
            </w:pPr>
            <w:r>
              <w:rPr>
                <w:rFonts w:hint="eastAsia" w:ascii="Times New Roman" w:hAnsi="Times New Roman" w:eastAsia="仿宋_GB2312"/>
                <w:bCs/>
                <w:iCs/>
                <w:color w:val="auto"/>
                <w:kern w:val="0"/>
                <w:sz w:val="28"/>
                <w:szCs w:val="28"/>
              </w:rPr>
              <w:t>地点</w:t>
            </w:r>
          </w:p>
        </w:tc>
        <w:tc>
          <w:tcPr>
            <w:tcW w:w="84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F90D98B">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default" w:ascii="Times New Roman" w:hAnsi="Times New Roman" w:eastAsia="仿宋_GB2312"/>
                <w:bCs/>
                <w:iCs/>
                <w:color w:val="auto"/>
                <w:kern w:val="0"/>
                <w:sz w:val="28"/>
                <w:szCs w:val="28"/>
                <w:lang w:val="en-US"/>
              </w:rPr>
            </w:pPr>
            <w:r>
              <w:rPr>
                <w:rFonts w:hint="eastAsia" w:ascii="Times New Roman" w:hAnsi="Times New Roman" w:eastAsia="仿宋_GB2312" w:cs="仿宋"/>
                <w:bCs/>
                <w:iCs/>
                <w:color w:val="auto"/>
                <w:kern w:val="0"/>
                <w:sz w:val="28"/>
                <w:szCs w:val="28"/>
                <w:lang w:val="en-US" w:eastAsia="zh-CN"/>
              </w:rPr>
              <w:t>上海证券交易所上证路演中心（网址：https://roadshow.sseinfo.com/）和价值在线（网址：www.ir-online.cn）</w:t>
            </w:r>
            <w:r>
              <w:rPr>
                <w:rFonts w:hint="eastAsia" w:eastAsia="仿宋_GB2312" w:cs="仿宋"/>
                <w:bCs/>
                <w:iCs/>
                <w:color w:val="auto"/>
                <w:kern w:val="0"/>
                <w:sz w:val="28"/>
                <w:szCs w:val="28"/>
                <w:lang w:val="en-US" w:eastAsia="zh-CN"/>
              </w:rPr>
              <w:t>网络文字互动</w:t>
            </w:r>
          </w:p>
        </w:tc>
      </w:tr>
      <w:tr w14:paraId="0075D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649" w:hRule="atLeast"/>
          <w:jc w:val="center"/>
        </w:trPr>
        <w:tc>
          <w:tcPr>
            <w:tcW w:w="14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F168EF">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仿宋_GB2312" w:cs="仿宋"/>
                <w:b w:val="0"/>
                <w:bCs w:val="0"/>
                <w:color w:val="auto"/>
                <w:kern w:val="2"/>
                <w:sz w:val="28"/>
                <w:szCs w:val="28"/>
                <w:lang w:val="en-US" w:eastAsia="zh-CN" w:bidi="ar-SA"/>
              </w:rPr>
            </w:pPr>
            <w:r>
              <w:rPr>
                <w:rFonts w:hint="eastAsia" w:ascii="Times New Roman" w:hAnsi="Times New Roman" w:eastAsia="仿宋_GB2312" w:cs="仿宋"/>
                <w:b w:val="0"/>
                <w:bCs w:val="0"/>
                <w:color w:val="auto"/>
                <w:kern w:val="2"/>
                <w:sz w:val="28"/>
                <w:szCs w:val="28"/>
                <w:lang w:val="en-US" w:eastAsia="zh-CN" w:bidi="ar-SA"/>
              </w:rPr>
              <w:t>上市公司</w:t>
            </w:r>
          </w:p>
          <w:p w14:paraId="7C7677E5">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仿宋_GB2312" w:cs="仿宋"/>
                <w:b w:val="0"/>
                <w:bCs w:val="0"/>
                <w:color w:val="auto"/>
                <w:kern w:val="2"/>
                <w:sz w:val="28"/>
                <w:szCs w:val="28"/>
                <w:lang w:val="en-US" w:eastAsia="zh-CN" w:bidi="ar-SA"/>
              </w:rPr>
            </w:pPr>
            <w:r>
              <w:rPr>
                <w:rFonts w:hint="eastAsia" w:ascii="Times New Roman" w:hAnsi="Times New Roman" w:eastAsia="仿宋_GB2312" w:cs="仿宋"/>
                <w:b w:val="0"/>
                <w:bCs w:val="0"/>
                <w:color w:val="auto"/>
                <w:kern w:val="2"/>
                <w:sz w:val="28"/>
                <w:szCs w:val="28"/>
                <w:lang w:val="en-US" w:eastAsia="zh-CN" w:bidi="ar-SA"/>
              </w:rPr>
              <w:t>接待人员姓名</w:t>
            </w:r>
          </w:p>
        </w:tc>
        <w:tc>
          <w:tcPr>
            <w:tcW w:w="84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03704B">
            <w:pPr>
              <w:pStyle w:val="9"/>
              <w:keepNext w:val="0"/>
              <w:keepLines w:val="0"/>
              <w:pageBreakBefore w:val="0"/>
              <w:kinsoku/>
              <w:wordWrap/>
              <w:overflowPunct/>
              <w:topLinePunct w:val="0"/>
              <w:autoSpaceDE/>
              <w:autoSpaceDN/>
              <w:bidi w:val="0"/>
              <w:adjustRightInd/>
              <w:snapToGrid/>
              <w:spacing w:after="0" w:line="240" w:lineRule="auto"/>
              <w:ind w:left="0" w:leftChars="0" w:firstLine="0"/>
              <w:textAlignment w:val="auto"/>
              <w:rPr>
                <w:rFonts w:hint="eastAsia" w:ascii="Times New Roman" w:hAnsi="Times New Roman" w:eastAsia="仿宋_GB2312" w:cs="仿宋"/>
                <w:b w:val="0"/>
                <w:bCs w:val="0"/>
                <w:color w:val="auto"/>
                <w:kern w:val="2"/>
                <w:sz w:val="28"/>
                <w:szCs w:val="28"/>
                <w:lang w:val="en-US" w:eastAsia="zh-CN" w:bidi="ar-SA"/>
              </w:rPr>
            </w:pPr>
            <w:r>
              <w:rPr>
                <w:rFonts w:hint="eastAsia" w:ascii="Times New Roman" w:hAnsi="Times New Roman" w:eastAsia="仿宋_GB2312" w:cs="仿宋"/>
                <w:b w:val="0"/>
                <w:bCs w:val="0"/>
                <w:color w:val="auto"/>
                <w:kern w:val="2"/>
                <w:sz w:val="28"/>
                <w:szCs w:val="28"/>
                <w:lang w:val="en-US" w:eastAsia="zh-CN" w:bidi="ar-SA"/>
              </w:rPr>
              <w:t>董事长、党委书记：孙光幸先生</w:t>
            </w:r>
          </w:p>
          <w:p w14:paraId="19F99E77">
            <w:pPr>
              <w:pStyle w:val="9"/>
              <w:keepNext w:val="0"/>
              <w:keepLines w:val="0"/>
              <w:pageBreakBefore w:val="0"/>
              <w:kinsoku/>
              <w:wordWrap/>
              <w:overflowPunct/>
              <w:topLinePunct w:val="0"/>
              <w:autoSpaceDE/>
              <w:autoSpaceDN/>
              <w:bidi w:val="0"/>
              <w:adjustRightInd/>
              <w:snapToGrid/>
              <w:spacing w:after="0" w:line="240" w:lineRule="auto"/>
              <w:ind w:left="0" w:leftChars="0" w:firstLine="0"/>
              <w:textAlignment w:val="auto"/>
              <w:rPr>
                <w:rFonts w:hint="eastAsia" w:ascii="Times New Roman" w:hAnsi="Times New Roman" w:eastAsia="仿宋_GB2312" w:cs="仿宋"/>
                <w:b w:val="0"/>
                <w:bCs w:val="0"/>
                <w:color w:val="auto"/>
                <w:kern w:val="2"/>
                <w:sz w:val="28"/>
                <w:szCs w:val="28"/>
                <w:lang w:val="en-US" w:eastAsia="zh-CN" w:bidi="ar-SA"/>
              </w:rPr>
            </w:pPr>
            <w:r>
              <w:rPr>
                <w:rFonts w:hint="eastAsia" w:ascii="Times New Roman" w:hAnsi="Times New Roman" w:eastAsia="仿宋_GB2312" w:cs="仿宋"/>
                <w:b w:val="0"/>
                <w:bCs w:val="0"/>
                <w:color w:val="auto"/>
                <w:kern w:val="2"/>
                <w:sz w:val="28"/>
                <w:szCs w:val="28"/>
                <w:lang w:val="en-US" w:eastAsia="zh-CN" w:bidi="ar-SA"/>
              </w:rPr>
              <w:t>董事、总经理、党委副书记：刘榜劳先生</w:t>
            </w:r>
          </w:p>
          <w:p w14:paraId="5FBDC676">
            <w:pPr>
              <w:pStyle w:val="9"/>
              <w:keepNext w:val="0"/>
              <w:keepLines w:val="0"/>
              <w:pageBreakBefore w:val="0"/>
              <w:kinsoku/>
              <w:wordWrap/>
              <w:overflowPunct/>
              <w:topLinePunct w:val="0"/>
              <w:autoSpaceDE/>
              <w:autoSpaceDN/>
              <w:bidi w:val="0"/>
              <w:adjustRightInd/>
              <w:snapToGrid/>
              <w:spacing w:after="0" w:line="240" w:lineRule="auto"/>
              <w:ind w:left="0" w:leftChars="0" w:firstLine="0"/>
              <w:textAlignment w:val="auto"/>
              <w:rPr>
                <w:rFonts w:hint="eastAsia" w:ascii="Times New Roman" w:hAnsi="Times New Roman" w:eastAsia="仿宋_GB2312" w:cs="仿宋"/>
                <w:b w:val="0"/>
                <w:bCs w:val="0"/>
                <w:color w:val="auto"/>
                <w:kern w:val="2"/>
                <w:sz w:val="28"/>
                <w:szCs w:val="28"/>
                <w:lang w:val="en-US" w:eastAsia="zh-CN" w:bidi="ar-SA"/>
              </w:rPr>
            </w:pPr>
            <w:r>
              <w:rPr>
                <w:rFonts w:hint="eastAsia" w:ascii="Times New Roman" w:hAnsi="Times New Roman" w:eastAsia="仿宋_GB2312" w:cs="仿宋"/>
                <w:b w:val="0"/>
                <w:bCs w:val="0"/>
                <w:color w:val="auto"/>
                <w:kern w:val="2"/>
                <w:sz w:val="28"/>
                <w:szCs w:val="28"/>
                <w:lang w:val="en-US" w:eastAsia="zh-CN" w:bidi="ar-SA"/>
              </w:rPr>
              <w:t>总会计师、董事会秘书：孙岩先生</w:t>
            </w:r>
          </w:p>
          <w:p w14:paraId="2693D8E2">
            <w:pPr>
              <w:rPr>
                <w:rFonts w:hint="default" w:ascii="Times New Roman" w:hAnsi="Times New Roman" w:eastAsia="仿宋_GB2312" w:cs="仿宋"/>
                <w:b w:val="0"/>
                <w:bCs w:val="0"/>
                <w:color w:val="auto"/>
                <w:kern w:val="2"/>
                <w:sz w:val="28"/>
                <w:szCs w:val="28"/>
                <w:lang w:val="en-US" w:eastAsia="zh-CN" w:bidi="ar-SA"/>
              </w:rPr>
            </w:pPr>
            <w:r>
              <w:rPr>
                <w:rFonts w:hint="eastAsia" w:ascii="Times New Roman" w:hAnsi="Times New Roman" w:eastAsia="仿宋_GB2312" w:cs="仿宋"/>
                <w:b w:val="0"/>
                <w:bCs w:val="0"/>
                <w:color w:val="auto"/>
                <w:kern w:val="2"/>
                <w:sz w:val="28"/>
                <w:szCs w:val="28"/>
                <w:lang w:val="en-US" w:eastAsia="zh-CN" w:bidi="ar-SA"/>
              </w:rPr>
              <w:t>独立董事：刘洪川</w:t>
            </w:r>
            <w:r>
              <w:rPr>
                <w:rFonts w:hint="eastAsia" w:eastAsia="仿宋_GB2312" w:cs="仿宋"/>
                <w:b w:val="0"/>
                <w:bCs w:val="0"/>
                <w:color w:val="auto"/>
                <w:kern w:val="2"/>
                <w:sz w:val="28"/>
                <w:szCs w:val="28"/>
                <w:lang w:val="en-US" w:eastAsia="zh-CN" w:bidi="ar-SA"/>
              </w:rPr>
              <w:t>先生</w:t>
            </w:r>
          </w:p>
        </w:tc>
      </w:tr>
      <w:tr w14:paraId="65DDD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44" w:hRule="atLeast"/>
          <w:jc w:val="center"/>
        </w:trPr>
        <w:tc>
          <w:tcPr>
            <w:tcW w:w="14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1F4E1E7">
            <w:pPr>
              <w:keepNext w:val="0"/>
              <w:keepLines w:val="0"/>
              <w:pageBreakBefore w:val="0"/>
              <w:kinsoku/>
              <w:wordWrap/>
              <w:overflowPunct/>
              <w:topLinePunct w:val="0"/>
              <w:autoSpaceDE/>
              <w:autoSpaceDN/>
              <w:bidi w:val="0"/>
              <w:adjustRightInd/>
              <w:snapToGrid/>
              <w:spacing w:line="240" w:lineRule="auto"/>
              <w:ind w:left="0" w:leftChars="0"/>
              <w:jc w:val="center"/>
              <w:textAlignment w:val="auto"/>
              <w:rPr>
                <w:rFonts w:ascii="Times New Roman" w:hAnsi="Times New Roman" w:eastAsia="仿宋_GB2312"/>
                <w:bCs/>
                <w:iCs/>
                <w:color w:val="auto"/>
                <w:kern w:val="0"/>
                <w:sz w:val="28"/>
                <w:szCs w:val="28"/>
              </w:rPr>
            </w:pPr>
            <w:r>
              <w:rPr>
                <w:rFonts w:hint="eastAsia" w:ascii="Times New Roman" w:hAnsi="Times New Roman" w:eastAsia="仿宋_GB2312"/>
                <w:bCs/>
                <w:iCs/>
                <w:color w:val="auto"/>
                <w:kern w:val="0"/>
                <w:sz w:val="28"/>
                <w:szCs w:val="28"/>
              </w:rPr>
              <w:t>投资者关系活动主要内容介绍</w:t>
            </w:r>
          </w:p>
        </w:tc>
        <w:tc>
          <w:tcPr>
            <w:tcW w:w="84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F7275A9">
            <w:pPr>
              <w:pStyle w:val="9"/>
              <w:keepNext w:val="0"/>
              <w:keepLines w:val="0"/>
              <w:pageBreakBefore w:val="0"/>
              <w:widowControl w:val="0"/>
              <w:kinsoku/>
              <w:wordWrap/>
              <w:overflowPunct/>
              <w:topLinePunct w:val="0"/>
              <w:autoSpaceDE/>
              <w:autoSpaceDN/>
              <w:bidi w:val="0"/>
              <w:adjustRightInd/>
              <w:snapToGrid/>
              <w:spacing w:after="0" w:line="240" w:lineRule="auto"/>
              <w:ind w:left="0" w:leftChars="0" w:firstLine="560" w:firstLineChars="200"/>
              <w:textAlignment w:val="auto"/>
              <w:rPr>
                <w:rFonts w:hint="eastAsia" w:ascii="Times New Roman" w:hAnsi="Times New Roman" w:eastAsia="仿宋_GB2312"/>
                <w:b w:val="0"/>
                <w:bCs w:val="0"/>
                <w:lang w:val="en-US" w:eastAsia="zh-CN"/>
              </w:rPr>
            </w:pPr>
            <w:r>
              <w:rPr>
                <w:rFonts w:hint="eastAsia" w:ascii="Times New Roman" w:hAnsi="Times New Roman" w:eastAsia="仿宋_GB2312" w:cs="仿宋"/>
                <w:b w:val="0"/>
                <w:bCs w:val="0"/>
                <w:color w:val="auto"/>
                <w:kern w:val="2"/>
                <w:sz w:val="28"/>
                <w:szCs w:val="28"/>
                <w:lang w:val="en-US" w:eastAsia="zh-CN" w:bidi="ar-SA"/>
              </w:rPr>
              <w:t>公司于2026年8月25日（星期二）09:00-10:00在上海证券交易所上证路演中心和价值在线平台通过网络文字互动的方式召开2026年半年度业绩说明会，就投资者关心的问题进行交流。</w:t>
            </w:r>
          </w:p>
          <w:p w14:paraId="35DC9BAD">
            <w:pPr>
              <w:pStyle w:val="19"/>
              <w:keepNext w:val="0"/>
              <w:keepLines w:val="0"/>
              <w:pageBreakBefore w:val="0"/>
              <w:kinsoku/>
              <w:wordWrap/>
              <w:overflowPunct/>
              <w:topLinePunct w:val="0"/>
              <w:autoSpaceDE/>
              <w:autoSpaceDN/>
              <w:bidi w:val="0"/>
              <w:adjustRightInd/>
              <w:snapToGrid/>
              <w:spacing w:beforeLines="0" w:line="240" w:lineRule="auto"/>
              <w:ind w:left="0" w:leftChars="0" w:firstLine="562"/>
              <w:textAlignment w:val="auto"/>
              <w:rPr>
                <w:rFonts w:hint="eastAsia" w:ascii="Times New Roman" w:hAnsi="Times New Roman" w:eastAsia="仿宋_GB2312" w:cs="仿宋"/>
                <w:b/>
                <w:bCs/>
                <w:color w:val="auto"/>
                <w:sz w:val="28"/>
                <w:szCs w:val="28"/>
                <w:lang w:val="en-US" w:eastAsia="zh-CN"/>
              </w:rPr>
            </w:pPr>
            <w:r>
              <w:rPr>
                <w:rFonts w:hint="eastAsia" w:ascii="Times New Roman" w:hAnsi="Times New Roman" w:eastAsia="仿宋_GB2312" w:cs="仿宋"/>
                <w:b/>
                <w:bCs/>
                <w:color w:val="auto"/>
                <w:sz w:val="28"/>
                <w:szCs w:val="28"/>
                <w:lang w:val="en-US" w:eastAsia="zh-CN"/>
              </w:rPr>
              <w:t>问题1：上半年研发投入有所增长，重点项目的落地节奏以及后续资本开支规划是怎样的？</w:t>
            </w:r>
          </w:p>
          <w:p w14:paraId="15810D96">
            <w:pPr>
              <w:pStyle w:val="19"/>
              <w:keepNext w:val="0"/>
              <w:keepLines w:val="0"/>
              <w:pageBreakBefore w:val="0"/>
              <w:kinsoku/>
              <w:wordWrap/>
              <w:overflowPunct/>
              <w:topLinePunct w:val="0"/>
              <w:autoSpaceDE/>
              <w:autoSpaceDN/>
              <w:bidi w:val="0"/>
              <w:adjustRightInd/>
              <w:snapToGrid/>
              <w:spacing w:beforeLines="0" w:line="240" w:lineRule="auto"/>
              <w:ind w:left="0" w:leftChars="0" w:firstLine="562"/>
              <w:textAlignment w:val="auto"/>
              <w:rPr>
                <w:rFonts w:hint="eastAsia" w:ascii="Times New Roman" w:hAnsi="Times New Roman" w:eastAsia="仿宋_GB2312" w:cs="仿宋"/>
                <w:b w:val="0"/>
                <w:bCs w:val="0"/>
                <w:color w:val="auto"/>
                <w:sz w:val="28"/>
                <w:szCs w:val="28"/>
                <w:lang w:val="en-US" w:eastAsia="zh-CN"/>
              </w:rPr>
            </w:pPr>
            <w:r>
              <w:rPr>
                <w:rFonts w:hint="eastAsia" w:ascii="Times New Roman" w:hAnsi="Times New Roman" w:eastAsia="仿宋_GB2312" w:cs="仿宋"/>
                <w:b/>
                <w:bCs/>
                <w:color w:val="auto"/>
                <w:sz w:val="28"/>
                <w:szCs w:val="28"/>
                <w:lang w:val="en-US" w:eastAsia="zh-CN"/>
              </w:rPr>
              <w:t>答：</w:t>
            </w:r>
            <w:r>
              <w:rPr>
                <w:rFonts w:hint="eastAsia" w:ascii="Times New Roman" w:hAnsi="Times New Roman" w:eastAsia="仿宋_GB2312" w:cs="仿宋"/>
                <w:b w:val="0"/>
                <w:bCs w:val="0"/>
                <w:color w:val="auto"/>
                <w:sz w:val="28"/>
                <w:szCs w:val="28"/>
                <w:lang w:val="en-US" w:eastAsia="zh-CN"/>
              </w:rPr>
              <w:t>尊敬的投资者您好！公司聚焦特种防护和医药包装两大主业，始终保持高水平研发投入，2026年上半年，研发投入3,061万元，研发投入占营业收入的比例13.98%；完成专利申请18件，其中发明专利14件。围绕市场需求推动新产品和新工艺逐项落地，笔式垫片产线完成生产调试，笔式铝盖生产线建成投产，多项新产品通过客户试用认可。未来，公司将持续强化科技创新，统筹研发体系运行、项目落地、技术攻关、数字化协同，全面提升科技创新效能，推动项目落地见效。感谢您的关注！</w:t>
            </w:r>
          </w:p>
          <w:p w14:paraId="70155C80">
            <w:pPr>
              <w:pStyle w:val="19"/>
              <w:keepNext w:val="0"/>
              <w:keepLines w:val="0"/>
              <w:pageBreakBefore w:val="0"/>
              <w:kinsoku/>
              <w:wordWrap/>
              <w:overflowPunct/>
              <w:topLinePunct w:val="0"/>
              <w:autoSpaceDE/>
              <w:autoSpaceDN/>
              <w:bidi w:val="0"/>
              <w:adjustRightInd/>
              <w:snapToGrid/>
              <w:spacing w:beforeLines="0" w:line="240" w:lineRule="auto"/>
              <w:ind w:left="0" w:leftChars="0" w:firstLine="562"/>
              <w:textAlignment w:val="auto"/>
              <w:rPr>
                <w:rFonts w:hint="eastAsia" w:ascii="Times New Roman" w:hAnsi="Times New Roman" w:eastAsia="仿宋_GB2312" w:cs="仿宋"/>
                <w:b/>
                <w:bCs/>
                <w:color w:val="auto"/>
                <w:sz w:val="28"/>
                <w:szCs w:val="28"/>
                <w:lang w:val="en-US" w:eastAsia="zh-CN"/>
              </w:rPr>
            </w:pPr>
            <w:r>
              <w:rPr>
                <w:rFonts w:hint="eastAsia" w:ascii="Times New Roman" w:hAnsi="Times New Roman" w:eastAsia="仿宋_GB2312" w:cs="仿宋"/>
                <w:b/>
                <w:bCs/>
                <w:color w:val="auto"/>
                <w:sz w:val="28"/>
                <w:szCs w:val="28"/>
                <w:lang w:val="en-US" w:eastAsia="zh-CN"/>
              </w:rPr>
              <w:t>问题2：公司上半年防护装备业务收入承压，后续有哪些具体举措改善订单与盈利水平？</w:t>
            </w:r>
          </w:p>
          <w:p w14:paraId="447BEFF3">
            <w:pPr>
              <w:pStyle w:val="19"/>
              <w:keepNext w:val="0"/>
              <w:keepLines w:val="0"/>
              <w:pageBreakBefore w:val="0"/>
              <w:kinsoku/>
              <w:wordWrap/>
              <w:overflowPunct/>
              <w:topLinePunct w:val="0"/>
              <w:autoSpaceDE/>
              <w:autoSpaceDN/>
              <w:bidi w:val="0"/>
              <w:adjustRightInd/>
              <w:snapToGrid/>
              <w:spacing w:beforeLines="0" w:line="240" w:lineRule="auto"/>
              <w:ind w:left="0" w:leftChars="0" w:firstLine="562"/>
              <w:textAlignment w:val="auto"/>
              <w:rPr>
                <w:rFonts w:hint="eastAsia" w:ascii="Times New Roman" w:hAnsi="Times New Roman" w:eastAsia="仿宋_GB2312" w:cs="仿宋"/>
                <w:b w:val="0"/>
                <w:bCs w:val="0"/>
                <w:color w:val="auto"/>
                <w:sz w:val="28"/>
                <w:szCs w:val="28"/>
                <w:lang w:val="en-US" w:eastAsia="zh-CN"/>
              </w:rPr>
            </w:pPr>
            <w:r>
              <w:rPr>
                <w:rFonts w:hint="eastAsia" w:ascii="Times New Roman" w:hAnsi="Times New Roman" w:eastAsia="仿宋_GB2312" w:cs="仿宋"/>
                <w:b/>
                <w:bCs/>
                <w:color w:val="auto"/>
                <w:sz w:val="28"/>
                <w:szCs w:val="28"/>
                <w:lang w:val="en-US" w:eastAsia="zh-CN"/>
              </w:rPr>
              <w:t>答：</w:t>
            </w:r>
            <w:r>
              <w:rPr>
                <w:rFonts w:hint="default" w:ascii="Times New Roman" w:hAnsi="Times New Roman" w:eastAsia="仿宋_GB2312" w:cs="仿宋"/>
                <w:b w:val="0"/>
                <w:bCs w:val="0"/>
                <w:color w:val="auto"/>
                <w:sz w:val="28"/>
                <w:szCs w:val="28"/>
                <w:lang w:val="en-US" w:eastAsia="zh-CN"/>
              </w:rPr>
              <w:t>尊敬的投资者您好！2026年下半年，公司将紧扣全年特品经营目标，聚焦合同落地、生产保供、市场拓展三大核心环节，全力推动特种防护装备板块订单落地。一是积极沟通对接，加快推进意向合约签订进度。二是狠抓合同履约交付，确保产品按时交付。三是深耕市场开拓，积极参与竞标，全力争取项目中标，参加国内安全应急产业大会、博览会等活动，做好应急防护产品市场推广，拓宽市场渠道。感谢您的关注！</w:t>
            </w:r>
          </w:p>
          <w:p w14:paraId="5FCF9033">
            <w:pPr>
              <w:pStyle w:val="19"/>
              <w:keepNext w:val="0"/>
              <w:keepLines w:val="0"/>
              <w:pageBreakBefore w:val="0"/>
              <w:kinsoku/>
              <w:wordWrap/>
              <w:overflowPunct/>
              <w:topLinePunct w:val="0"/>
              <w:autoSpaceDE/>
              <w:autoSpaceDN/>
              <w:bidi w:val="0"/>
              <w:adjustRightInd/>
              <w:snapToGrid/>
              <w:spacing w:beforeLines="0" w:line="240" w:lineRule="auto"/>
              <w:ind w:left="0" w:leftChars="0" w:firstLine="562"/>
              <w:textAlignment w:val="auto"/>
              <w:rPr>
                <w:rFonts w:hint="eastAsia" w:ascii="Times New Roman" w:hAnsi="Times New Roman" w:eastAsia="仿宋_GB2312" w:cs="仿宋"/>
                <w:b/>
                <w:bCs/>
                <w:color w:val="auto"/>
                <w:sz w:val="28"/>
                <w:szCs w:val="28"/>
                <w:lang w:val="en-US" w:eastAsia="zh-CN"/>
              </w:rPr>
            </w:pPr>
            <w:r>
              <w:rPr>
                <w:rFonts w:hint="eastAsia" w:ascii="Times New Roman" w:hAnsi="Times New Roman" w:eastAsia="仿宋_GB2312" w:cs="仿宋"/>
                <w:b/>
                <w:bCs/>
                <w:color w:val="auto"/>
                <w:sz w:val="28"/>
                <w:szCs w:val="28"/>
                <w:lang w:val="en-US" w:eastAsia="zh-CN"/>
              </w:rPr>
              <w:t>问题3：</w:t>
            </w:r>
            <w:r>
              <w:rPr>
                <w:rFonts w:hint="default" w:ascii="Times New Roman" w:hAnsi="Times New Roman" w:eastAsia="仿宋_GB2312" w:cs="仿宋"/>
                <w:b/>
                <w:bCs/>
                <w:color w:val="auto"/>
                <w:sz w:val="28"/>
                <w:szCs w:val="28"/>
                <w:lang w:val="en-US" w:eastAsia="zh-CN"/>
              </w:rPr>
              <w:t>新材料板块上半年进展如何，何时能够实现规模化放量贡献业绩？</w:t>
            </w:r>
          </w:p>
          <w:p w14:paraId="12D9DC61">
            <w:pPr>
              <w:pStyle w:val="19"/>
              <w:keepNext w:val="0"/>
              <w:keepLines w:val="0"/>
              <w:pageBreakBefore w:val="0"/>
              <w:kinsoku/>
              <w:wordWrap/>
              <w:overflowPunct/>
              <w:topLinePunct w:val="0"/>
              <w:autoSpaceDE/>
              <w:autoSpaceDN/>
              <w:bidi w:val="0"/>
              <w:adjustRightInd/>
              <w:snapToGrid/>
              <w:spacing w:beforeLines="0" w:line="240" w:lineRule="auto"/>
              <w:ind w:left="0" w:leftChars="0" w:firstLine="562"/>
              <w:textAlignment w:val="auto"/>
              <w:rPr>
                <w:rFonts w:hint="eastAsia" w:ascii="Times New Roman" w:hAnsi="Times New Roman" w:eastAsia="仿宋_GB2312" w:cs="仿宋"/>
                <w:b w:val="0"/>
                <w:bCs w:val="0"/>
                <w:color w:val="auto"/>
                <w:sz w:val="28"/>
                <w:szCs w:val="28"/>
                <w:lang w:val="en-US" w:eastAsia="zh-CN"/>
              </w:rPr>
            </w:pPr>
            <w:r>
              <w:rPr>
                <w:rFonts w:hint="eastAsia" w:ascii="Times New Roman" w:hAnsi="Times New Roman" w:eastAsia="仿宋_GB2312" w:cs="仿宋"/>
                <w:b/>
                <w:bCs/>
                <w:color w:val="auto"/>
                <w:sz w:val="28"/>
                <w:szCs w:val="28"/>
                <w:lang w:val="en-US" w:eastAsia="zh-CN"/>
              </w:rPr>
              <w:t>答：</w:t>
            </w:r>
            <w:r>
              <w:rPr>
                <w:rFonts w:hint="default" w:ascii="Times New Roman" w:hAnsi="Times New Roman" w:eastAsia="仿宋_GB2312" w:cs="仿宋"/>
                <w:b w:val="0"/>
                <w:bCs w:val="0"/>
                <w:color w:val="auto"/>
                <w:sz w:val="28"/>
                <w:szCs w:val="28"/>
                <w:lang w:val="en-US" w:eastAsia="zh-CN"/>
              </w:rPr>
              <w:t>尊敬的投资者您好！公司始终坚持科技创新引领，持续强化关键核心技术及材料自主研发，加快推动创新驱动，做实做强国家级企业技术中心，公司建立了“1总部、2中心、5研究所”的新研发平台布局，旨在通过技术突破、效率提升和业务聚焦实现企业高质量发展。上半年，公司新产品研发成果逐步落地，新产品收入保持良好的增长势头，笔式组件、预灌冲活塞等新产品收入同比增长18%，为全年医药包装及医疗器械板块业绩增长注入新动能。感谢您的关注！</w:t>
            </w:r>
          </w:p>
          <w:p w14:paraId="40FAA2D6">
            <w:pPr>
              <w:pStyle w:val="19"/>
              <w:keepNext w:val="0"/>
              <w:keepLines w:val="0"/>
              <w:pageBreakBefore w:val="0"/>
              <w:kinsoku/>
              <w:wordWrap/>
              <w:overflowPunct/>
              <w:topLinePunct w:val="0"/>
              <w:autoSpaceDE/>
              <w:autoSpaceDN/>
              <w:bidi w:val="0"/>
              <w:adjustRightInd/>
              <w:snapToGrid/>
              <w:spacing w:beforeLines="0" w:line="240" w:lineRule="auto"/>
              <w:ind w:left="0" w:leftChars="0" w:firstLine="562"/>
              <w:textAlignment w:val="auto"/>
              <w:rPr>
                <w:rFonts w:hint="eastAsia" w:ascii="Times New Roman" w:hAnsi="Times New Roman" w:eastAsia="仿宋_GB2312" w:cs="仿宋"/>
                <w:b/>
                <w:bCs/>
                <w:color w:val="auto"/>
                <w:sz w:val="28"/>
                <w:szCs w:val="28"/>
                <w:lang w:val="en-US" w:eastAsia="zh-CN"/>
              </w:rPr>
            </w:pPr>
            <w:r>
              <w:rPr>
                <w:rFonts w:hint="eastAsia" w:ascii="Times New Roman" w:hAnsi="Times New Roman" w:eastAsia="仿宋_GB2312" w:cs="仿宋"/>
                <w:b/>
                <w:bCs/>
                <w:color w:val="auto"/>
                <w:sz w:val="28"/>
                <w:szCs w:val="28"/>
                <w:lang w:val="en-US" w:eastAsia="zh-CN"/>
              </w:rPr>
              <w:t>问题4：半年报显示公司上半年营业收入21,898.53万元，同比增长23.21%，这个增速在同行里算不错。想请问，营收增长的主要拉动力是医药包装还是特种防护？下半年这种增长势头能不能延续？</w:t>
            </w:r>
          </w:p>
          <w:p w14:paraId="279BCAD9">
            <w:pPr>
              <w:pStyle w:val="19"/>
              <w:keepNext w:val="0"/>
              <w:keepLines w:val="0"/>
              <w:pageBreakBefore w:val="0"/>
              <w:kinsoku/>
              <w:wordWrap/>
              <w:overflowPunct/>
              <w:topLinePunct w:val="0"/>
              <w:autoSpaceDE/>
              <w:autoSpaceDN/>
              <w:bidi w:val="0"/>
              <w:adjustRightInd/>
              <w:snapToGrid/>
              <w:spacing w:beforeLines="0" w:line="240" w:lineRule="auto"/>
              <w:ind w:left="0" w:leftChars="0" w:firstLine="562"/>
              <w:textAlignment w:val="auto"/>
              <w:rPr>
                <w:rFonts w:hint="eastAsia" w:ascii="Times New Roman" w:hAnsi="Times New Roman" w:eastAsia="仿宋_GB2312" w:cs="仿宋"/>
                <w:b w:val="0"/>
                <w:bCs w:val="0"/>
                <w:color w:val="auto"/>
                <w:sz w:val="28"/>
                <w:szCs w:val="28"/>
                <w:lang w:val="en-US" w:eastAsia="zh-CN"/>
              </w:rPr>
            </w:pPr>
            <w:r>
              <w:rPr>
                <w:rFonts w:hint="eastAsia" w:ascii="Times New Roman" w:hAnsi="Times New Roman" w:eastAsia="仿宋_GB2312" w:cs="仿宋"/>
                <w:b/>
                <w:bCs/>
                <w:color w:val="auto"/>
                <w:sz w:val="28"/>
                <w:szCs w:val="28"/>
                <w:lang w:val="en-US" w:eastAsia="zh-CN"/>
              </w:rPr>
              <w:t>答：</w:t>
            </w:r>
            <w:r>
              <w:rPr>
                <w:rFonts w:hint="eastAsia" w:ascii="Times New Roman" w:hAnsi="Times New Roman" w:eastAsia="仿宋_GB2312" w:cs="仿宋"/>
                <w:b w:val="0"/>
                <w:bCs w:val="0"/>
                <w:color w:val="auto"/>
                <w:sz w:val="28"/>
                <w:szCs w:val="28"/>
                <w:lang w:val="en-US" w:eastAsia="zh-CN"/>
              </w:rPr>
              <w:t>尊敬的投资者您好！2026年上半年，公司营业收入的主要来源为医药包装及医疗器械产品板块，公司积极优化医药包装产品结构和市场结构，加大力度拓市场抢订单，医药包装产品“基本盘”持续稳增长、“新品盘”持续加快放量，医药包装及医疗器械板块业务</w:t>
            </w:r>
            <w:r>
              <w:rPr>
                <w:rFonts w:hint="eastAsia" w:eastAsia="仿宋_GB2312" w:cs="仿宋"/>
                <w:b w:val="0"/>
                <w:bCs w:val="0"/>
                <w:color w:val="auto"/>
                <w:sz w:val="28"/>
                <w:szCs w:val="28"/>
                <w:lang w:val="en-US" w:eastAsia="zh-CN"/>
              </w:rPr>
              <w:t>实现收入</w:t>
            </w:r>
            <w:r>
              <w:rPr>
                <w:rFonts w:hint="eastAsia" w:ascii="Times New Roman" w:hAnsi="Times New Roman" w:eastAsia="仿宋_GB2312" w:cs="仿宋"/>
                <w:b w:val="0"/>
                <w:bCs w:val="0"/>
                <w:color w:val="auto"/>
                <w:sz w:val="28"/>
                <w:szCs w:val="28"/>
                <w:lang w:val="en-US" w:eastAsia="zh-CN"/>
              </w:rPr>
              <w:t>同比增长34.24%。下半年，特种防护板块，公司将持续抢抓订单签约，加强同各军兵种对接力度，加快多系列装备订购合同洽谈签订进度。医药包装及医疗器械板块，公司将持续加大市场开拓力度，加快推进一致性评价关联增补、新客户开发和重点产品商业化落地；加快国际化进程，围绕海外市场准入、客户开发和订单转化，持续提升产品质量、成本控制、交付保障和客户服务能力。同时公司持续推进提质增效行动，在开源、节流、降成本方面的措施将持续发挥作用，助力经营质效提升。感谢您的关注！</w:t>
            </w:r>
          </w:p>
          <w:p w14:paraId="3613363E">
            <w:pPr>
              <w:pStyle w:val="19"/>
              <w:keepNext w:val="0"/>
              <w:keepLines w:val="0"/>
              <w:pageBreakBefore w:val="0"/>
              <w:kinsoku/>
              <w:wordWrap/>
              <w:overflowPunct/>
              <w:topLinePunct w:val="0"/>
              <w:autoSpaceDE/>
              <w:autoSpaceDN/>
              <w:bidi w:val="0"/>
              <w:adjustRightInd/>
              <w:snapToGrid/>
              <w:spacing w:beforeLines="0" w:line="240" w:lineRule="auto"/>
              <w:ind w:left="0" w:leftChars="0" w:firstLine="562"/>
              <w:textAlignment w:val="auto"/>
              <w:rPr>
                <w:rFonts w:hint="eastAsia" w:ascii="Times New Roman" w:hAnsi="Times New Roman" w:eastAsia="仿宋_GB2312" w:cs="仿宋"/>
                <w:b/>
                <w:bCs/>
                <w:color w:val="auto"/>
                <w:sz w:val="28"/>
                <w:szCs w:val="28"/>
                <w:lang w:val="en-US" w:eastAsia="zh-CN"/>
              </w:rPr>
            </w:pPr>
            <w:r>
              <w:rPr>
                <w:rFonts w:hint="eastAsia" w:ascii="Times New Roman" w:hAnsi="Times New Roman" w:eastAsia="仿宋_GB2312" w:cs="仿宋"/>
                <w:b/>
                <w:bCs/>
                <w:color w:val="auto"/>
                <w:sz w:val="28"/>
                <w:szCs w:val="28"/>
                <w:lang w:val="en-US" w:eastAsia="zh-CN"/>
              </w:rPr>
              <w:t>问题5：报告中提到光伏绿电发电142万度，万元产值综合能耗同比下降9.17%、二氧化碳排放下降9.5%。这些节能减排指标对成本端是不是也有正向贡献？公司后续在绿色制造上还有哪些规划？</w:t>
            </w:r>
          </w:p>
          <w:p w14:paraId="72AEC9C6">
            <w:pPr>
              <w:pStyle w:val="19"/>
              <w:keepNext w:val="0"/>
              <w:keepLines w:val="0"/>
              <w:pageBreakBefore w:val="0"/>
              <w:kinsoku/>
              <w:wordWrap/>
              <w:overflowPunct/>
              <w:topLinePunct w:val="0"/>
              <w:autoSpaceDE/>
              <w:autoSpaceDN/>
              <w:bidi w:val="0"/>
              <w:adjustRightInd/>
              <w:snapToGrid/>
              <w:spacing w:beforeLines="0" w:line="240" w:lineRule="auto"/>
              <w:ind w:left="0" w:leftChars="0" w:firstLine="562"/>
              <w:textAlignment w:val="auto"/>
              <w:rPr>
                <w:rFonts w:hint="eastAsia" w:ascii="Times New Roman" w:hAnsi="Times New Roman" w:eastAsia="仿宋_GB2312" w:cs="仿宋"/>
                <w:b w:val="0"/>
                <w:bCs w:val="0"/>
                <w:color w:val="auto"/>
                <w:sz w:val="28"/>
                <w:szCs w:val="28"/>
                <w:lang w:val="en-US" w:eastAsia="zh-CN"/>
              </w:rPr>
            </w:pPr>
            <w:r>
              <w:rPr>
                <w:rFonts w:hint="eastAsia" w:ascii="Times New Roman" w:hAnsi="Times New Roman" w:eastAsia="仿宋_GB2312" w:cs="仿宋"/>
                <w:b/>
                <w:bCs/>
                <w:color w:val="auto"/>
                <w:sz w:val="28"/>
                <w:szCs w:val="28"/>
                <w:lang w:val="en-US" w:eastAsia="zh-CN"/>
              </w:rPr>
              <w:t>答：</w:t>
            </w:r>
            <w:r>
              <w:rPr>
                <w:rFonts w:hint="eastAsia" w:ascii="Times New Roman" w:hAnsi="Times New Roman" w:eastAsia="仿宋_GB2312" w:cs="仿宋"/>
                <w:b w:val="0"/>
                <w:bCs w:val="0"/>
                <w:color w:val="auto"/>
                <w:sz w:val="28"/>
                <w:szCs w:val="28"/>
                <w:lang w:val="en-US" w:eastAsia="zh-CN"/>
              </w:rPr>
              <w:t>尊敬的投资者您好，上述节能减排指标对成本端存在正向贡献。一方面，上半年光伏绿电自用128万度、余电上网14万度，直接节约电费约</w:t>
            </w:r>
            <w:r>
              <w:rPr>
                <w:rFonts w:hint="eastAsia" w:eastAsia="仿宋_GB2312" w:cs="仿宋"/>
                <w:b w:val="0"/>
                <w:bCs w:val="0"/>
                <w:color w:val="auto"/>
                <w:sz w:val="28"/>
                <w:szCs w:val="28"/>
                <w:lang w:val="en-US" w:eastAsia="zh-CN"/>
              </w:rPr>
              <w:t>30</w:t>
            </w:r>
            <w:bookmarkStart w:id="0" w:name="_GoBack"/>
            <w:bookmarkEnd w:id="0"/>
            <w:r>
              <w:rPr>
                <w:rFonts w:hint="eastAsia" w:ascii="Times New Roman" w:hAnsi="Times New Roman" w:eastAsia="仿宋_GB2312" w:cs="仿宋"/>
                <w:b w:val="0"/>
                <w:bCs w:val="0"/>
                <w:color w:val="auto"/>
                <w:sz w:val="28"/>
                <w:szCs w:val="28"/>
                <w:lang w:val="en-US" w:eastAsia="zh-CN"/>
              </w:rPr>
              <w:t>万元；另一方面，万元产值综合能耗同比下降9.17%，表明单位产值对应的电、蒸汽、天然气、压缩空气等综合能源消耗同步降低，生产环节能效提升直接减少了大宗能源采购支出，同时降低了能源传输与使用环节的损耗，整体摊薄了单位产值的能源成本。</w:t>
            </w:r>
          </w:p>
          <w:p w14:paraId="29E4293F">
            <w:pPr>
              <w:pStyle w:val="19"/>
              <w:keepNext w:val="0"/>
              <w:keepLines w:val="0"/>
              <w:pageBreakBefore w:val="0"/>
              <w:kinsoku/>
              <w:wordWrap/>
              <w:overflowPunct/>
              <w:topLinePunct w:val="0"/>
              <w:autoSpaceDE/>
              <w:autoSpaceDN/>
              <w:bidi w:val="0"/>
              <w:adjustRightInd/>
              <w:snapToGrid/>
              <w:spacing w:beforeLines="0" w:line="240" w:lineRule="auto"/>
              <w:ind w:left="0" w:leftChars="0" w:firstLine="562"/>
              <w:textAlignment w:val="auto"/>
              <w:rPr>
                <w:rFonts w:hint="eastAsia" w:ascii="Times New Roman" w:hAnsi="Times New Roman" w:eastAsia="仿宋_GB2312" w:cs="仿宋"/>
                <w:b w:val="0"/>
                <w:bCs w:val="0"/>
                <w:color w:val="auto"/>
                <w:sz w:val="28"/>
                <w:szCs w:val="28"/>
                <w:lang w:val="en-US" w:eastAsia="zh-CN"/>
              </w:rPr>
            </w:pPr>
            <w:r>
              <w:rPr>
                <w:rFonts w:hint="eastAsia" w:ascii="Times New Roman" w:hAnsi="Times New Roman" w:eastAsia="仿宋_GB2312" w:cs="仿宋"/>
                <w:b w:val="0"/>
                <w:bCs w:val="0"/>
                <w:color w:val="auto"/>
                <w:sz w:val="28"/>
                <w:szCs w:val="28"/>
                <w:lang w:val="en-US" w:eastAsia="zh-CN"/>
              </w:rPr>
              <w:t>公司后续将持续深化绿色制造理念，一是持续优化现有光伏项目的运营调度，匹配生产负荷提升绿电自发自用比例，放大电费节约效应；二是聚焦重点生产工序推进节能技改，深挖高耗能环节的降碳降本潜力；三是持续跟踪储能、余热回收等成熟技术的应用场景，稳步拓展绿色制造的深度和广度。感谢您的关注！</w:t>
            </w:r>
          </w:p>
          <w:p w14:paraId="0F81DDD0">
            <w:pPr>
              <w:pStyle w:val="19"/>
              <w:keepNext w:val="0"/>
              <w:keepLines w:val="0"/>
              <w:pageBreakBefore w:val="0"/>
              <w:kinsoku/>
              <w:wordWrap/>
              <w:overflowPunct/>
              <w:topLinePunct w:val="0"/>
              <w:autoSpaceDE/>
              <w:autoSpaceDN/>
              <w:bidi w:val="0"/>
              <w:adjustRightInd/>
              <w:snapToGrid/>
              <w:spacing w:beforeLines="0" w:line="240" w:lineRule="auto"/>
              <w:ind w:left="0" w:leftChars="0" w:firstLine="562"/>
              <w:textAlignment w:val="auto"/>
              <w:rPr>
                <w:rFonts w:hint="eastAsia" w:ascii="Times New Roman" w:hAnsi="Times New Roman" w:eastAsia="仿宋_GB2312" w:cs="仿宋"/>
                <w:b/>
                <w:bCs/>
                <w:color w:val="auto"/>
                <w:sz w:val="28"/>
                <w:szCs w:val="28"/>
                <w:lang w:val="en-US" w:eastAsia="zh-CN"/>
              </w:rPr>
            </w:pPr>
            <w:r>
              <w:rPr>
                <w:rFonts w:hint="eastAsia" w:ascii="Times New Roman" w:hAnsi="Times New Roman" w:eastAsia="仿宋_GB2312" w:cs="仿宋"/>
                <w:b/>
                <w:bCs/>
                <w:color w:val="auto"/>
                <w:sz w:val="28"/>
                <w:szCs w:val="28"/>
                <w:lang w:val="en-US" w:eastAsia="zh-CN"/>
              </w:rPr>
              <w:t>问题6：上半年公司参与各类特品竞标6次、成功中标4项，合同履约率100%。这个中标率挺高的，想了解中标产品的交付和收入确认大概会落在哪个季度？</w:t>
            </w:r>
          </w:p>
          <w:p w14:paraId="0E8E89B7">
            <w:pPr>
              <w:pStyle w:val="19"/>
              <w:keepNext w:val="0"/>
              <w:keepLines w:val="0"/>
              <w:pageBreakBefore w:val="0"/>
              <w:kinsoku/>
              <w:wordWrap/>
              <w:overflowPunct/>
              <w:topLinePunct w:val="0"/>
              <w:autoSpaceDE/>
              <w:autoSpaceDN/>
              <w:bidi w:val="0"/>
              <w:adjustRightInd/>
              <w:snapToGrid/>
              <w:spacing w:beforeLines="0" w:line="240" w:lineRule="auto"/>
              <w:ind w:left="0" w:leftChars="0" w:firstLine="562"/>
              <w:textAlignment w:val="auto"/>
              <w:rPr>
                <w:rFonts w:hint="eastAsia" w:ascii="Times New Roman" w:hAnsi="Times New Roman" w:eastAsia="仿宋_GB2312" w:cs="仿宋"/>
                <w:b w:val="0"/>
                <w:bCs w:val="0"/>
                <w:color w:val="auto"/>
                <w:sz w:val="28"/>
                <w:szCs w:val="28"/>
                <w:lang w:val="en-US" w:eastAsia="zh-CN"/>
              </w:rPr>
            </w:pPr>
            <w:r>
              <w:rPr>
                <w:rFonts w:hint="eastAsia" w:ascii="Times New Roman" w:hAnsi="Times New Roman" w:eastAsia="仿宋_GB2312" w:cs="仿宋"/>
                <w:b/>
                <w:bCs/>
                <w:color w:val="auto"/>
                <w:sz w:val="28"/>
                <w:szCs w:val="28"/>
                <w:lang w:val="en-US" w:eastAsia="zh-CN"/>
              </w:rPr>
              <w:t>答：</w:t>
            </w:r>
            <w:r>
              <w:rPr>
                <w:rFonts w:hint="eastAsia" w:ascii="Times New Roman" w:hAnsi="Times New Roman" w:eastAsia="仿宋_GB2312" w:cs="仿宋"/>
                <w:b w:val="0"/>
                <w:bCs w:val="0"/>
                <w:color w:val="auto"/>
                <w:sz w:val="28"/>
                <w:szCs w:val="28"/>
                <w:lang w:val="en-US" w:eastAsia="zh-CN"/>
              </w:rPr>
              <w:t>尊敬的投资者您好！军工行业存在“以需定产，计划性强”的特点，部分产品受客户年度采购计划和审批节点影响，收入确认在季节间有所分布，具体根据客户需求和中标产品合同约定的时间确定，具体收入确认时间请关注公司相关公告。感谢您的关注！</w:t>
            </w:r>
          </w:p>
          <w:p w14:paraId="40022100">
            <w:pPr>
              <w:pStyle w:val="19"/>
              <w:keepNext w:val="0"/>
              <w:keepLines w:val="0"/>
              <w:pageBreakBefore w:val="0"/>
              <w:kinsoku/>
              <w:wordWrap/>
              <w:overflowPunct/>
              <w:topLinePunct w:val="0"/>
              <w:autoSpaceDE/>
              <w:autoSpaceDN/>
              <w:bidi w:val="0"/>
              <w:adjustRightInd/>
              <w:snapToGrid/>
              <w:spacing w:beforeLines="0" w:line="240" w:lineRule="auto"/>
              <w:ind w:left="0" w:leftChars="0" w:firstLine="562"/>
              <w:textAlignment w:val="auto"/>
              <w:rPr>
                <w:rFonts w:hint="eastAsia" w:ascii="Times New Roman" w:hAnsi="Times New Roman" w:eastAsia="仿宋_GB2312" w:cs="仿宋"/>
                <w:b/>
                <w:bCs/>
                <w:color w:val="auto"/>
                <w:sz w:val="28"/>
                <w:szCs w:val="28"/>
                <w:lang w:val="en-US" w:eastAsia="zh-CN"/>
              </w:rPr>
            </w:pPr>
            <w:r>
              <w:rPr>
                <w:rFonts w:hint="eastAsia" w:ascii="Times New Roman" w:hAnsi="Times New Roman" w:eastAsia="仿宋_GB2312" w:cs="仿宋"/>
                <w:b/>
                <w:bCs/>
                <w:color w:val="auto"/>
                <w:sz w:val="28"/>
                <w:szCs w:val="28"/>
                <w:lang w:val="en-US" w:eastAsia="zh-CN"/>
              </w:rPr>
              <w:t>问题7：公司研发投入3,061万元，占营业收入的13.98%，在药包材行业里算比较高的，请问研发重点投向哪些方向？</w:t>
            </w:r>
          </w:p>
          <w:p w14:paraId="59BBA21F">
            <w:pPr>
              <w:pStyle w:val="19"/>
              <w:keepNext w:val="0"/>
              <w:keepLines w:val="0"/>
              <w:pageBreakBefore w:val="0"/>
              <w:kinsoku/>
              <w:wordWrap/>
              <w:overflowPunct/>
              <w:topLinePunct w:val="0"/>
              <w:autoSpaceDE/>
              <w:autoSpaceDN/>
              <w:bidi w:val="0"/>
              <w:adjustRightInd/>
              <w:snapToGrid/>
              <w:spacing w:beforeLines="0" w:line="240" w:lineRule="auto"/>
              <w:ind w:left="0" w:leftChars="0" w:firstLine="562"/>
              <w:textAlignment w:val="auto"/>
              <w:rPr>
                <w:rFonts w:hint="eastAsia" w:ascii="Times New Roman" w:hAnsi="Times New Roman" w:eastAsia="仿宋_GB2312" w:cs="仿宋"/>
                <w:b w:val="0"/>
                <w:bCs w:val="0"/>
                <w:color w:val="auto"/>
                <w:sz w:val="28"/>
                <w:szCs w:val="28"/>
                <w:lang w:val="en-US" w:eastAsia="zh-CN"/>
              </w:rPr>
            </w:pPr>
            <w:r>
              <w:rPr>
                <w:rFonts w:hint="eastAsia" w:ascii="Times New Roman" w:hAnsi="Times New Roman" w:eastAsia="仿宋_GB2312" w:cs="仿宋"/>
                <w:b/>
                <w:bCs/>
                <w:color w:val="auto"/>
                <w:sz w:val="28"/>
                <w:szCs w:val="28"/>
                <w:lang w:val="en-US" w:eastAsia="zh-CN"/>
              </w:rPr>
              <w:t>答：</w:t>
            </w:r>
            <w:r>
              <w:rPr>
                <w:rFonts w:hint="eastAsia" w:ascii="Times New Roman" w:hAnsi="Times New Roman" w:eastAsia="仿宋_GB2312" w:cs="仿宋"/>
                <w:b w:val="0"/>
                <w:bCs w:val="0"/>
                <w:color w:val="auto"/>
                <w:sz w:val="28"/>
                <w:szCs w:val="28"/>
                <w:lang w:val="en-US" w:eastAsia="zh-CN"/>
              </w:rPr>
              <w:t>尊敬的投资者您好！公司2026年半年度研发主要投向两大主业方向：一是在特种防护装备领域，重点投向集体和个体防护装备的研发，包括XX过滤吸收器、XXX过滤装置研制、XXX净化装置研制、XXX传感器研发、XX防护装具等项目。二是在医药包装及医疗器械领域，重点投向药品辅料包材检测评价及创新成果产业化公共服务平台、预灌封注射器用覆膜活塞、橡胶密封件氟聚合物涂层技术开发等相关研发项目，其中药品辅料包材检测评价及创新成果产业化公共服务平台项目已完成多个新产品、新工艺、新材料的鉴定，可为药包材行业提升评价、成果转化和产业化能力提供支撑；新型给药装置相关研发围绕高端化、进口替代方向推进，覆盖预灌封、笔式注射器用组件等高端产品，适配国内创新药、新型给药系统的发展需求，目前1ml预灌封注射器用覆膜活塞已实现批量供货，自主研发的笔式注射器用橡胶组件已实现国内首个整套组件量产，有效带动了药包业务增长。感谢您对公司的关注。</w:t>
            </w:r>
          </w:p>
          <w:p w14:paraId="51A55BB5">
            <w:pPr>
              <w:pStyle w:val="19"/>
              <w:keepNext w:val="0"/>
              <w:keepLines w:val="0"/>
              <w:pageBreakBefore w:val="0"/>
              <w:kinsoku/>
              <w:wordWrap/>
              <w:overflowPunct/>
              <w:topLinePunct w:val="0"/>
              <w:autoSpaceDE/>
              <w:autoSpaceDN/>
              <w:bidi w:val="0"/>
              <w:adjustRightInd/>
              <w:snapToGrid/>
              <w:spacing w:beforeLines="0" w:line="240" w:lineRule="auto"/>
              <w:ind w:left="0" w:leftChars="0" w:firstLine="562"/>
              <w:textAlignment w:val="auto"/>
              <w:rPr>
                <w:rFonts w:hint="eastAsia" w:ascii="Times New Roman" w:hAnsi="Times New Roman" w:eastAsia="仿宋_GB2312" w:cs="仿宋"/>
                <w:b/>
                <w:bCs/>
                <w:color w:val="auto"/>
                <w:sz w:val="28"/>
                <w:szCs w:val="28"/>
                <w:lang w:val="en-US" w:eastAsia="zh-CN"/>
              </w:rPr>
            </w:pPr>
            <w:r>
              <w:rPr>
                <w:rFonts w:hint="eastAsia" w:ascii="Times New Roman" w:hAnsi="Times New Roman" w:eastAsia="仿宋_GB2312" w:cs="仿宋"/>
                <w:b/>
                <w:bCs/>
                <w:color w:val="auto"/>
                <w:sz w:val="28"/>
                <w:szCs w:val="28"/>
                <w:lang w:val="en-US" w:eastAsia="zh-CN"/>
              </w:rPr>
              <w:t>问题</w:t>
            </w:r>
            <w:r>
              <w:rPr>
                <w:rFonts w:hint="eastAsia" w:eastAsia="仿宋_GB2312" w:cs="仿宋"/>
                <w:b/>
                <w:bCs/>
                <w:color w:val="auto"/>
                <w:sz w:val="28"/>
                <w:szCs w:val="28"/>
                <w:lang w:val="en-US" w:eastAsia="zh-CN"/>
              </w:rPr>
              <w:t>8</w:t>
            </w:r>
            <w:r>
              <w:rPr>
                <w:rFonts w:hint="eastAsia" w:ascii="Times New Roman" w:hAnsi="Times New Roman" w:eastAsia="仿宋_GB2312" w:cs="仿宋"/>
                <w:b/>
                <w:bCs/>
                <w:color w:val="auto"/>
                <w:sz w:val="28"/>
                <w:szCs w:val="28"/>
                <w:lang w:val="en-US" w:eastAsia="zh-CN"/>
              </w:rPr>
              <w:t>：请管理层总结一下上半年经营最大的亮点，以及下半年最值得投资者关注的一两件大事？</w:t>
            </w:r>
          </w:p>
          <w:p w14:paraId="05FBB1F9">
            <w:pPr>
              <w:pStyle w:val="19"/>
              <w:keepNext w:val="0"/>
              <w:keepLines w:val="0"/>
              <w:pageBreakBefore w:val="0"/>
              <w:kinsoku/>
              <w:wordWrap/>
              <w:overflowPunct/>
              <w:topLinePunct w:val="0"/>
              <w:autoSpaceDE/>
              <w:autoSpaceDN/>
              <w:bidi w:val="0"/>
              <w:adjustRightInd/>
              <w:snapToGrid/>
              <w:spacing w:beforeLines="0" w:line="240" w:lineRule="auto"/>
              <w:ind w:left="0" w:leftChars="0" w:firstLine="562"/>
              <w:textAlignment w:val="auto"/>
              <w:rPr>
                <w:rFonts w:hint="eastAsia" w:ascii="Times New Roman" w:hAnsi="Times New Roman" w:eastAsia="仿宋_GB2312" w:cs="仿宋"/>
                <w:b w:val="0"/>
                <w:bCs w:val="0"/>
                <w:color w:val="auto"/>
                <w:sz w:val="28"/>
                <w:szCs w:val="28"/>
                <w:lang w:val="en-US" w:eastAsia="zh-CN"/>
              </w:rPr>
            </w:pPr>
            <w:r>
              <w:rPr>
                <w:rFonts w:hint="eastAsia" w:ascii="Times New Roman" w:hAnsi="Times New Roman" w:eastAsia="仿宋_GB2312" w:cs="仿宋"/>
                <w:b/>
                <w:bCs/>
                <w:color w:val="auto"/>
                <w:sz w:val="28"/>
                <w:szCs w:val="28"/>
                <w:lang w:val="en-US" w:eastAsia="zh-CN"/>
              </w:rPr>
              <w:t>答：</w:t>
            </w:r>
            <w:r>
              <w:rPr>
                <w:rFonts w:hint="eastAsia" w:ascii="Times New Roman" w:hAnsi="Times New Roman" w:eastAsia="仿宋_GB2312" w:cs="仿宋"/>
                <w:b w:val="0"/>
                <w:bCs w:val="0"/>
                <w:color w:val="auto"/>
                <w:sz w:val="28"/>
                <w:szCs w:val="28"/>
                <w:lang w:val="en-US" w:eastAsia="zh-CN"/>
              </w:rPr>
              <w:t>尊敬的投资者您好！2026年上半年公司经营主要亮点主要有：一是核心经营指标实现增长，报告期内公司实现营业收入21898.53万元，同比增加23.21%；实现归属于上市公司股东的净利润952.79万元，同比增加130.52%，整体发展呈现稳中有进的良好态势。二是特种防护装备产业保障能力持续增强，报告期内累计参与各类特品竞标6次，成功中标4项，为公司经营业绩带来新的增长点，同时多款应急防护产品亮相第五届长三角国际应急减灾和救援博览会，有效提升了公司在应急防护领域的市场影响力。三是医药包装及医疗器械产业转型提速增效，主力产品丁基胶塞收入同比增长40.42%，笔式组件、预灌冲活塞等新产品收入同比增长18%，同时海外新市场开拓取得突破，国际市场份额稳步提升。此外公司上半年提质增效成果丰硕，累计实现增收3087.57万元、降本1871.96万元，节能降碳核心指标也持续优化。</w:t>
            </w:r>
          </w:p>
          <w:p w14:paraId="1DFD7524">
            <w:pPr>
              <w:pStyle w:val="19"/>
              <w:keepNext w:val="0"/>
              <w:keepLines w:val="0"/>
              <w:pageBreakBefore w:val="0"/>
              <w:kinsoku/>
              <w:wordWrap/>
              <w:overflowPunct/>
              <w:topLinePunct w:val="0"/>
              <w:autoSpaceDE/>
              <w:autoSpaceDN/>
              <w:bidi w:val="0"/>
              <w:adjustRightInd/>
              <w:snapToGrid/>
              <w:spacing w:beforeLines="0" w:line="240" w:lineRule="auto"/>
              <w:ind w:left="0" w:leftChars="0" w:firstLine="562"/>
              <w:textAlignment w:val="auto"/>
              <w:rPr>
                <w:rFonts w:hint="eastAsia" w:ascii="Times New Roman" w:hAnsi="Times New Roman" w:eastAsia="仿宋_GB2312" w:cs="仿宋"/>
                <w:b w:val="0"/>
                <w:bCs w:val="0"/>
                <w:color w:val="auto"/>
                <w:sz w:val="28"/>
                <w:szCs w:val="28"/>
                <w:lang w:val="en-US" w:eastAsia="zh-CN"/>
              </w:rPr>
            </w:pPr>
            <w:r>
              <w:rPr>
                <w:rFonts w:hint="eastAsia" w:ascii="Times New Roman" w:hAnsi="Times New Roman" w:eastAsia="仿宋_GB2312" w:cs="仿宋"/>
                <w:b w:val="0"/>
                <w:bCs w:val="0"/>
                <w:color w:val="auto"/>
                <w:sz w:val="28"/>
                <w:szCs w:val="28"/>
                <w:lang w:val="en-US" w:eastAsia="zh-CN"/>
              </w:rPr>
              <w:t>下半年，公司特种防护装备聚焦订单争取和交付，医药包装产品聚焦存量市场挖掘、新产品市场开拓和海外市场拓展，同时大力推进创新驱动，布局新项目、新技术、新产品研发，深化提质增效，持续改善盈利能力。感谢您对公司的关注。</w:t>
            </w:r>
          </w:p>
          <w:p w14:paraId="28BD3291">
            <w:pPr>
              <w:pStyle w:val="19"/>
              <w:keepNext w:val="0"/>
              <w:keepLines w:val="0"/>
              <w:pageBreakBefore w:val="0"/>
              <w:kinsoku/>
              <w:wordWrap/>
              <w:overflowPunct/>
              <w:topLinePunct w:val="0"/>
              <w:autoSpaceDE/>
              <w:autoSpaceDN/>
              <w:bidi w:val="0"/>
              <w:adjustRightInd/>
              <w:snapToGrid/>
              <w:spacing w:beforeLines="0" w:line="240" w:lineRule="auto"/>
              <w:ind w:left="0" w:leftChars="0" w:firstLine="562"/>
              <w:textAlignment w:val="auto"/>
              <w:rPr>
                <w:rFonts w:hint="eastAsia" w:ascii="Times New Roman" w:hAnsi="Times New Roman" w:eastAsia="仿宋_GB2312" w:cs="仿宋"/>
                <w:b w:val="0"/>
                <w:bCs w:val="0"/>
                <w:color w:val="auto"/>
                <w:sz w:val="28"/>
                <w:szCs w:val="28"/>
                <w:lang w:val="en-US" w:eastAsia="zh-CN"/>
              </w:rPr>
            </w:pPr>
            <w:r>
              <w:rPr>
                <w:rFonts w:hint="eastAsia" w:ascii="Times New Roman" w:hAnsi="Times New Roman" w:eastAsia="仿宋_GB2312" w:cs="仿宋"/>
                <w:b/>
                <w:bCs/>
                <w:color w:val="auto"/>
                <w:sz w:val="28"/>
                <w:szCs w:val="28"/>
                <w:lang w:val="en-US" w:eastAsia="zh-CN"/>
              </w:rPr>
              <w:t>问题</w:t>
            </w:r>
            <w:r>
              <w:rPr>
                <w:rFonts w:hint="eastAsia" w:eastAsia="仿宋_GB2312" w:cs="仿宋"/>
                <w:b/>
                <w:bCs/>
                <w:color w:val="auto"/>
                <w:sz w:val="28"/>
                <w:szCs w:val="28"/>
                <w:lang w:val="en-US" w:eastAsia="zh-CN"/>
              </w:rPr>
              <w:t>9</w:t>
            </w:r>
            <w:r>
              <w:rPr>
                <w:rFonts w:hint="eastAsia" w:ascii="Times New Roman" w:hAnsi="Times New Roman" w:eastAsia="仿宋_GB2312" w:cs="仿宋"/>
                <w:b/>
                <w:bCs/>
                <w:color w:val="auto"/>
                <w:sz w:val="28"/>
                <w:szCs w:val="28"/>
                <w:lang w:val="en-US" w:eastAsia="zh-CN"/>
              </w:rPr>
              <w:t>：公司上半年推出中期分红，每10股派0.125元，分红总额占归母净利润的45.20%，请问今后会不会把中期分红常态化？</w:t>
            </w:r>
          </w:p>
          <w:p w14:paraId="09CC651A">
            <w:pPr>
              <w:pStyle w:val="19"/>
              <w:keepNext w:val="0"/>
              <w:keepLines w:val="0"/>
              <w:pageBreakBefore w:val="0"/>
              <w:kinsoku/>
              <w:wordWrap/>
              <w:overflowPunct/>
              <w:topLinePunct w:val="0"/>
              <w:autoSpaceDE/>
              <w:autoSpaceDN/>
              <w:bidi w:val="0"/>
              <w:adjustRightInd/>
              <w:snapToGrid/>
              <w:spacing w:beforeLines="0" w:line="240" w:lineRule="auto"/>
              <w:ind w:left="0" w:leftChars="0" w:firstLine="562"/>
              <w:textAlignment w:val="auto"/>
              <w:rPr>
                <w:rFonts w:hint="eastAsia" w:ascii="Times New Roman" w:hAnsi="Times New Roman" w:eastAsia="仿宋_GB2312" w:cs="仿宋"/>
                <w:b w:val="0"/>
                <w:bCs w:val="0"/>
                <w:color w:val="auto"/>
                <w:sz w:val="28"/>
                <w:szCs w:val="28"/>
                <w:lang w:val="en-US" w:eastAsia="zh-CN"/>
              </w:rPr>
            </w:pPr>
            <w:r>
              <w:rPr>
                <w:rFonts w:hint="eastAsia" w:ascii="Times New Roman" w:hAnsi="Times New Roman" w:eastAsia="仿宋_GB2312" w:cs="仿宋"/>
                <w:b/>
                <w:bCs/>
                <w:color w:val="auto"/>
                <w:sz w:val="28"/>
                <w:szCs w:val="28"/>
                <w:lang w:val="en-US" w:eastAsia="zh-CN"/>
              </w:rPr>
              <w:t>答：</w:t>
            </w:r>
            <w:r>
              <w:rPr>
                <w:rFonts w:hint="eastAsia" w:ascii="Times New Roman" w:hAnsi="Times New Roman" w:eastAsia="仿宋_GB2312" w:cs="仿宋"/>
                <w:b w:val="0"/>
                <w:bCs w:val="0"/>
                <w:color w:val="auto"/>
                <w:sz w:val="28"/>
                <w:szCs w:val="28"/>
                <w:lang w:val="en-US" w:eastAsia="zh-CN"/>
              </w:rPr>
              <w:t>尊敬的投资者您好！公司坚持“长期、稳定、可持续”的股东价值回报机制，在2021-2025年度实现连续五年现金分红，并于2024年度首次实施中期分红，拟于2026年度再次实施中期分红。公司高度重视投资者的合理回报，在兼顾经营业绩可持续发展的前提下，公司将积极践行稳健的现金分红政策，在盈利允许的范围内通过增加分红频次、保持较高水平现金分红比例等手段，让投资者切实分享企业发展成长红利，提升投资者获得感。感谢您的关注！</w:t>
            </w:r>
          </w:p>
          <w:p w14:paraId="755719DE">
            <w:pPr>
              <w:pStyle w:val="19"/>
              <w:keepNext w:val="0"/>
              <w:keepLines w:val="0"/>
              <w:pageBreakBefore w:val="0"/>
              <w:kinsoku/>
              <w:wordWrap/>
              <w:overflowPunct/>
              <w:topLinePunct w:val="0"/>
              <w:autoSpaceDE/>
              <w:autoSpaceDN/>
              <w:bidi w:val="0"/>
              <w:adjustRightInd/>
              <w:snapToGrid/>
              <w:spacing w:beforeLines="0" w:line="240" w:lineRule="auto"/>
              <w:ind w:left="0" w:leftChars="0" w:firstLine="562"/>
              <w:textAlignment w:val="auto"/>
              <w:rPr>
                <w:rFonts w:hint="eastAsia" w:ascii="Times New Roman" w:hAnsi="Times New Roman" w:eastAsia="仿宋_GB2312" w:cs="仿宋"/>
                <w:b/>
                <w:bCs/>
                <w:color w:val="auto"/>
                <w:sz w:val="28"/>
                <w:szCs w:val="28"/>
                <w:lang w:val="en-US" w:eastAsia="zh-CN"/>
              </w:rPr>
            </w:pPr>
            <w:r>
              <w:rPr>
                <w:rFonts w:hint="eastAsia" w:ascii="Times New Roman" w:hAnsi="Times New Roman" w:eastAsia="仿宋_GB2312" w:cs="仿宋"/>
                <w:b/>
                <w:bCs/>
                <w:color w:val="auto"/>
                <w:sz w:val="28"/>
                <w:szCs w:val="28"/>
                <w:lang w:val="en-US" w:eastAsia="zh-CN"/>
              </w:rPr>
              <w:t>问题</w:t>
            </w:r>
            <w:r>
              <w:rPr>
                <w:rFonts w:hint="eastAsia" w:eastAsia="仿宋_GB2312" w:cs="仿宋"/>
                <w:b/>
                <w:bCs/>
                <w:color w:val="auto"/>
                <w:sz w:val="28"/>
                <w:szCs w:val="28"/>
                <w:lang w:val="en-US" w:eastAsia="zh-CN"/>
              </w:rPr>
              <w:t>10</w:t>
            </w:r>
            <w:r>
              <w:rPr>
                <w:rFonts w:hint="eastAsia" w:ascii="Times New Roman" w:hAnsi="Times New Roman" w:eastAsia="仿宋_GB2312" w:cs="仿宋"/>
                <w:b/>
                <w:bCs/>
                <w:color w:val="auto"/>
                <w:sz w:val="28"/>
                <w:szCs w:val="28"/>
                <w:lang w:val="en-US" w:eastAsia="zh-CN"/>
              </w:rPr>
              <w:t>：军品订单从中标到收入确认的周期大概是怎样的？特品板块下半年的收入确认节奏能展望一下吗？</w:t>
            </w:r>
          </w:p>
          <w:p w14:paraId="5945F26B">
            <w:pPr>
              <w:pStyle w:val="19"/>
              <w:keepNext w:val="0"/>
              <w:keepLines w:val="0"/>
              <w:pageBreakBefore w:val="0"/>
              <w:kinsoku/>
              <w:wordWrap/>
              <w:overflowPunct/>
              <w:topLinePunct w:val="0"/>
              <w:autoSpaceDE/>
              <w:autoSpaceDN/>
              <w:bidi w:val="0"/>
              <w:adjustRightInd/>
              <w:snapToGrid/>
              <w:spacing w:beforeLines="0" w:line="240" w:lineRule="auto"/>
              <w:ind w:left="0" w:leftChars="0" w:firstLine="562"/>
              <w:textAlignment w:val="auto"/>
              <w:rPr>
                <w:rFonts w:hint="eastAsia" w:ascii="Times New Roman" w:hAnsi="Times New Roman" w:eastAsia="仿宋_GB2312" w:cs="仿宋"/>
                <w:b w:val="0"/>
                <w:bCs w:val="0"/>
                <w:color w:val="auto"/>
                <w:sz w:val="28"/>
                <w:szCs w:val="28"/>
                <w:lang w:val="en-US" w:eastAsia="zh-CN"/>
              </w:rPr>
            </w:pPr>
            <w:r>
              <w:rPr>
                <w:rFonts w:hint="eastAsia" w:ascii="Times New Roman" w:hAnsi="Times New Roman" w:eastAsia="仿宋_GB2312" w:cs="仿宋"/>
                <w:b/>
                <w:bCs/>
                <w:color w:val="auto"/>
                <w:sz w:val="28"/>
                <w:szCs w:val="28"/>
                <w:lang w:val="en-US" w:eastAsia="zh-CN"/>
              </w:rPr>
              <w:t>答：</w:t>
            </w:r>
            <w:r>
              <w:rPr>
                <w:rFonts w:hint="eastAsia" w:ascii="Times New Roman" w:hAnsi="Times New Roman" w:eastAsia="仿宋_GB2312" w:cs="仿宋"/>
                <w:b w:val="0"/>
                <w:bCs w:val="0"/>
                <w:color w:val="auto"/>
                <w:sz w:val="28"/>
                <w:szCs w:val="28"/>
                <w:lang w:val="en-US" w:eastAsia="zh-CN"/>
              </w:rPr>
              <w:t>尊敬的投资者您好，军工行业存在“以需定产，计划性强”的特点，部分产品受客户年度采购计划和审批节点影响，收入确认在季节间有所分布，具体根据客户需求和中标产品合同约定的时间确定，具体收入确认时间请关注公司相关公告。感谢您的关注！</w:t>
            </w:r>
          </w:p>
          <w:p w14:paraId="5F154F9E">
            <w:pPr>
              <w:pStyle w:val="19"/>
              <w:keepNext w:val="0"/>
              <w:keepLines w:val="0"/>
              <w:pageBreakBefore w:val="0"/>
              <w:kinsoku/>
              <w:wordWrap/>
              <w:overflowPunct/>
              <w:topLinePunct w:val="0"/>
              <w:autoSpaceDE/>
              <w:autoSpaceDN/>
              <w:bidi w:val="0"/>
              <w:adjustRightInd/>
              <w:snapToGrid/>
              <w:spacing w:beforeLines="0" w:line="240" w:lineRule="auto"/>
              <w:ind w:left="0" w:leftChars="0" w:firstLine="562"/>
              <w:textAlignment w:val="auto"/>
              <w:rPr>
                <w:rFonts w:hint="eastAsia" w:ascii="Times New Roman" w:hAnsi="Times New Roman" w:eastAsia="仿宋_GB2312" w:cs="仿宋"/>
                <w:b/>
                <w:bCs/>
                <w:color w:val="auto"/>
                <w:sz w:val="28"/>
                <w:szCs w:val="28"/>
                <w:lang w:val="en-US" w:eastAsia="zh-CN"/>
              </w:rPr>
            </w:pPr>
            <w:r>
              <w:rPr>
                <w:rFonts w:hint="eastAsia" w:ascii="Times New Roman" w:hAnsi="Times New Roman" w:eastAsia="仿宋_GB2312" w:cs="仿宋"/>
                <w:b/>
                <w:bCs/>
                <w:color w:val="auto"/>
                <w:sz w:val="28"/>
                <w:szCs w:val="28"/>
                <w:lang w:val="en-US" w:eastAsia="zh-CN"/>
              </w:rPr>
              <w:t>问题</w:t>
            </w:r>
            <w:r>
              <w:rPr>
                <w:rFonts w:hint="eastAsia" w:eastAsia="仿宋_GB2312" w:cs="仿宋"/>
                <w:b/>
                <w:bCs/>
                <w:color w:val="auto"/>
                <w:sz w:val="28"/>
                <w:szCs w:val="28"/>
                <w:lang w:val="en-US" w:eastAsia="zh-CN"/>
              </w:rPr>
              <w:t>11</w:t>
            </w:r>
            <w:r>
              <w:rPr>
                <w:rFonts w:hint="eastAsia" w:ascii="Times New Roman" w:hAnsi="Times New Roman" w:eastAsia="仿宋_GB2312" w:cs="仿宋"/>
                <w:b/>
                <w:bCs/>
                <w:color w:val="auto"/>
                <w:sz w:val="28"/>
                <w:szCs w:val="28"/>
                <w:lang w:val="en-US" w:eastAsia="zh-CN"/>
              </w:rPr>
              <w:t>：半年报提到公司在拓展国际市场，请问目前出口业务的进展如何？主要面向哪些市场？</w:t>
            </w:r>
          </w:p>
          <w:p w14:paraId="7BA76C41">
            <w:pPr>
              <w:pStyle w:val="19"/>
              <w:keepNext w:val="0"/>
              <w:keepLines w:val="0"/>
              <w:pageBreakBefore w:val="0"/>
              <w:kinsoku/>
              <w:wordWrap/>
              <w:overflowPunct/>
              <w:topLinePunct w:val="0"/>
              <w:autoSpaceDE/>
              <w:autoSpaceDN/>
              <w:bidi w:val="0"/>
              <w:adjustRightInd/>
              <w:snapToGrid/>
              <w:spacing w:beforeLines="0" w:line="240" w:lineRule="auto"/>
              <w:ind w:left="0" w:leftChars="0" w:firstLine="562"/>
              <w:textAlignment w:val="auto"/>
              <w:rPr>
                <w:rFonts w:hint="eastAsia" w:ascii="Times New Roman" w:hAnsi="Times New Roman" w:eastAsia="仿宋_GB2312" w:cs="仿宋"/>
                <w:b/>
                <w:bCs/>
                <w:color w:val="auto"/>
                <w:sz w:val="28"/>
                <w:szCs w:val="28"/>
                <w:lang w:val="en-US" w:eastAsia="zh-CN"/>
              </w:rPr>
            </w:pPr>
            <w:r>
              <w:rPr>
                <w:rFonts w:hint="eastAsia" w:ascii="Times New Roman" w:hAnsi="Times New Roman" w:eastAsia="仿宋_GB2312" w:cs="仿宋"/>
                <w:b/>
                <w:bCs/>
                <w:color w:val="auto"/>
                <w:sz w:val="28"/>
                <w:szCs w:val="28"/>
                <w:lang w:val="en-US" w:eastAsia="zh-CN"/>
              </w:rPr>
              <w:t>答：</w:t>
            </w:r>
            <w:r>
              <w:rPr>
                <w:rFonts w:hint="eastAsia" w:ascii="Times New Roman" w:hAnsi="Times New Roman" w:eastAsia="仿宋_GB2312" w:cs="仿宋"/>
                <w:b w:val="0"/>
                <w:bCs w:val="0"/>
                <w:color w:val="auto"/>
                <w:sz w:val="28"/>
                <w:szCs w:val="28"/>
                <w:lang w:val="en-US" w:eastAsia="zh-CN"/>
              </w:rPr>
              <w:t>尊敬的投资者您好！公司围绕高端化、国际化方向，加快海外市场开拓力度，成功开拓多个新市场，助力国际市场份额稳步提升，公司海外客户主要分布在东南亚、土耳其、韩国等地区。未来，公司将持续优化医药包装及医疗器械板块市场结构和产品结构，稳住“基本盘”，培育“新品盘”，持续提升国际化市场体系能力，加快海外渠道布局，加大内部资源支持，提高外贸团队组织能力，强化国际市场对接，进一步提高海外市场份额。感谢您的关注！</w:t>
            </w:r>
          </w:p>
          <w:p w14:paraId="0402DC0A">
            <w:pPr>
              <w:pStyle w:val="19"/>
              <w:keepNext w:val="0"/>
              <w:keepLines w:val="0"/>
              <w:pageBreakBefore w:val="0"/>
              <w:kinsoku/>
              <w:wordWrap/>
              <w:overflowPunct/>
              <w:topLinePunct w:val="0"/>
              <w:autoSpaceDE/>
              <w:autoSpaceDN/>
              <w:bidi w:val="0"/>
              <w:adjustRightInd/>
              <w:snapToGrid/>
              <w:spacing w:beforeLines="0" w:line="240" w:lineRule="auto"/>
              <w:ind w:left="0" w:leftChars="0" w:firstLine="562"/>
              <w:textAlignment w:val="auto"/>
              <w:rPr>
                <w:rFonts w:hint="eastAsia" w:ascii="Times New Roman" w:hAnsi="Times New Roman" w:eastAsia="仿宋_GB2312" w:cs="仿宋"/>
                <w:b/>
                <w:bCs/>
                <w:color w:val="auto"/>
                <w:sz w:val="28"/>
                <w:szCs w:val="28"/>
                <w:lang w:val="en-US" w:eastAsia="zh-CN"/>
              </w:rPr>
            </w:pPr>
            <w:r>
              <w:rPr>
                <w:rFonts w:hint="eastAsia" w:ascii="Times New Roman" w:hAnsi="Times New Roman" w:eastAsia="仿宋_GB2312" w:cs="仿宋"/>
                <w:b/>
                <w:bCs/>
                <w:color w:val="auto"/>
                <w:sz w:val="28"/>
                <w:szCs w:val="28"/>
                <w:lang w:val="en-US" w:eastAsia="zh-CN"/>
              </w:rPr>
              <w:t>问题</w:t>
            </w:r>
            <w:r>
              <w:rPr>
                <w:rFonts w:hint="eastAsia" w:eastAsia="仿宋_GB2312" w:cs="仿宋"/>
                <w:b/>
                <w:bCs/>
                <w:color w:val="auto"/>
                <w:sz w:val="28"/>
                <w:szCs w:val="28"/>
                <w:lang w:val="en-US" w:eastAsia="zh-CN"/>
              </w:rPr>
              <w:t>12</w:t>
            </w:r>
            <w:r>
              <w:rPr>
                <w:rFonts w:hint="eastAsia" w:ascii="Times New Roman" w:hAnsi="Times New Roman" w:eastAsia="仿宋_GB2312" w:cs="仿宋"/>
                <w:b/>
                <w:bCs/>
                <w:color w:val="auto"/>
                <w:sz w:val="28"/>
                <w:szCs w:val="28"/>
                <w:lang w:val="en-US" w:eastAsia="zh-CN"/>
              </w:rPr>
              <w:t>：公司背靠兵器装备集团，在资源、订单、技术转化方面能获得哪些支持？军民两个板块怎么协同？</w:t>
            </w:r>
          </w:p>
          <w:p w14:paraId="1CFB0E7D">
            <w:pPr>
              <w:pStyle w:val="19"/>
              <w:keepNext w:val="0"/>
              <w:keepLines w:val="0"/>
              <w:pageBreakBefore w:val="0"/>
              <w:kinsoku/>
              <w:wordWrap/>
              <w:overflowPunct/>
              <w:topLinePunct w:val="0"/>
              <w:autoSpaceDE/>
              <w:autoSpaceDN/>
              <w:bidi w:val="0"/>
              <w:adjustRightInd/>
              <w:snapToGrid/>
              <w:spacing w:beforeLines="0" w:line="240" w:lineRule="auto"/>
              <w:ind w:left="0" w:leftChars="0" w:firstLine="562"/>
              <w:textAlignment w:val="auto"/>
              <w:rPr>
                <w:rFonts w:hint="eastAsia" w:ascii="Times New Roman" w:hAnsi="Times New Roman" w:eastAsia="仿宋_GB2312" w:cs="仿宋"/>
                <w:b/>
                <w:bCs/>
                <w:color w:val="auto"/>
                <w:sz w:val="28"/>
                <w:szCs w:val="28"/>
              </w:rPr>
            </w:pPr>
            <w:r>
              <w:rPr>
                <w:rFonts w:hint="eastAsia" w:ascii="Times New Roman" w:hAnsi="Times New Roman" w:eastAsia="仿宋_GB2312" w:cs="仿宋"/>
                <w:b/>
                <w:bCs/>
                <w:color w:val="auto"/>
                <w:sz w:val="28"/>
                <w:szCs w:val="28"/>
                <w:lang w:val="en-US" w:eastAsia="zh-CN"/>
              </w:rPr>
              <w:t>答：</w:t>
            </w:r>
            <w:r>
              <w:rPr>
                <w:rFonts w:hint="eastAsia" w:ascii="Times New Roman" w:hAnsi="Times New Roman" w:eastAsia="仿宋_GB2312" w:cs="仿宋"/>
                <w:b w:val="0"/>
                <w:bCs w:val="0"/>
                <w:color w:val="auto"/>
                <w:sz w:val="28"/>
                <w:szCs w:val="28"/>
                <w:lang w:val="en-US" w:eastAsia="zh-CN"/>
              </w:rPr>
              <w:t>尊敬的投资者您好！一是依托集团整体资质与品牌影响力，帮助公司拓展产品及配套业务市场。二是统筹协调技术与项目资源，协助拓宽项目对接渠道，在集团内部推动企业间协同攻关，促进技术资源共享与成果转化。三是在资金与人才资源方面，集团对科研、数字化转型等重点项目给予支持，同时不定期组织各类专业培训，助力公司人才队伍建设与管理能力提升。公司深化军民品协同发展，依托在防化领域积累的核心技术优势，积极推动相关技术成果向民用市场延伸，开发出人防过滤器、人防门、浸渍炭等系列民品，实现防化技术的产业化应用与价值放大。以现有技术积累，大力培育应急防护产业，布局应急产业赛道，公司重型防化服、隔热防护服、正压防护装备等应急防护产品成功亮相第五届长三角国际应急减灾和救援博览会，进一步拓展了在公共安全与应急救援领域的市场空间。充分吸收民品领域成熟的自动化、数字化技术，对军品机加、焊接等生产线进行柔性化改造，提升军品制造的智能化水平与生产效率。感谢您的关注！</w:t>
            </w:r>
          </w:p>
        </w:tc>
      </w:tr>
      <w:tr w14:paraId="1B23B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662" w:hRule="atLeast"/>
          <w:jc w:val="center"/>
        </w:trPr>
        <w:tc>
          <w:tcPr>
            <w:tcW w:w="14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80760A0">
            <w:pPr>
              <w:keepNext w:val="0"/>
              <w:keepLines w:val="0"/>
              <w:pageBreakBefore w:val="0"/>
              <w:widowControl w:val="0"/>
              <w:kinsoku/>
              <w:wordWrap/>
              <w:overflowPunct/>
              <w:topLinePunct w:val="0"/>
              <w:autoSpaceDE/>
              <w:autoSpaceDN/>
              <w:bidi w:val="0"/>
              <w:adjustRightInd/>
              <w:snapToGrid/>
              <w:spacing w:line="240" w:lineRule="auto"/>
              <w:ind w:left="0" w:leftChars="0"/>
              <w:textAlignment w:val="auto"/>
              <w:rPr>
                <w:rFonts w:hint="eastAsia" w:ascii="Times New Roman" w:hAnsi="Times New Roman" w:eastAsia="仿宋_GB2312"/>
                <w:bCs/>
                <w:iCs/>
                <w:color w:val="auto"/>
                <w:kern w:val="0"/>
                <w:sz w:val="28"/>
                <w:szCs w:val="28"/>
              </w:rPr>
            </w:pPr>
            <w:r>
              <w:rPr>
                <w:rFonts w:hint="eastAsia" w:ascii="Times New Roman" w:hAnsi="Times New Roman" w:eastAsia="仿宋_GB2312"/>
                <w:bCs/>
                <w:iCs/>
                <w:color w:val="auto"/>
                <w:kern w:val="0"/>
                <w:sz w:val="28"/>
                <w:szCs w:val="28"/>
              </w:rPr>
              <w:t>关于本次活动是否涉及应当披露重大信息的说明</w:t>
            </w:r>
          </w:p>
        </w:tc>
        <w:tc>
          <w:tcPr>
            <w:tcW w:w="84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01908D">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eastAsia" w:ascii="Times New Roman" w:hAnsi="Times New Roman" w:eastAsia="仿宋_GB2312"/>
                <w:bCs/>
                <w:iCs/>
                <w:color w:val="auto"/>
                <w:kern w:val="0"/>
                <w:sz w:val="28"/>
                <w:szCs w:val="28"/>
                <w:lang w:val="en-US" w:eastAsia="zh-CN"/>
              </w:rPr>
            </w:pPr>
            <w:r>
              <w:rPr>
                <w:rFonts w:hint="eastAsia" w:ascii="Times New Roman" w:hAnsi="Times New Roman" w:eastAsia="仿宋_GB2312"/>
                <w:bCs/>
                <w:iCs/>
                <w:color w:val="auto"/>
                <w:kern w:val="0"/>
                <w:sz w:val="28"/>
                <w:szCs w:val="28"/>
                <w:lang w:val="en-US" w:eastAsia="zh-CN"/>
              </w:rPr>
              <w:t>本次活动不涉及未公开披露的重大信息。</w:t>
            </w:r>
          </w:p>
        </w:tc>
      </w:tr>
      <w:tr w14:paraId="03147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511" w:hRule="atLeast"/>
          <w:jc w:val="center"/>
        </w:trPr>
        <w:tc>
          <w:tcPr>
            <w:tcW w:w="14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C3006B">
            <w:pPr>
              <w:keepNext w:val="0"/>
              <w:keepLines w:val="0"/>
              <w:pageBreakBefore w:val="0"/>
              <w:widowControl w:val="0"/>
              <w:kinsoku/>
              <w:wordWrap/>
              <w:overflowPunct/>
              <w:topLinePunct w:val="0"/>
              <w:autoSpaceDE/>
              <w:autoSpaceDN/>
              <w:bidi w:val="0"/>
              <w:adjustRightInd/>
              <w:snapToGrid/>
              <w:spacing w:line="240" w:lineRule="auto"/>
              <w:ind w:left="0" w:leftChars="0"/>
              <w:textAlignment w:val="auto"/>
              <w:rPr>
                <w:rFonts w:hint="eastAsia" w:ascii="Times New Roman" w:hAnsi="Times New Roman" w:eastAsia="仿宋_GB2312"/>
                <w:bCs/>
                <w:iCs/>
                <w:color w:val="auto"/>
                <w:kern w:val="0"/>
                <w:sz w:val="28"/>
                <w:szCs w:val="28"/>
              </w:rPr>
            </w:pPr>
            <w:r>
              <w:rPr>
                <w:rFonts w:hint="eastAsia" w:ascii="Times New Roman" w:hAnsi="Times New Roman" w:eastAsia="仿宋_GB2312"/>
                <w:bCs/>
                <w:iCs/>
                <w:color w:val="auto"/>
                <w:kern w:val="0"/>
                <w:sz w:val="28"/>
                <w:szCs w:val="28"/>
              </w:rPr>
              <w:t>附件清单</w:t>
            </w:r>
          </w:p>
        </w:tc>
        <w:tc>
          <w:tcPr>
            <w:tcW w:w="84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6DCB93">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eastAsia" w:ascii="Times New Roman" w:hAnsi="Times New Roman" w:eastAsia="仿宋_GB2312"/>
                <w:bCs/>
                <w:iCs/>
                <w:color w:val="auto"/>
                <w:kern w:val="0"/>
                <w:sz w:val="28"/>
                <w:szCs w:val="28"/>
                <w:lang w:val="en-US" w:eastAsia="zh-CN"/>
              </w:rPr>
            </w:pPr>
            <w:r>
              <w:rPr>
                <w:rFonts w:hint="eastAsia" w:ascii="Times New Roman" w:hAnsi="Times New Roman" w:eastAsia="仿宋_GB2312"/>
                <w:bCs/>
                <w:iCs/>
                <w:color w:val="auto"/>
                <w:kern w:val="0"/>
                <w:sz w:val="28"/>
                <w:szCs w:val="28"/>
                <w:lang w:val="en-US" w:eastAsia="zh-CN"/>
              </w:rPr>
              <w:t>无</w:t>
            </w:r>
          </w:p>
        </w:tc>
      </w:tr>
      <w:tr w14:paraId="1268F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511" w:hRule="atLeast"/>
          <w:jc w:val="center"/>
        </w:trPr>
        <w:tc>
          <w:tcPr>
            <w:tcW w:w="14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32BBB8A">
            <w:pPr>
              <w:keepNext w:val="0"/>
              <w:keepLines w:val="0"/>
              <w:pageBreakBefore w:val="0"/>
              <w:widowControl w:val="0"/>
              <w:kinsoku/>
              <w:wordWrap/>
              <w:overflowPunct/>
              <w:topLinePunct w:val="0"/>
              <w:autoSpaceDE/>
              <w:autoSpaceDN/>
              <w:bidi w:val="0"/>
              <w:adjustRightInd/>
              <w:snapToGrid/>
              <w:spacing w:line="240" w:lineRule="auto"/>
              <w:ind w:left="0" w:leftChars="0"/>
              <w:textAlignment w:val="auto"/>
              <w:rPr>
                <w:rFonts w:hint="eastAsia" w:ascii="Times New Roman" w:hAnsi="Times New Roman" w:eastAsia="仿宋_GB2312"/>
                <w:bCs/>
                <w:iCs/>
                <w:color w:val="auto"/>
                <w:kern w:val="0"/>
                <w:sz w:val="28"/>
                <w:szCs w:val="28"/>
              </w:rPr>
            </w:pPr>
            <w:r>
              <w:rPr>
                <w:rFonts w:hint="eastAsia" w:ascii="Times New Roman" w:hAnsi="Times New Roman" w:eastAsia="仿宋_GB2312"/>
                <w:bCs/>
                <w:iCs/>
                <w:color w:val="auto"/>
                <w:kern w:val="0"/>
                <w:sz w:val="28"/>
                <w:szCs w:val="28"/>
              </w:rPr>
              <w:t>日期</w:t>
            </w:r>
          </w:p>
        </w:tc>
        <w:tc>
          <w:tcPr>
            <w:tcW w:w="84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5518E60">
            <w:pPr>
              <w:keepNext w:val="0"/>
              <w:keepLines w:val="0"/>
              <w:pageBreakBefore w:val="0"/>
              <w:kinsoku/>
              <w:wordWrap/>
              <w:overflowPunct/>
              <w:topLinePunct w:val="0"/>
              <w:autoSpaceDE/>
              <w:autoSpaceDN/>
              <w:bidi w:val="0"/>
              <w:adjustRightInd/>
              <w:snapToGrid/>
              <w:spacing w:line="240" w:lineRule="auto"/>
              <w:ind w:left="0" w:leftChars="0"/>
              <w:textAlignment w:val="auto"/>
              <w:rPr>
                <w:rFonts w:hint="eastAsia" w:ascii="Times New Roman" w:hAnsi="Times New Roman" w:eastAsia="仿宋_GB2312"/>
                <w:bCs/>
                <w:iCs/>
                <w:color w:val="auto"/>
                <w:kern w:val="0"/>
                <w:sz w:val="28"/>
                <w:szCs w:val="28"/>
                <w:lang w:val="en-US" w:eastAsia="zh-CN"/>
              </w:rPr>
            </w:pPr>
            <w:r>
              <w:rPr>
                <w:rFonts w:hint="eastAsia" w:ascii="Times New Roman" w:hAnsi="Times New Roman" w:eastAsia="仿宋_GB2312"/>
                <w:bCs/>
                <w:iCs/>
                <w:color w:val="auto"/>
                <w:kern w:val="0"/>
                <w:sz w:val="28"/>
                <w:szCs w:val="28"/>
                <w:lang w:val="en-US" w:eastAsia="zh-CN"/>
              </w:rPr>
              <w:t>2026年8月25日</w:t>
            </w:r>
          </w:p>
        </w:tc>
      </w:tr>
    </w:tbl>
    <w:p w14:paraId="3EAAF87B">
      <w:pPr>
        <w:keepNext w:val="0"/>
        <w:keepLines w:val="0"/>
        <w:pageBreakBefore w:val="0"/>
        <w:widowControl w:val="0"/>
        <w:kinsoku/>
        <w:wordWrap/>
        <w:overflowPunct/>
        <w:topLinePunct w:val="0"/>
        <w:autoSpaceDE/>
        <w:autoSpaceDN/>
        <w:bidi w:val="0"/>
        <w:adjustRightInd/>
        <w:snapToGrid/>
        <w:spacing w:line="14" w:lineRule="exact"/>
        <w:textAlignment w:val="auto"/>
        <w:rPr>
          <w:rFonts w:ascii="Times New Roman" w:hAnsi="Times New Roman" w:eastAsia="仿宋_GB2312"/>
          <w:color w:val="000000" w:themeColor="text1"/>
          <w:sz w:val="28"/>
          <w:szCs w:val="28"/>
          <w14:textFill>
            <w14:solidFill>
              <w14:schemeClr w14:val="tx1"/>
            </w14:solidFill>
          </w14:textFill>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595D8">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821602">
                          <w:pPr>
                            <w:pStyle w:val="5"/>
                            <w:jc w:val="center"/>
                          </w:pP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PAGE  \* MERGEFORMAT </w:instrText>
                          </w:r>
                          <w:r>
                            <w:rPr>
                              <w:rFonts w:hint="default" w:ascii="Times New Roman" w:hAnsi="Times New Roman" w:cs="Times New Roman"/>
                              <w:sz w:val="20"/>
                              <w:szCs w:val="20"/>
                            </w:rPr>
                            <w:fldChar w:fldCharType="separate"/>
                          </w:r>
                          <w:r>
                            <w:rPr>
                              <w:rFonts w:hint="default" w:ascii="Times New Roman" w:hAnsi="Times New Roman" w:cs="Times New Roman"/>
                              <w:sz w:val="20"/>
                              <w:szCs w:val="20"/>
                            </w:rPr>
                            <w:t>1</w:t>
                          </w:r>
                          <w:r>
                            <w:rPr>
                              <w:rFonts w:hint="default" w:ascii="Times New Roman" w:hAnsi="Times New Roman" w:cs="Times New Roman"/>
                              <w:sz w:val="20"/>
                              <w:szCs w:val="2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7821602">
                    <w:pPr>
                      <w:pStyle w:val="5"/>
                      <w:jc w:val="center"/>
                    </w:pP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PAGE  \* MERGEFORMAT </w:instrText>
                    </w:r>
                    <w:r>
                      <w:rPr>
                        <w:rFonts w:hint="default" w:ascii="Times New Roman" w:hAnsi="Times New Roman" w:cs="Times New Roman"/>
                        <w:sz w:val="20"/>
                        <w:szCs w:val="20"/>
                      </w:rPr>
                      <w:fldChar w:fldCharType="separate"/>
                    </w:r>
                    <w:r>
                      <w:rPr>
                        <w:rFonts w:hint="default" w:ascii="Times New Roman" w:hAnsi="Times New Roman" w:cs="Times New Roman"/>
                        <w:sz w:val="20"/>
                        <w:szCs w:val="20"/>
                      </w:rPr>
                      <w:t>1</w:t>
                    </w:r>
                    <w:r>
                      <w:rPr>
                        <w:rFonts w:hint="default" w:ascii="Times New Roman" w:hAnsi="Times New Roman" w:cs="Times New Roman"/>
                        <w:sz w:val="20"/>
                        <w:szCs w:val="20"/>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NkYmJlNjcxZjY0MjI5NWM5MmFlNThjNTgwNmRhOTEifQ=="/>
  </w:docVars>
  <w:rsids>
    <w:rsidRoot w:val="00433B8A"/>
    <w:rsid w:val="0001002B"/>
    <w:rsid w:val="00017FA3"/>
    <w:rsid w:val="000210EA"/>
    <w:rsid w:val="00024D9A"/>
    <w:rsid w:val="00032471"/>
    <w:rsid w:val="00032C0D"/>
    <w:rsid w:val="00032CD5"/>
    <w:rsid w:val="00044F1E"/>
    <w:rsid w:val="00045CF9"/>
    <w:rsid w:val="00050EDC"/>
    <w:rsid w:val="00057A3A"/>
    <w:rsid w:val="00060AE0"/>
    <w:rsid w:val="00071026"/>
    <w:rsid w:val="00071087"/>
    <w:rsid w:val="00072F2A"/>
    <w:rsid w:val="00075BB6"/>
    <w:rsid w:val="000771F0"/>
    <w:rsid w:val="00087F56"/>
    <w:rsid w:val="00090234"/>
    <w:rsid w:val="00090DF0"/>
    <w:rsid w:val="0009489C"/>
    <w:rsid w:val="000A37FB"/>
    <w:rsid w:val="000A554C"/>
    <w:rsid w:val="000D1C9A"/>
    <w:rsid w:val="000E1D5E"/>
    <w:rsid w:val="00105935"/>
    <w:rsid w:val="00105F89"/>
    <w:rsid w:val="00107673"/>
    <w:rsid w:val="001108D0"/>
    <w:rsid w:val="00110C5C"/>
    <w:rsid w:val="001128EB"/>
    <w:rsid w:val="00114924"/>
    <w:rsid w:val="00120C61"/>
    <w:rsid w:val="0012778E"/>
    <w:rsid w:val="001450CB"/>
    <w:rsid w:val="00155C3D"/>
    <w:rsid w:val="0016029F"/>
    <w:rsid w:val="001656DD"/>
    <w:rsid w:val="00173F16"/>
    <w:rsid w:val="00177C61"/>
    <w:rsid w:val="0018075D"/>
    <w:rsid w:val="00181195"/>
    <w:rsid w:val="00190687"/>
    <w:rsid w:val="00194553"/>
    <w:rsid w:val="00197D0D"/>
    <w:rsid w:val="001A0230"/>
    <w:rsid w:val="001B18E2"/>
    <w:rsid w:val="001B3CCD"/>
    <w:rsid w:val="001D0E37"/>
    <w:rsid w:val="001D14D4"/>
    <w:rsid w:val="001D5DBA"/>
    <w:rsid w:val="001D7ECE"/>
    <w:rsid w:val="001E3999"/>
    <w:rsid w:val="001E58BB"/>
    <w:rsid w:val="001F0134"/>
    <w:rsid w:val="00202D6E"/>
    <w:rsid w:val="0020788C"/>
    <w:rsid w:val="002134C3"/>
    <w:rsid w:val="00214482"/>
    <w:rsid w:val="0022161F"/>
    <w:rsid w:val="00227412"/>
    <w:rsid w:val="00227AB8"/>
    <w:rsid w:val="002326A7"/>
    <w:rsid w:val="0023479D"/>
    <w:rsid w:val="002375C6"/>
    <w:rsid w:val="00240FF5"/>
    <w:rsid w:val="00243A7D"/>
    <w:rsid w:val="00245E9E"/>
    <w:rsid w:val="0025385E"/>
    <w:rsid w:val="00267FA0"/>
    <w:rsid w:val="00274B8F"/>
    <w:rsid w:val="00275502"/>
    <w:rsid w:val="002836D9"/>
    <w:rsid w:val="00284388"/>
    <w:rsid w:val="002854AA"/>
    <w:rsid w:val="00286D84"/>
    <w:rsid w:val="00290359"/>
    <w:rsid w:val="002C1BA8"/>
    <w:rsid w:val="002C6E8D"/>
    <w:rsid w:val="002D18EA"/>
    <w:rsid w:val="002D4B87"/>
    <w:rsid w:val="002D628E"/>
    <w:rsid w:val="002F0F9B"/>
    <w:rsid w:val="002F28B5"/>
    <w:rsid w:val="002F4516"/>
    <w:rsid w:val="002F6F18"/>
    <w:rsid w:val="002F6F52"/>
    <w:rsid w:val="00306299"/>
    <w:rsid w:val="00311A5F"/>
    <w:rsid w:val="003320C6"/>
    <w:rsid w:val="00344818"/>
    <w:rsid w:val="003526EF"/>
    <w:rsid w:val="00355AF2"/>
    <w:rsid w:val="003617C0"/>
    <w:rsid w:val="003619DE"/>
    <w:rsid w:val="003707B2"/>
    <w:rsid w:val="003714D2"/>
    <w:rsid w:val="003843A0"/>
    <w:rsid w:val="00384766"/>
    <w:rsid w:val="0039022F"/>
    <w:rsid w:val="00391D18"/>
    <w:rsid w:val="00397917"/>
    <w:rsid w:val="003A4D78"/>
    <w:rsid w:val="003A7A09"/>
    <w:rsid w:val="003B361D"/>
    <w:rsid w:val="003B7EFD"/>
    <w:rsid w:val="003C4948"/>
    <w:rsid w:val="003D6799"/>
    <w:rsid w:val="003E2EDE"/>
    <w:rsid w:val="003E3701"/>
    <w:rsid w:val="003F1EFA"/>
    <w:rsid w:val="003F219C"/>
    <w:rsid w:val="003F7BC4"/>
    <w:rsid w:val="00403B53"/>
    <w:rsid w:val="00433B8A"/>
    <w:rsid w:val="00440077"/>
    <w:rsid w:val="004409AA"/>
    <w:rsid w:val="00445E16"/>
    <w:rsid w:val="00446D80"/>
    <w:rsid w:val="00452B88"/>
    <w:rsid w:val="00464484"/>
    <w:rsid w:val="0046590C"/>
    <w:rsid w:val="00472655"/>
    <w:rsid w:val="00481E7A"/>
    <w:rsid w:val="00482E79"/>
    <w:rsid w:val="00490F0C"/>
    <w:rsid w:val="00493D89"/>
    <w:rsid w:val="0049726A"/>
    <w:rsid w:val="004A335D"/>
    <w:rsid w:val="004B49B5"/>
    <w:rsid w:val="004C2BE1"/>
    <w:rsid w:val="004C68EA"/>
    <w:rsid w:val="004D1262"/>
    <w:rsid w:val="004E043B"/>
    <w:rsid w:val="004E56C3"/>
    <w:rsid w:val="004E6240"/>
    <w:rsid w:val="004E7605"/>
    <w:rsid w:val="004F269C"/>
    <w:rsid w:val="005051A3"/>
    <w:rsid w:val="005052FB"/>
    <w:rsid w:val="00510A41"/>
    <w:rsid w:val="00515B01"/>
    <w:rsid w:val="00520A44"/>
    <w:rsid w:val="00521C12"/>
    <w:rsid w:val="00527E81"/>
    <w:rsid w:val="0057187B"/>
    <w:rsid w:val="00581BC1"/>
    <w:rsid w:val="0058421D"/>
    <w:rsid w:val="005A6F0F"/>
    <w:rsid w:val="005B5644"/>
    <w:rsid w:val="005C57EE"/>
    <w:rsid w:val="005D4ABD"/>
    <w:rsid w:val="005D5070"/>
    <w:rsid w:val="005E0101"/>
    <w:rsid w:val="005E790F"/>
    <w:rsid w:val="005E7A0E"/>
    <w:rsid w:val="005F4071"/>
    <w:rsid w:val="00604D31"/>
    <w:rsid w:val="006061FE"/>
    <w:rsid w:val="00611F92"/>
    <w:rsid w:val="00620851"/>
    <w:rsid w:val="006246D7"/>
    <w:rsid w:val="006308E7"/>
    <w:rsid w:val="00634E8D"/>
    <w:rsid w:val="00635184"/>
    <w:rsid w:val="00636546"/>
    <w:rsid w:val="00640D3D"/>
    <w:rsid w:val="00640EF6"/>
    <w:rsid w:val="00646929"/>
    <w:rsid w:val="00651CA5"/>
    <w:rsid w:val="00651CF0"/>
    <w:rsid w:val="00655792"/>
    <w:rsid w:val="00661C79"/>
    <w:rsid w:val="00661C99"/>
    <w:rsid w:val="00661FED"/>
    <w:rsid w:val="006635E5"/>
    <w:rsid w:val="00664697"/>
    <w:rsid w:val="00673BDC"/>
    <w:rsid w:val="0067584F"/>
    <w:rsid w:val="00694557"/>
    <w:rsid w:val="006A03A2"/>
    <w:rsid w:val="006A7EB8"/>
    <w:rsid w:val="006C460F"/>
    <w:rsid w:val="006C64DD"/>
    <w:rsid w:val="006D13A7"/>
    <w:rsid w:val="006D5AC0"/>
    <w:rsid w:val="006E3B43"/>
    <w:rsid w:val="006E5A33"/>
    <w:rsid w:val="006E69C0"/>
    <w:rsid w:val="006F4FD1"/>
    <w:rsid w:val="00705B01"/>
    <w:rsid w:val="00715B77"/>
    <w:rsid w:val="00730AFF"/>
    <w:rsid w:val="00735552"/>
    <w:rsid w:val="00753AA5"/>
    <w:rsid w:val="0075479A"/>
    <w:rsid w:val="00761D8C"/>
    <w:rsid w:val="00773ED8"/>
    <w:rsid w:val="00774865"/>
    <w:rsid w:val="00776522"/>
    <w:rsid w:val="00781B44"/>
    <w:rsid w:val="007915D0"/>
    <w:rsid w:val="0079224B"/>
    <w:rsid w:val="00792CE2"/>
    <w:rsid w:val="00793E18"/>
    <w:rsid w:val="00797D4D"/>
    <w:rsid w:val="007A2EFE"/>
    <w:rsid w:val="007C0120"/>
    <w:rsid w:val="007C47A7"/>
    <w:rsid w:val="007E05DD"/>
    <w:rsid w:val="007E2790"/>
    <w:rsid w:val="007E76CD"/>
    <w:rsid w:val="007F096B"/>
    <w:rsid w:val="007F4175"/>
    <w:rsid w:val="007F5EC5"/>
    <w:rsid w:val="00804756"/>
    <w:rsid w:val="008062F3"/>
    <w:rsid w:val="008108CE"/>
    <w:rsid w:val="00817DF8"/>
    <w:rsid w:val="008208F7"/>
    <w:rsid w:val="00821221"/>
    <w:rsid w:val="00826A92"/>
    <w:rsid w:val="00831078"/>
    <w:rsid w:val="00846E66"/>
    <w:rsid w:val="00863009"/>
    <w:rsid w:val="0086543C"/>
    <w:rsid w:val="00866C08"/>
    <w:rsid w:val="00877925"/>
    <w:rsid w:val="008808A5"/>
    <w:rsid w:val="008872C7"/>
    <w:rsid w:val="00890EF8"/>
    <w:rsid w:val="00895E0B"/>
    <w:rsid w:val="008B09B7"/>
    <w:rsid w:val="008B411C"/>
    <w:rsid w:val="008B536B"/>
    <w:rsid w:val="008C52F7"/>
    <w:rsid w:val="008C7232"/>
    <w:rsid w:val="008E4F2A"/>
    <w:rsid w:val="0090039D"/>
    <w:rsid w:val="009033BF"/>
    <w:rsid w:val="00906B78"/>
    <w:rsid w:val="00911463"/>
    <w:rsid w:val="00917A5F"/>
    <w:rsid w:val="00923A03"/>
    <w:rsid w:val="00924BE6"/>
    <w:rsid w:val="009306AB"/>
    <w:rsid w:val="00933E85"/>
    <w:rsid w:val="0093496A"/>
    <w:rsid w:val="00936241"/>
    <w:rsid w:val="00941330"/>
    <w:rsid w:val="00951ECC"/>
    <w:rsid w:val="00967290"/>
    <w:rsid w:val="00967EDA"/>
    <w:rsid w:val="00984919"/>
    <w:rsid w:val="00997220"/>
    <w:rsid w:val="009A64E0"/>
    <w:rsid w:val="009B53B3"/>
    <w:rsid w:val="009C6744"/>
    <w:rsid w:val="009D2215"/>
    <w:rsid w:val="009D2DBF"/>
    <w:rsid w:val="009D6549"/>
    <w:rsid w:val="009E1BA3"/>
    <w:rsid w:val="009E5DE9"/>
    <w:rsid w:val="009F19F0"/>
    <w:rsid w:val="009F4312"/>
    <w:rsid w:val="00A011A8"/>
    <w:rsid w:val="00A016F4"/>
    <w:rsid w:val="00A03098"/>
    <w:rsid w:val="00A12231"/>
    <w:rsid w:val="00A14AAE"/>
    <w:rsid w:val="00A14B71"/>
    <w:rsid w:val="00A23B19"/>
    <w:rsid w:val="00A25CB7"/>
    <w:rsid w:val="00A35941"/>
    <w:rsid w:val="00A42303"/>
    <w:rsid w:val="00A44E09"/>
    <w:rsid w:val="00A60F7E"/>
    <w:rsid w:val="00A621FA"/>
    <w:rsid w:val="00A63CF6"/>
    <w:rsid w:val="00A63D3F"/>
    <w:rsid w:val="00A660CD"/>
    <w:rsid w:val="00A9048D"/>
    <w:rsid w:val="00A92209"/>
    <w:rsid w:val="00A92865"/>
    <w:rsid w:val="00A93930"/>
    <w:rsid w:val="00A95A13"/>
    <w:rsid w:val="00A9640E"/>
    <w:rsid w:val="00A97DA8"/>
    <w:rsid w:val="00AA2B50"/>
    <w:rsid w:val="00AB491C"/>
    <w:rsid w:val="00AC6690"/>
    <w:rsid w:val="00AE7276"/>
    <w:rsid w:val="00AF00AF"/>
    <w:rsid w:val="00AF3CAB"/>
    <w:rsid w:val="00AF5215"/>
    <w:rsid w:val="00AF626F"/>
    <w:rsid w:val="00B043A8"/>
    <w:rsid w:val="00B0703B"/>
    <w:rsid w:val="00B1131E"/>
    <w:rsid w:val="00B16D1D"/>
    <w:rsid w:val="00B34B38"/>
    <w:rsid w:val="00B3658F"/>
    <w:rsid w:val="00B52A92"/>
    <w:rsid w:val="00B52FCE"/>
    <w:rsid w:val="00B70FEB"/>
    <w:rsid w:val="00B825F4"/>
    <w:rsid w:val="00B8282F"/>
    <w:rsid w:val="00B90A0E"/>
    <w:rsid w:val="00BA339B"/>
    <w:rsid w:val="00BA3AAF"/>
    <w:rsid w:val="00BB4AA4"/>
    <w:rsid w:val="00BC2249"/>
    <w:rsid w:val="00BC2C96"/>
    <w:rsid w:val="00BD10E1"/>
    <w:rsid w:val="00BD5573"/>
    <w:rsid w:val="00BE7582"/>
    <w:rsid w:val="00BF4DDB"/>
    <w:rsid w:val="00C02E3C"/>
    <w:rsid w:val="00C10834"/>
    <w:rsid w:val="00C16675"/>
    <w:rsid w:val="00C26FFA"/>
    <w:rsid w:val="00C37FC2"/>
    <w:rsid w:val="00C50078"/>
    <w:rsid w:val="00C62B7C"/>
    <w:rsid w:val="00C62D38"/>
    <w:rsid w:val="00C6681E"/>
    <w:rsid w:val="00C72A60"/>
    <w:rsid w:val="00C72B18"/>
    <w:rsid w:val="00C762F2"/>
    <w:rsid w:val="00C77990"/>
    <w:rsid w:val="00C8385D"/>
    <w:rsid w:val="00C86B63"/>
    <w:rsid w:val="00C9360F"/>
    <w:rsid w:val="00C969B0"/>
    <w:rsid w:val="00CA0009"/>
    <w:rsid w:val="00CA3B79"/>
    <w:rsid w:val="00CA7BC9"/>
    <w:rsid w:val="00CB5509"/>
    <w:rsid w:val="00CB57CC"/>
    <w:rsid w:val="00CC2947"/>
    <w:rsid w:val="00CC7A2E"/>
    <w:rsid w:val="00CE3C19"/>
    <w:rsid w:val="00CE6C6C"/>
    <w:rsid w:val="00D03F69"/>
    <w:rsid w:val="00D23EC9"/>
    <w:rsid w:val="00D32284"/>
    <w:rsid w:val="00D3498A"/>
    <w:rsid w:val="00D41B1B"/>
    <w:rsid w:val="00D506E7"/>
    <w:rsid w:val="00D65E26"/>
    <w:rsid w:val="00D745A5"/>
    <w:rsid w:val="00D75C1F"/>
    <w:rsid w:val="00D81A86"/>
    <w:rsid w:val="00D878DC"/>
    <w:rsid w:val="00D9226E"/>
    <w:rsid w:val="00D975AF"/>
    <w:rsid w:val="00DA1C90"/>
    <w:rsid w:val="00DA7542"/>
    <w:rsid w:val="00DB5251"/>
    <w:rsid w:val="00DC0567"/>
    <w:rsid w:val="00DC4773"/>
    <w:rsid w:val="00DC7099"/>
    <w:rsid w:val="00DC7D7A"/>
    <w:rsid w:val="00DD1E46"/>
    <w:rsid w:val="00DD458E"/>
    <w:rsid w:val="00DD62DF"/>
    <w:rsid w:val="00DE1B1D"/>
    <w:rsid w:val="00DE3192"/>
    <w:rsid w:val="00DE7027"/>
    <w:rsid w:val="00DF42CC"/>
    <w:rsid w:val="00DF7202"/>
    <w:rsid w:val="00E02E9F"/>
    <w:rsid w:val="00E11E2A"/>
    <w:rsid w:val="00E360F4"/>
    <w:rsid w:val="00E420AD"/>
    <w:rsid w:val="00E42647"/>
    <w:rsid w:val="00E42FED"/>
    <w:rsid w:val="00E432BE"/>
    <w:rsid w:val="00E4368E"/>
    <w:rsid w:val="00E43FEE"/>
    <w:rsid w:val="00E61C05"/>
    <w:rsid w:val="00E744AF"/>
    <w:rsid w:val="00E74D00"/>
    <w:rsid w:val="00E84779"/>
    <w:rsid w:val="00E85A9F"/>
    <w:rsid w:val="00E85ECA"/>
    <w:rsid w:val="00E86456"/>
    <w:rsid w:val="00E87467"/>
    <w:rsid w:val="00E916B1"/>
    <w:rsid w:val="00E931B7"/>
    <w:rsid w:val="00E971CE"/>
    <w:rsid w:val="00E97813"/>
    <w:rsid w:val="00E97D43"/>
    <w:rsid w:val="00EA243F"/>
    <w:rsid w:val="00EA59B1"/>
    <w:rsid w:val="00EB2550"/>
    <w:rsid w:val="00EB591C"/>
    <w:rsid w:val="00EB6C83"/>
    <w:rsid w:val="00EC0186"/>
    <w:rsid w:val="00ED38EF"/>
    <w:rsid w:val="00EE00D6"/>
    <w:rsid w:val="00EF4403"/>
    <w:rsid w:val="00EF5DD1"/>
    <w:rsid w:val="00F06803"/>
    <w:rsid w:val="00F259E4"/>
    <w:rsid w:val="00F2688E"/>
    <w:rsid w:val="00F32E31"/>
    <w:rsid w:val="00F34E01"/>
    <w:rsid w:val="00F36904"/>
    <w:rsid w:val="00F369D3"/>
    <w:rsid w:val="00F4234C"/>
    <w:rsid w:val="00F523CA"/>
    <w:rsid w:val="00F53AE3"/>
    <w:rsid w:val="00F565CF"/>
    <w:rsid w:val="00F61C5D"/>
    <w:rsid w:val="00F62869"/>
    <w:rsid w:val="00F67977"/>
    <w:rsid w:val="00F710A8"/>
    <w:rsid w:val="00F85EBB"/>
    <w:rsid w:val="00F95867"/>
    <w:rsid w:val="00FB1FAA"/>
    <w:rsid w:val="00FB4D96"/>
    <w:rsid w:val="00FB6966"/>
    <w:rsid w:val="00FC65A3"/>
    <w:rsid w:val="00FD0AC0"/>
    <w:rsid w:val="00FD142E"/>
    <w:rsid w:val="00FE1488"/>
    <w:rsid w:val="00FE1DA9"/>
    <w:rsid w:val="00FE262B"/>
    <w:rsid w:val="00FE2E27"/>
    <w:rsid w:val="00FE5189"/>
    <w:rsid w:val="00FE6A0F"/>
    <w:rsid w:val="00FF1864"/>
    <w:rsid w:val="01581BB1"/>
    <w:rsid w:val="02040A0C"/>
    <w:rsid w:val="025D6791"/>
    <w:rsid w:val="036F371A"/>
    <w:rsid w:val="04C723FD"/>
    <w:rsid w:val="04DF6879"/>
    <w:rsid w:val="063C52EA"/>
    <w:rsid w:val="06622973"/>
    <w:rsid w:val="068251F7"/>
    <w:rsid w:val="06D265D8"/>
    <w:rsid w:val="07230354"/>
    <w:rsid w:val="07794418"/>
    <w:rsid w:val="07ED2455"/>
    <w:rsid w:val="080F5FD7"/>
    <w:rsid w:val="098F4442"/>
    <w:rsid w:val="0ADE08BA"/>
    <w:rsid w:val="0AE51F05"/>
    <w:rsid w:val="0B0E0DE1"/>
    <w:rsid w:val="0C2D67FB"/>
    <w:rsid w:val="0CB31C0B"/>
    <w:rsid w:val="0D1236B7"/>
    <w:rsid w:val="0D4B3976"/>
    <w:rsid w:val="0DB1255B"/>
    <w:rsid w:val="0F782811"/>
    <w:rsid w:val="0F8D08F5"/>
    <w:rsid w:val="0F9D0EBF"/>
    <w:rsid w:val="0FAC5DB9"/>
    <w:rsid w:val="10235FA8"/>
    <w:rsid w:val="10A818CA"/>
    <w:rsid w:val="10C02A32"/>
    <w:rsid w:val="10DB2654"/>
    <w:rsid w:val="10F55C86"/>
    <w:rsid w:val="11164479"/>
    <w:rsid w:val="11451489"/>
    <w:rsid w:val="11B1715E"/>
    <w:rsid w:val="12044546"/>
    <w:rsid w:val="123F73E1"/>
    <w:rsid w:val="143036B3"/>
    <w:rsid w:val="15E44A90"/>
    <w:rsid w:val="171A1199"/>
    <w:rsid w:val="17B17B1A"/>
    <w:rsid w:val="18330097"/>
    <w:rsid w:val="18443E0A"/>
    <w:rsid w:val="19372E89"/>
    <w:rsid w:val="196C4656"/>
    <w:rsid w:val="1A400CBF"/>
    <w:rsid w:val="1A4400B0"/>
    <w:rsid w:val="1A47040C"/>
    <w:rsid w:val="1AF9509F"/>
    <w:rsid w:val="1B7269B5"/>
    <w:rsid w:val="1B79633D"/>
    <w:rsid w:val="1BB84490"/>
    <w:rsid w:val="1BE37821"/>
    <w:rsid w:val="1BEE702F"/>
    <w:rsid w:val="1C3F545B"/>
    <w:rsid w:val="1C5261B0"/>
    <w:rsid w:val="1CE935A5"/>
    <w:rsid w:val="1D2773D1"/>
    <w:rsid w:val="1D791AA8"/>
    <w:rsid w:val="1E3E2B8A"/>
    <w:rsid w:val="1F2C41CD"/>
    <w:rsid w:val="1F2E780D"/>
    <w:rsid w:val="204D7D87"/>
    <w:rsid w:val="20BB11A5"/>
    <w:rsid w:val="21C26A72"/>
    <w:rsid w:val="2319577A"/>
    <w:rsid w:val="243B4AD7"/>
    <w:rsid w:val="2444198E"/>
    <w:rsid w:val="248B1345"/>
    <w:rsid w:val="252D5E84"/>
    <w:rsid w:val="266F60D7"/>
    <w:rsid w:val="26AE541C"/>
    <w:rsid w:val="26C27DC8"/>
    <w:rsid w:val="26D27A1D"/>
    <w:rsid w:val="26E065DB"/>
    <w:rsid w:val="27C1798D"/>
    <w:rsid w:val="27D058EB"/>
    <w:rsid w:val="27DE6C9F"/>
    <w:rsid w:val="27F82B28"/>
    <w:rsid w:val="2A702467"/>
    <w:rsid w:val="2C55673C"/>
    <w:rsid w:val="2E6B3AF4"/>
    <w:rsid w:val="2EAB59D7"/>
    <w:rsid w:val="2F1B5E7F"/>
    <w:rsid w:val="2F234A37"/>
    <w:rsid w:val="2F240E16"/>
    <w:rsid w:val="2FF10740"/>
    <w:rsid w:val="2FF92563"/>
    <w:rsid w:val="301306B6"/>
    <w:rsid w:val="30624B86"/>
    <w:rsid w:val="30F05B71"/>
    <w:rsid w:val="31562520"/>
    <w:rsid w:val="31CB6D6E"/>
    <w:rsid w:val="325655CB"/>
    <w:rsid w:val="32845C84"/>
    <w:rsid w:val="345F777F"/>
    <w:rsid w:val="346A7ECD"/>
    <w:rsid w:val="34D2328A"/>
    <w:rsid w:val="363E04DB"/>
    <w:rsid w:val="3646288B"/>
    <w:rsid w:val="368C6E40"/>
    <w:rsid w:val="369516E7"/>
    <w:rsid w:val="36B85FBC"/>
    <w:rsid w:val="36F81116"/>
    <w:rsid w:val="3732101F"/>
    <w:rsid w:val="3776713A"/>
    <w:rsid w:val="38027000"/>
    <w:rsid w:val="38602C35"/>
    <w:rsid w:val="387A5639"/>
    <w:rsid w:val="39620592"/>
    <w:rsid w:val="3A3C467D"/>
    <w:rsid w:val="3A5D73B6"/>
    <w:rsid w:val="3B5A0DA7"/>
    <w:rsid w:val="3B5A6316"/>
    <w:rsid w:val="3B716BD9"/>
    <w:rsid w:val="3BA161DB"/>
    <w:rsid w:val="3C1E7B20"/>
    <w:rsid w:val="3CAA5FE0"/>
    <w:rsid w:val="3CB25215"/>
    <w:rsid w:val="3CC11C39"/>
    <w:rsid w:val="3CFD45D1"/>
    <w:rsid w:val="3D2509DF"/>
    <w:rsid w:val="3E7E4406"/>
    <w:rsid w:val="3EA2211C"/>
    <w:rsid w:val="3EAE34A5"/>
    <w:rsid w:val="3F1B2EC1"/>
    <w:rsid w:val="40E21D7C"/>
    <w:rsid w:val="41397F2C"/>
    <w:rsid w:val="4214731D"/>
    <w:rsid w:val="430E7BED"/>
    <w:rsid w:val="43152558"/>
    <w:rsid w:val="431A1DCD"/>
    <w:rsid w:val="433513BF"/>
    <w:rsid w:val="436B299A"/>
    <w:rsid w:val="44B71B5A"/>
    <w:rsid w:val="45456FD1"/>
    <w:rsid w:val="456A3A37"/>
    <w:rsid w:val="45980FA3"/>
    <w:rsid w:val="45BC048A"/>
    <w:rsid w:val="45E83F3B"/>
    <w:rsid w:val="460578E9"/>
    <w:rsid w:val="467B090B"/>
    <w:rsid w:val="472F4F9A"/>
    <w:rsid w:val="47A67C0A"/>
    <w:rsid w:val="47C307BC"/>
    <w:rsid w:val="47F1097F"/>
    <w:rsid w:val="48387517"/>
    <w:rsid w:val="49647825"/>
    <w:rsid w:val="49A1438A"/>
    <w:rsid w:val="4A5C1CA3"/>
    <w:rsid w:val="4AA84715"/>
    <w:rsid w:val="4B3444D8"/>
    <w:rsid w:val="4B795C58"/>
    <w:rsid w:val="4BE515A0"/>
    <w:rsid w:val="4BE555C1"/>
    <w:rsid w:val="4C82133E"/>
    <w:rsid w:val="4CC36975"/>
    <w:rsid w:val="4CE47B15"/>
    <w:rsid w:val="4DA53FDF"/>
    <w:rsid w:val="4E0A7962"/>
    <w:rsid w:val="4E5776CC"/>
    <w:rsid w:val="4ED86CDD"/>
    <w:rsid w:val="4FA222A9"/>
    <w:rsid w:val="4FF31E99"/>
    <w:rsid w:val="50573E54"/>
    <w:rsid w:val="50801052"/>
    <w:rsid w:val="50B33562"/>
    <w:rsid w:val="50E748BB"/>
    <w:rsid w:val="5145251D"/>
    <w:rsid w:val="51CC0C5E"/>
    <w:rsid w:val="51FC329D"/>
    <w:rsid w:val="52061342"/>
    <w:rsid w:val="52213A5A"/>
    <w:rsid w:val="5268268C"/>
    <w:rsid w:val="53620690"/>
    <w:rsid w:val="538D6B1D"/>
    <w:rsid w:val="53992A08"/>
    <w:rsid w:val="53B417E5"/>
    <w:rsid w:val="542B3EB2"/>
    <w:rsid w:val="54340F90"/>
    <w:rsid w:val="55C36311"/>
    <w:rsid w:val="594F132C"/>
    <w:rsid w:val="59664694"/>
    <w:rsid w:val="59B0586A"/>
    <w:rsid w:val="5A451EAF"/>
    <w:rsid w:val="5ABD3663"/>
    <w:rsid w:val="5AF22733"/>
    <w:rsid w:val="5AFA5519"/>
    <w:rsid w:val="5B6E6FEA"/>
    <w:rsid w:val="5C791889"/>
    <w:rsid w:val="5C9124D2"/>
    <w:rsid w:val="5CD22AC5"/>
    <w:rsid w:val="5D06706E"/>
    <w:rsid w:val="5D1260AD"/>
    <w:rsid w:val="5E0E0A0B"/>
    <w:rsid w:val="5F8560CC"/>
    <w:rsid w:val="604774FD"/>
    <w:rsid w:val="6099532D"/>
    <w:rsid w:val="60A10FAE"/>
    <w:rsid w:val="60A72393"/>
    <w:rsid w:val="60BE0AAF"/>
    <w:rsid w:val="62F71DCA"/>
    <w:rsid w:val="63D2457B"/>
    <w:rsid w:val="65821C66"/>
    <w:rsid w:val="66A316B9"/>
    <w:rsid w:val="66B75C4C"/>
    <w:rsid w:val="66DA714C"/>
    <w:rsid w:val="66E55C01"/>
    <w:rsid w:val="679C050A"/>
    <w:rsid w:val="67EE0585"/>
    <w:rsid w:val="68067893"/>
    <w:rsid w:val="696E5D5E"/>
    <w:rsid w:val="69B41D9F"/>
    <w:rsid w:val="6A413E64"/>
    <w:rsid w:val="6C3C7C37"/>
    <w:rsid w:val="6CF23A30"/>
    <w:rsid w:val="6E040BA3"/>
    <w:rsid w:val="6E182C8A"/>
    <w:rsid w:val="6FBB3810"/>
    <w:rsid w:val="6FF4427E"/>
    <w:rsid w:val="708D66B7"/>
    <w:rsid w:val="72FF1739"/>
    <w:rsid w:val="738A0C50"/>
    <w:rsid w:val="75641561"/>
    <w:rsid w:val="76D2189B"/>
    <w:rsid w:val="76FE35A7"/>
    <w:rsid w:val="77516906"/>
    <w:rsid w:val="778557D9"/>
    <w:rsid w:val="77BE3F90"/>
    <w:rsid w:val="77E93077"/>
    <w:rsid w:val="78796B85"/>
    <w:rsid w:val="7940316B"/>
    <w:rsid w:val="7A4822D7"/>
    <w:rsid w:val="7A6B06DA"/>
    <w:rsid w:val="7AC71B08"/>
    <w:rsid w:val="7BEB7ED3"/>
    <w:rsid w:val="7C2D2574"/>
    <w:rsid w:val="7DA95783"/>
    <w:rsid w:val="7DDD4B9B"/>
    <w:rsid w:val="7E525E84"/>
    <w:rsid w:val="7EAA11EB"/>
    <w:rsid w:val="7EC16968"/>
    <w:rsid w:val="7F422DF5"/>
    <w:rsid w:val="7F7A45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link w:val="25"/>
    <w:autoRedefine/>
    <w:unhideWhenUsed/>
    <w:qFormat/>
    <w:uiPriority w:val="99"/>
    <w:pPr>
      <w:jc w:val="left"/>
    </w:pPr>
  </w:style>
  <w:style w:type="paragraph" w:styleId="3">
    <w:name w:val="Body Text"/>
    <w:basedOn w:val="1"/>
    <w:next w:val="1"/>
    <w:autoRedefine/>
    <w:unhideWhenUsed/>
    <w:qFormat/>
    <w:uiPriority w:val="99"/>
    <w:pPr>
      <w:spacing w:after="120"/>
    </w:pPr>
    <w:rPr>
      <w:szCs w:val="21"/>
    </w:rPr>
  </w:style>
  <w:style w:type="paragraph" w:styleId="4">
    <w:name w:val="Body Text Indent"/>
    <w:basedOn w:val="1"/>
    <w:autoRedefine/>
    <w:unhideWhenUsed/>
    <w:qFormat/>
    <w:uiPriority w:val="99"/>
    <w:pPr>
      <w:spacing w:line="700" w:lineRule="exact"/>
      <w:ind w:left="960"/>
    </w:pPr>
    <w:rPr>
      <w:sz w:val="44"/>
    </w:rPr>
  </w:style>
  <w:style w:type="paragraph" w:styleId="5">
    <w:name w:val="footer"/>
    <w:basedOn w:val="1"/>
    <w:link w:val="17"/>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6"/>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paragraph" w:styleId="8">
    <w:name w:val="annotation subject"/>
    <w:basedOn w:val="2"/>
    <w:next w:val="2"/>
    <w:link w:val="26"/>
    <w:autoRedefine/>
    <w:semiHidden/>
    <w:unhideWhenUsed/>
    <w:qFormat/>
    <w:uiPriority w:val="99"/>
    <w:rPr>
      <w:b/>
      <w:bCs/>
    </w:rPr>
  </w:style>
  <w:style w:type="paragraph" w:styleId="9">
    <w:name w:val="Body Text First Indent 2"/>
    <w:basedOn w:val="4"/>
    <w:next w:val="1"/>
    <w:autoRedefine/>
    <w:unhideWhenUsed/>
    <w:qFormat/>
    <w:uiPriority w:val="99"/>
    <w:pPr>
      <w:spacing w:after="120" w:line="360" w:lineRule="auto"/>
      <w:ind w:left="420" w:leftChars="200" w:firstLine="420"/>
    </w:pPr>
    <w:rPr>
      <w:rFonts w:ascii="Calibri" w:hAnsi="Calibri"/>
      <w:sz w:val="21"/>
    </w:rPr>
  </w:style>
  <w:style w:type="table" w:styleId="11">
    <w:name w:val="Table Grid"/>
    <w:basedOn w:val="1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Emphasis"/>
    <w:basedOn w:val="12"/>
    <w:autoRedefine/>
    <w:qFormat/>
    <w:uiPriority w:val="20"/>
    <w:rPr>
      <w:color w:val="F73131"/>
    </w:rPr>
  </w:style>
  <w:style w:type="character" w:styleId="14">
    <w:name w:val="Hyperlink"/>
    <w:basedOn w:val="12"/>
    <w:autoRedefine/>
    <w:unhideWhenUsed/>
    <w:qFormat/>
    <w:uiPriority w:val="99"/>
    <w:rPr>
      <w:color w:val="0000FF"/>
      <w:u w:val="single"/>
    </w:rPr>
  </w:style>
  <w:style w:type="character" w:styleId="15">
    <w:name w:val="annotation reference"/>
    <w:autoRedefine/>
    <w:qFormat/>
    <w:uiPriority w:val="0"/>
    <w:rPr>
      <w:sz w:val="21"/>
      <w:szCs w:val="21"/>
    </w:rPr>
  </w:style>
  <w:style w:type="character" w:customStyle="1" w:styleId="16">
    <w:name w:val="页眉 字符"/>
    <w:basedOn w:val="12"/>
    <w:link w:val="6"/>
    <w:autoRedefine/>
    <w:qFormat/>
    <w:uiPriority w:val="99"/>
    <w:rPr>
      <w:sz w:val="18"/>
      <w:szCs w:val="18"/>
    </w:rPr>
  </w:style>
  <w:style w:type="character" w:customStyle="1" w:styleId="17">
    <w:name w:val="页脚 字符"/>
    <w:basedOn w:val="12"/>
    <w:link w:val="5"/>
    <w:autoRedefine/>
    <w:qFormat/>
    <w:uiPriority w:val="99"/>
    <w:rPr>
      <w:sz w:val="18"/>
      <w:szCs w:val="18"/>
    </w:rPr>
  </w:style>
  <w:style w:type="paragraph" w:customStyle="1" w:styleId="18">
    <w:name w:val="列表段落1"/>
    <w:basedOn w:val="1"/>
    <w:autoRedefine/>
    <w:qFormat/>
    <w:uiPriority w:val="34"/>
    <w:pPr>
      <w:ind w:firstLine="420" w:firstLineChars="200"/>
    </w:pPr>
  </w:style>
  <w:style w:type="paragraph" w:customStyle="1" w:styleId="19">
    <w:name w:val="005正文"/>
    <w:basedOn w:val="1"/>
    <w:link w:val="20"/>
    <w:autoRedefine/>
    <w:qFormat/>
    <w:uiPriority w:val="0"/>
    <w:pPr>
      <w:spacing w:beforeLines="50" w:line="360" w:lineRule="auto"/>
      <w:ind w:firstLine="200" w:firstLineChars="200"/>
    </w:pPr>
    <w:rPr>
      <w:sz w:val="24"/>
      <w:szCs w:val="22"/>
    </w:rPr>
  </w:style>
  <w:style w:type="character" w:customStyle="1" w:styleId="20">
    <w:name w:val="005正文 Char Char"/>
    <w:link w:val="19"/>
    <w:autoRedefine/>
    <w:qFormat/>
    <w:uiPriority w:val="0"/>
    <w:rPr>
      <w:rFonts w:ascii="Times New Roman" w:hAnsi="Times New Roman" w:eastAsia="宋体" w:cs="Times New Roman"/>
      <w:sz w:val="24"/>
    </w:rPr>
  </w:style>
  <w:style w:type="character" w:customStyle="1" w:styleId="21">
    <w:name w:val="005正文 Char"/>
    <w:autoRedefine/>
    <w:qFormat/>
    <w:uiPriority w:val="0"/>
    <w:rPr>
      <w:kern w:val="2"/>
      <w:sz w:val="24"/>
      <w:szCs w:val="22"/>
    </w:rPr>
  </w:style>
  <w:style w:type="paragraph" w:customStyle="1" w:styleId="22">
    <w:name w:val="无间隔1"/>
    <w:qFormat/>
    <w:uiPriority w:val="1"/>
    <w:pPr>
      <w:widowControl w:val="0"/>
      <w:jc w:val="both"/>
    </w:pPr>
    <w:rPr>
      <w:rFonts w:ascii="Calibri" w:hAnsi="Calibri" w:eastAsia="宋体" w:cs="Times New Roman"/>
      <w:kern w:val="2"/>
      <w:sz w:val="21"/>
      <w:szCs w:val="22"/>
      <w:lang w:val="en-US" w:eastAsia="zh-CN" w:bidi="ar-SA"/>
    </w:rPr>
  </w:style>
  <w:style w:type="paragraph" w:customStyle="1" w:styleId="23">
    <w:name w:val="004四级标题"/>
    <w:qFormat/>
    <w:uiPriority w:val="0"/>
    <w:pPr>
      <w:keepNext/>
      <w:keepLines/>
      <w:widowControl w:val="0"/>
      <w:spacing w:before="50" w:beforeLines="50" w:after="50" w:afterLines="50" w:line="360" w:lineRule="auto"/>
      <w:ind w:firstLine="200" w:firstLineChars="200"/>
      <w:jc w:val="both"/>
      <w:outlineLvl w:val="3"/>
    </w:pPr>
    <w:rPr>
      <w:rFonts w:ascii="Times New Roman" w:hAnsi="Times New Roman" w:eastAsia="宋体" w:cs="Times New Roman"/>
      <w:b/>
      <w:bCs/>
      <w:kern w:val="2"/>
      <w:sz w:val="24"/>
      <w:szCs w:val="28"/>
      <w:lang w:val="en-US" w:eastAsia="zh-CN" w:bidi="ar-SA"/>
    </w:rPr>
  </w:style>
  <w:style w:type="paragraph" w:customStyle="1" w:styleId="24">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25">
    <w:name w:val="批注文字 字符"/>
    <w:basedOn w:val="12"/>
    <w:link w:val="2"/>
    <w:autoRedefine/>
    <w:qFormat/>
    <w:uiPriority w:val="99"/>
    <w:rPr>
      <w:kern w:val="2"/>
      <w:sz w:val="21"/>
      <w:szCs w:val="24"/>
    </w:rPr>
  </w:style>
  <w:style w:type="character" w:customStyle="1" w:styleId="26">
    <w:name w:val="批注主题 字符"/>
    <w:basedOn w:val="25"/>
    <w:link w:val="8"/>
    <w:semiHidden/>
    <w:qFormat/>
    <w:uiPriority w:val="99"/>
    <w:rPr>
      <w:b/>
      <w:bCs/>
      <w:kern w:val="2"/>
      <w:sz w:val="21"/>
      <w:szCs w:val="24"/>
    </w:rPr>
  </w:style>
  <w:style w:type="paragraph" w:customStyle="1" w:styleId="27">
    <w:name w:val="修订2"/>
    <w:hidden/>
    <w:semiHidden/>
    <w:qFormat/>
    <w:uiPriority w:val="99"/>
    <w:rPr>
      <w:rFonts w:ascii="Times New Roman" w:hAnsi="Times New Roman" w:eastAsia="宋体" w:cs="Times New Roman"/>
      <w:kern w:val="2"/>
      <w:sz w:val="21"/>
      <w:szCs w:val="24"/>
      <w:lang w:val="en-US" w:eastAsia="zh-CN" w:bidi="ar-SA"/>
    </w:rPr>
  </w:style>
  <w:style w:type="paragraph" w:customStyle="1" w:styleId="28">
    <w:name w:val="修订3"/>
    <w:hidden/>
    <w:semiHidden/>
    <w:qFormat/>
    <w:uiPriority w:val="99"/>
    <w:rPr>
      <w:rFonts w:ascii="Times New Roman" w:hAnsi="Times New Roman" w:eastAsia="宋体" w:cs="Times New Roman"/>
      <w:kern w:val="2"/>
      <w:sz w:val="21"/>
      <w:szCs w:val="24"/>
      <w:lang w:val="en-US" w:eastAsia="zh-CN" w:bidi="ar-SA"/>
    </w:rPr>
  </w:style>
  <w:style w:type="paragraph" w:customStyle="1" w:styleId="29">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4150</Words>
  <Characters>4399</Characters>
  <Lines>8</Lines>
  <Paragraphs>2</Paragraphs>
  <TotalTime>33</TotalTime>
  <ScaleCrop>false</ScaleCrop>
  <LinksUpToDate>false</LinksUpToDate>
  <CharactersWithSpaces>4476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2023-05-26T02:07:00Z</dcterms:created>
  <dc:creator>sk</dc:creator>
  <cp:lastModifiedBy>时雨初霁</cp:lastModifiedBy>
  <cp:lastPrinted>2026-08-25T07:41:49Z</cp:lastPrinted>
  <dcterms:modified xsi:type="dcterms:W3CDTF">2026-08-25T08:12:05Z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35B6B81E4003418B817B3981B1D61BEF</vt:lpwstr>
  </property>
  <property fmtid="{D5CDD505-2E9C-101B-9397-08002B2CF9AE}" pid="4" name="KSOTemplateDocerSaveRecord">
    <vt:lpwstr>eyJoZGlkIjoiYWNkYmJlNjcxZjY0MjI5NWM5MmFlNThjNTgwNmRhOTEiLCJ1c2VySWQiOiIyNDM5MTg2MDQifQ==</vt:lpwstr>
  </property>
</Properties>
</file>