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utoSpaceDE/>
        <w:autoSpaceDN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证券代码：6</w:t>
      </w:r>
      <w:r>
        <w:rPr>
          <w:rFonts w:ascii="宋体" w:hAnsi="宋体" w:eastAsia="宋体" w:cs="宋体"/>
          <w:sz w:val="24"/>
          <w:szCs w:val="24"/>
        </w:rPr>
        <w:t xml:space="preserve">00131 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证券简称：国网信通</w:t>
      </w:r>
    </w:p>
    <w:p>
      <w:pPr>
        <w:autoSpaceDE/>
        <w:autoSpaceDN/>
      </w:pPr>
    </w:p>
    <w:p>
      <w:pPr>
        <w:autoSpaceDE/>
        <w:autoSpaceDN/>
      </w:pPr>
    </w:p>
    <w:p>
      <w:pPr>
        <w:autoSpaceDE/>
        <w:autoSpaceDN/>
        <w:spacing w:line="360" w:lineRule="auto"/>
        <w:jc w:val="center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国网信息通信股份有限公司投资者关系活动记录表</w:t>
      </w:r>
    </w:p>
    <w:tbl>
      <w:tblPr>
        <w:tblStyle w:val="10"/>
        <w:tblW w:w="89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72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9" w:hRule="atLeast"/>
          <w:jc w:val="center"/>
        </w:trPr>
        <w:tc>
          <w:tcPr>
            <w:tcW w:w="1668" w:type="dxa"/>
            <w:vAlign w:val="center"/>
          </w:tcPr>
          <w:p>
            <w:pPr>
              <w:pStyle w:val="13"/>
              <w:autoSpaceDE/>
              <w:autoSpaceDN/>
              <w:spacing w:before="1"/>
              <w:ind w:left="107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投资者关系活动类别</w:t>
            </w:r>
          </w:p>
        </w:tc>
        <w:tc>
          <w:tcPr>
            <w:tcW w:w="7261" w:type="dxa"/>
            <w:vAlign w:val="center"/>
          </w:tcPr>
          <w:p>
            <w:pPr>
              <w:pStyle w:val="13"/>
              <w:tabs>
                <w:tab w:val="left" w:pos="2418"/>
              </w:tabs>
              <w:autoSpaceDE/>
              <w:autoSpaceDN/>
              <w:spacing w:before="1"/>
              <w:ind w:left="107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sym w:font="Wingdings 2" w:char="0052"/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特</w:t>
            </w:r>
            <w:r>
              <w:rPr>
                <w:rFonts w:hint="eastAsia" w:cs="宋体" w:asciiTheme="minorEastAsia" w:hAnsiTheme="minorEastAsia" w:eastAsiaTheme="minorEastAsia"/>
                <w:spacing w:val="-3"/>
                <w:sz w:val="21"/>
                <w:szCs w:val="21"/>
              </w:rPr>
              <w:t>定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对</w:t>
            </w:r>
            <w:r>
              <w:rPr>
                <w:rFonts w:hint="eastAsia" w:cs="宋体" w:asciiTheme="minorEastAsia" w:hAnsiTheme="minorEastAsia" w:eastAsiaTheme="minorEastAsia"/>
                <w:spacing w:val="-3"/>
                <w:sz w:val="21"/>
                <w:szCs w:val="21"/>
              </w:rPr>
              <w:t>象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调研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ab/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□分</w:t>
            </w:r>
            <w:r>
              <w:rPr>
                <w:rFonts w:hint="eastAsia" w:cs="宋体" w:asciiTheme="minorEastAsia" w:hAnsiTheme="minorEastAsia" w:eastAsiaTheme="minorEastAsia"/>
                <w:spacing w:val="-3"/>
                <w:sz w:val="21"/>
                <w:szCs w:val="21"/>
              </w:rPr>
              <w:t>析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师</w:t>
            </w:r>
            <w:r>
              <w:rPr>
                <w:rFonts w:hint="eastAsia" w:cs="宋体" w:asciiTheme="minorEastAsia" w:hAnsiTheme="minorEastAsia" w:eastAsiaTheme="minorEastAsia"/>
                <w:spacing w:val="-3"/>
                <w:sz w:val="21"/>
                <w:szCs w:val="21"/>
              </w:rPr>
              <w:t>会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议</w:t>
            </w:r>
          </w:p>
          <w:p>
            <w:pPr>
              <w:pStyle w:val="13"/>
              <w:tabs>
                <w:tab w:val="left" w:pos="2418"/>
              </w:tabs>
              <w:autoSpaceDE/>
              <w:autoSpaceDN/>
              <w:ind w:left="107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□媒</w:t>
            </w:r>
            <w:r>
              <w:rPr>
                <w:rFonts w:hint="eastAsia" w:cs="宋体" w:asciiTheme="minorEastAsia" w:hAnsiTheme="minorEastAsia" w:eastAsiaTheme="minorEastAsia"/>
                <w:spacing w:val="-3"/>
                <w:sz w:val="21"/>
                <w:szCs w:val="21"/>
              </w:rPr>
              <w:t>体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采访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ab/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业</w:t>
            </w:r>
            <w:r>
              <w:rPr>
                <w:rFonts w:hint="eastAsia" w:cs="宋体" w:asciiTheme="minorEastAsia" w:hAnsiTheme="minorEastAsia" w:eastAsiaTheme="minorEastAsia"/>
                <w:spacing w:val="-3"/>
                <w:sz w:val="21"/>
                <w:szCs w:val="21"/>
              </w:rPr>
              <w:t>绩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说</w:t>
            </w:r>
            <w:r>
              <w:rPr>
                <w:rFonts w:hint="eastAsia" w:cs="宋体" w:asciiTheme="minorEastAsia" w:hAnsiTheme="minorEastAsia" w:eastAsiaTheme="minorEastAsia"/>
                <w:spacing w:val="-3"/>
                <w:sz w:val="21"/>
                <w:szCs w:val="21"/>
              </w:rPr>
              <w:t>明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会</w:t>
            </w:r>
          </w:p>
          <w:p>
            <w:pPr>
              <w:pStyle w:val="13"/>
              <w:tabs>
                <w:tab w:val="left" w:pos="2418"/>
              </w:tabs>
              <w:autoSpaceDE/>
              <w:autoSpaceDN/>
              <w:ind w:left="107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□新</w:t>
            </w:r>
            <w:r>
              <w:rPr>
                <w:rFonts w:hint="eastAsia" w:cs="宋体" w:asciiTheme="minorEastAsia" w:hAnsiTheme="minorEastAsia" w:eastAsiaTheme="minorEastAsia"/>
                <w:spacing w:val="-3"/>
                <w:sz w:val="21"/>
                <w:szCs w:val="21"/>
              </w:rPr>
              <w:t>闻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发</w:t>
            </w:r>
            <w:r>
              <w:rPr>
                <w:rFonts w:hint="eastAsia" w:cs="宋体" w:asciiTheme="minorEastAsia" w:hAnsiTheme="minorEastAsia" w:eastAsiaTheme="minorEastAsia"/>
                <w:spacing w:val="-3"/>
                <w:sz w:val="21"/>
                <w:szCs w:val="21"/>
              </w:rPr>
              <w:t>布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会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ab/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□路</w:t>
            </w:r>
            <w:r>
              <w:rPr>
                <w:rFonts w:hint="eastAsia" w:cs="宋体" w:asciiTheme="minorEastAsia" w:hAnsiTheme="minorEastAsia" w:eastAsiaTheme="minorEastAsia"/>
                <w:spacing w:val="-3"/>
                <w:sz w:val="21"/>
                <w:szCs w:val="21"/>
              </w:rPr>
              <w:t>演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活动</w:t>
            </w:r>
          </w:p>
          <w:p>
            <w:pPr>
              <w:pStyle w:val="13"/>
              <w:autoSpaceDE/>
              <w:autoSpaceDN/>
              <w:ind w:left="107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□现场参观</w:t>
            </w:r>
          </w:p>
          <w:p>
            <w:pPr>
              <w:pStyle w:val="13"/>
              <w:autoSpaceDE/>
              <w:autoSpaceDN/>
              <w:ind w:left="107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1668" w:type="dxa"/>
            <w:vAlign w:val="center"/>
          </w:tcPr>
          <w:p>
            <w:pPr>
              <w:pStyle w:val="13"/>
              <w:autoSpaceDE/>
              <w:autoSpaceDN/>
              <w:spacing w:before="1"/>
              <w:ind w:left="107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参与单位名称及人员姓名</w:t>
            </w:r>
          </w:p>
        </w:tc>
        <w:tc>
          <w:tcPr>
            <w:tcW w:w="7261" w:type="dxa"/>
            <w:vAlign w:val="center"/>
          </w:tcPr>
          <w:p>
            <w:pPr>
              <w:pStyle w:val="13"/>
              <w:autoSpaceDE/>
              <w:autoSpaceDN/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  <w:t>银河基金 于嘉馨、申万菱信基金 于珅、长城基金 余欢、兴业基金 刘体劲、宏利基金 刘尊钰、开源证券 刘毅、建信理财 唐文成、国信证券 延姣阳、中银基金 张令泓、鑫元基金 张峥青、上海德汇 张英杰、中信证券 施洪斌、高毅资产 李子硕、长城基金 李梓骏、国联安 杨子江、前海开源基金 梁策、华宝基金 毛文博、瑞华投资 章礼英、启元财富 范曜宇、霸菱资产 荣白丁、新华基金 董晨阳、高毅资管 薛皓月、华泰保兴基金 贾沛璋、海富通 陈林海、汇丰晋信 韦钰、开源证券 高歌、江信基金 高鹏飞、长江证券 袁澎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668" w:type="dxa"/>
            <w:vAlign w:val="center"/>
          </w:tcPr>
          <w:p>
            <w:pPr>
              <w:pStyle w:val="13"/>
              <w:autoSpaceDE/>
              <w:autoSpaceDN/>
              <w:spacing w:before="1"/>
              <w:ind w:left="107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时间</w:t>
            </w:r>
          </w:p>
        </w:tc>
        <w:tc>
          <w:tcPr>
            <w:tcW w:w="7261" w:type="dxa"/>
            <w:vAlign w:val="center"/>
          </w:tcPr>
          <w:p>
            <w:pPr>
              <w:pStyle w:val="13"/>
              <w:autoSpaceDE/>
              <w:autoSpaceDN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cs="宋体" w:asciiTheme="minorEastAsia" w:hAnsiTheme="minorEastAsia" w:eastAsiaTheme="minorEastAsia"/>
                <w:sz w:val="21"/>
                <w:szCs w:val="21"/>
              </w:rPr>
              <w:t>202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cs="宋体" w:asciiTheme="minorEastAsia" w:hAnsiTheme="minorEastAsia" w:eastAsiaTheme="minorEastAsia"/>
                <w:sz w:val="21"/>
                <w:szCs w:val="21"/>
              </w:rPr>
              <w:t>年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8</w:t>
            </w:r>
            <w:r>
              <w:rPr>
                <w:rFonts w:cs="宋体" w:asciiTheme="minorEastAsia" w:hAnsiTheme="minorEastAsia" w:eastAsiaTheme="minorEastAsia"/>
                <w:sz w:val="21"/>
                <w:szCs w:val="21"/>
              </w:rPr>
              <w:t>月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24</w:t>
            </w:r>
            <w:r>
              <w:rPr>
                <w:rFonts w:cs="宋体" w:asciiTheme="minorEastAsia" w:hAnsiTheme="minorEastAsia" w:eastAsiaTheme="minorEastAsia"/>
                <w:sz w:val="21"/>
                <w:szCs w:val="21"/>
              </w:rPr>
              <w:t>日（星期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一</w:t>
            </w:r>
            <w:r>
              <w:rPr>
                <w:rFonts w:cs="宋体" w:asciiTheme="minorEastAsia" w:hAnsiTheme="minorEastAsia" w:eastAsiaTheme="minorEastAsia"/>
                <w:sz w:val="21"/>
                <w:szCs w:val="21"/>
              </w:rPr>
              <w:t>）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15</w:t>
            </w:r>
            <w:r>
              <w:rPr>
                <w:rFonts w:cs="宋体" w:asciiTheme="minorEastAsia" w:hAnsiTheme="minorEastAsia" w:eastAsiaTheme="minorEastAsia"/>
                <w:sz w:val="21"/>
                <w:szCs w:val="21"/>
              </w:rPr>
              <w:t>:00-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16</w:t>
            </w:r>
            <w:r>
              <w:rPr>
                <w:rFonts w:cs="宋体" w:asciiTheme="minorEastAsia" w:hAnsiTheme="minorEastAsia" w:eastAsiaTheme="minorEastAsia"/>
                <w:sz w:val="21"/>
                <w:szCs w:val="21"/>
              </w:rPr>
              <w:t>: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0</w:t>
            </w:r>
            <w:r>
              <w:rPr>
                <w:rFonts w:cs="宋体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  <w:jc w:val="center"/>
        </w:trPr>
        <w:tc>
          <w:tcPr>
            <w:tcW w:w="1668" w:type="dxa"/>
            <w:vAlign w:val="center"/>
          </w:tcPr>
          <w:p>
            <w:pPr>
              <w:pStyle w:val="13"/>
              <w:autoSpaceDE/>
              <w:autoSpaceDN/>
              <w:ind w:left="107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地点</w:t>
            </w:r>
          </w:p>
        </w:tc>
        <w:tc>
          <w:tcPr>
            <w:tcW w:w="7261" w:type="dxa"/>
            <w:vAlign w:val="center"/>
          </w:tcPr>
          <w:p>
            <w:pPr>
              <w:pStyle w:val="13"/>
              <w:autoSpaceDE/>
              <w:autoSpaceDN/>
              <w:rPr>
                <w:rFonts w:cs="宋体" w:asciiTheme="minorEastAsia" w:hAnsiTheme="minorEastAsia" w:eastAsiaTheme="minorEastAsia"/>
                <w:sz w:val="21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线上电话会议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atLeast"/>
          <w:jc w:val="center"/>
        </w:trPr>
        <w:tc>
          <w:tcPr>
            <w:tcW w:w="1668" w:type="dxa"/>
            <w:vAlign w:val="center"/>
          </w:tcPr>
          <w:p>
            <w:pPr>
              <w:pStyle w:val="13"/>
              <w:autoSpaceDE/>
              <w:autoSpaceDN/>
              <w:spacing w:before="1"/>
              <w:ind w:left="107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上市公司接待人员姓名</w:t>
            </w:r>
          </w:p>
        </w:tc>
        <w:tc>
          <w:tcPr>
            <w:tcW w:w="7261" w:type="dxa"/>
            <w:vAlign w:val="center"/>
          </w:tcPr>
          <w:p>
            <w:pPr>
              <w:pStyle w:val="13"/>
              <w:autoSpaceDE/>
              <w:autoSpaceDN/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董事会秘书  王  迅</w:t>
            </w:r>
          </w:p>
          <w:p>
            <w:pPr>
              <w:pStyle w:val="13"/>
              <w:autoSpaceDE/>
              <w:autoSpaceDN/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副总经理    江再玉</w:t>
            </w:r>
          </w:p>
          <w:p>
            <w:pPr>
              <w:pStyle w:val="13"/>
              <w:autoSpaceDE/>
              <w:autoSpaceDN/>
              <w:rPr>
                <w:rFonts w:hint="default" w:cs="宋体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财务总监    向  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  <w:jc w:val="center"/>
        </w:trPr>
        <w:tc>
          <w:tcPr>
            <w:tcW w:w="1668" w:type="dxa"/>
            <w:vAlign w:val="center"/>
          </w:tcPr>
          <w:p>
            <w:pPr>
              <w:pStyle w:val="13"/>
              <w:autoSpaceDE/>
              <w:autoSpaceDN/>
              <w:spacing w:before="1"/>
              <w:ind w:left="107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投资者关系活动主要内容介绍</w:t>
            </w:r>
          </w:p>
        </w:tc>
        <w:tc>
          <w:tcPr>
            <w:tcW w:w="7261" w:type="dxa"/>
            <w:vAlign w:val="center"/>
          </w:tcPr>
          <w:p>
            <w:pPr>
              <w:pStyle w:val="13"/>
              <w:autoSpaceDE/>
              <w:autoSpaceDN/>
              <w:ind w:firstLine="420"/>
              <w:jc w:val="both"/>
              <w:rPr>
                <w:rFonts w:cs="宋体"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</w:rPr>
              <w:t>互动问答记录</w:t>
            </w:r>
          </w:p>
          <w:p>
            <w:pPr>
              <w:pStyle w:val="13"/>
              <w:ind w:firstLine="420"/>
              <w:jc w:val="both"/>
              <w:rPr>
                <w:rFonts w:cs="宋体" w:asciiTheme="minorEastAsia" w:hAnsiTheme="minorEastAsia" w:eastAsiaTheme="minorEastAsia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  <w:lang w:val="en-US"/>
              </w:rPr>
              <w:t>一、公司整体情况介绍</w:t>
            </w:r>
          </w:p>
          <w:p>
            <w:pPr>
              <w:pStyle w:val="13"/>
              <w:ind w:firstLine="420"/>
              <w:jc w:val="both"/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国网信通是国家电网公司下属信产集团控股上市公司，旗下拥有中电普华、继远软件、中电飞华、亿力科技、中电启明星、亿力电力6家全资子公司和4家参控股公司，按照“能源数字化智能化”产业布局，围绕新型电力系统建设各环节，融合运用大云物移智等技术，深耕咨询设计、软件研发、工程实施、系统集成、运营运维等信息通信业务，推动数字技术与电网业务的深度融合，不断提高支撑新型电力系统建设的核心能力。</w:t>
            </w:r>
          </w:p>
          <w:p>
            <w:pPr>
              <w:pStyle w:val="13"/>
              <w:numPr>
                <w:ilvl w:val="-1"/>
                <w:numId w:val="0"/>
              </w:numPr>
              <w:ind w:firstLine="420"/>
              <w:jc w:val="both"/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  <w:lang w:val="en-US"/>
              </w:rPr>
              <w:t>公司2026年上半年经营业绩情况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  <w:lang w:val="en-US" w:eastAsia="zh-CN"/>
              </w:rPr>
              <w:t>及下半年重点工作</w:t>
            </w:r>
          </w:p>
          <w:p>
            <w:pPr>
              <w:pStyle w:val="13"/>
              <w:ind w:firstLine="420"/>
              <w:jc w:val="both"/>
              <w:rPr>
                <w:rFonts w:hint="default" w:cs="宋体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2026年上半年，公司实现营业收入34.33亿元，归属于上市公司股东的扣非净利润2.29亿元，期末公司资产总额为127.20亿元，归属上市公司股东所有者权益65.72亿元，展现出较好的盈利能力。</w:t>
            </w:r>
          </w:p>
          <w:p>
            <w:pPr>
              <w:pStyle w:val="13"/>
              <w:ind w:firstLine="420"/>
              <w:jc w:val="both"/>
              <w:rPr>
                <w:rFonts w:hint="default" w:cs="宋体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下半年重点推进三方面工作：一是围绕通信、数据、人工智能与电力鸿蒙、电力数字化、企业数字化等六大业务主线，保障重点项目交付与年度经营目标；二是持续推进产品化研发，攻关通信全链条、透明数字站、储能运维、具身智能平台等核心产品，构筑技术壁垒；三是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“</w:t>
            </w:r>
            <w:r>
              <w:rPr>
                <w:rFonts w:hint="default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总部—省侧—系统外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”</w:t>
            </w:r>
            <w:r>
              <w:rPr>
                <w:rFonts w:hint="default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三线并进拓展市场，紧盯国网统推项目、深化省侧服务、跟进系统外客户，打开增量空间。</w:t>
            </w:r>
          </w:p>
          <w:p>
            <w:pPr>
              <w:pStyle w:val="13"/>
              <w:numPr>
                <w:ilvl w:val="-1"/>
                <w:numId w:val="0"/>
              </w:numPr>
              <w:ind w:firstLine="420"/>
              <w:jc w:val="both"/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  <w:lang w:val="en-US"/>
              </w:rPr>
              <w:t>线上提问交流</w:t>
            </w:r>
          </w:p>
          <w:p>
            <w:pPr>
              <w:pStyle w:val="13"/>
              <w:ind w:firstLine="420"/>
              <w:jc w:val="both"/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  <w:lang w:val="en-US"/>
              </w:rPr>
              <w:t>Q1：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公司2026年营收目标为125.51亿元，但上半年仅完成34.33亿元，占全年目标约27.3%。请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问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上半年完成进度是否符合预期？全年目标是否可以顺利完成？</w:t>
            </w:r>
          </w:p>
          <w:p>
            <w:pPr>
              <w:pStyle w:val="13"/>
              <w:ind w:firstLine="420"/>
              <w:jc w:val="both"/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  <w:lang w:val="en-US"/>
              </w:rPr>
              <w:t>A1：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公司主营业务存在周期性特点，上半年受新签合同转化进度较慢，收入进度较预期略有差距；目前在手订单约50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亿元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，其中集采业务约占50%左右；公司后续将加强市场拓展和项目履约，力争完成全年目标任务。</w:t>
            </w:r>
          </w:p>
          <w:p>
            <w:pPr>
              <w:pStyle w:val="13"/>
              <w:ind w:firstLine="420"/>
              <w:jc w:val="both"/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</w:pPr>
          </w:p>
          <w:p>
            <w:pPr>
              <w:pStyle w:val="13"/>
              <w:ind w:firstLine="420"/>
              <w:jc w:val="both"/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  <w:lang w:val="en-US"/>
              </w:rPr>
              <w:t>Q2：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前沿技术创新板块收入同比下滑，是否存在收入口径调整？能源创新业务毛利率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下滑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，主要原因是什么？</w:t>
            </w:r>
          </w:p>
          <w:p>
            <w:pPr>
              <w:pStyle w:val="13"/>
              <w:ind w:firstLine="420"/>
              <w:jc w:val="both"/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  <w:lang w:val="en-US"/>
              </w:rPr>
              <w:t>A2：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收入方面，公司收购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亿力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科技后对六大业务板块归口做了进一步梳理，公司对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属于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前沿技术创新板块的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业务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归集更为审慎。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同时，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上半年各板块收入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占全年收入比例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总体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较低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，相关数据的可比性与参考性有待全年经营结束后进一步验证。毛利率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方面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，能源创新业务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因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个别项目硬件占比较高，对板块综合毛利率形成阶段性影响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  <w:t>整体毛利率下行是公司当前面临的客观挑战，下半年将着力推进产品化转型、抢抓数字化建设机遇，力争经营指标同比改善。</w:t>
            </w:r>
          </w:p>
          <w:p>
            <w:pPr>
              <w:pStyle w:val="13"/>
              <w:ind w:firstLine="420"/>
              <w:jc w:val="both"/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/>
              </w:rPr>
            </w:pPr>
          </w:p>
          <w:p>
            <w:pPr>
              <w:pStyle w:val="13"/>
              <w:ind w:firstLine="420"/>
              <w:jc w:val="both"/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  <w:lang w:val="en-US"/>
              </w:rPr>
              <w:t>Q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  <w:lang w:val="en-US"/>
              </w:rPr>
              <w:t>：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当前市场对“电网投资加速”一致预期较强，但若后续宏观环境或项目审批节奏变化，投资释放低于预期，公司哪些业务板块弹性最大、受影响也最大？</w:t>
            </w:r>
          </w:p>
          <w:p>
            <w:pPr>
              <w:pStyle w:val="13"/>
              <w:autoSpaceDE/>
              <w:autoSpaceDN/>
              <w:ind w:firstLine="420"/>
              <w:jc w:val="both"/>
              <w:rPr>
                <w:rFonts w:cs="宋体" w:asciiTheme="minorEastAsia" w:hAnsiTheme="minorEastAsia" w:eastAsiaTheme="minorEastAsia"/>
                <w:sz w:val="21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  <w:lang w:val="en-US"/>
              </w:rPr>
              <w:t>A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  <w:lang w:val="en-US"/>
              </w:rPr>
              <w:t>：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公司所涉的业务板块在电网投资中均属于科技赋能、绿色转型刚性投入，受波动影响较小。公司会持续优化业务结构，增厚优势业务利润，深化全面预算与精益运营，严控成本费用，通过多重举措平滑可能发生的周期波动。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668" w:type="dxa"/>
            <w:vAlign w:val="center"/>
          </w:tcPr>
          <w:p>
            <w:pPr>
              <w:pStyle w:val="13"/>
              <w:autoSpaceDE/>
              <w:autoSpaceDN/>
              <w:spacing w:before="1"/>
              <w:ind w:left="107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附件清单（如有）</w:t>
            </w:r>
          </w:p>
        </w:tc>
        <w:tc>
          <w:tcPr>
            <w:tcW w:w="7261" w:type="dxa"/>
            <w:vAlign w:val="center"/>
          </w:tcPr>
          <w:p>
            <w:pPr>
              <w:pStyle w:val="13"/>
              <w:autoSpaceDE/>
              <w:autoSpaceDN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668" w:type="dxa"/>
            <w:vAlign w:val="center"/>
          </w:tcPr>
          <w:p>
            <w:pPr>
              <w:pStyle w:val="13"/>
              <w:autoSpaceDE/>
              <w:autoSpaceDN/>
              <w:spacing w:before="1"/>
              <w:ind w:left="107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日期</w:t>
            </w:r>
          </w:p>
        </w:tc>
        <w:tc>
          <w:tcPr>
            <w:tcW w:w="7261" w:type="dxa"/>
            <w:vAlign w:val="center"/>
          </w:tcPr>
          <w:p>
            <w:pPr>
              <w:pStyle w:val="13"/>
              <w:autoSpaceDE/>
              <w:autoSpaceDN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cs="宋体" w:asciiTheme="minorEastAsia" w:hAnsiTheme="minorEastAsia" w:eastAsiaTheme="minorEastAsia"/>
                <w:sz w:val="21"/>
                <w:szCs w:val="21"/>
              </w:rPr>
              <w:t>202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cs="宋体" w:asciiTheme="minorEastAsia" w:hAnsiTheme="minorEastAsia" w:eastAsiaTheme="minorEastAsia"/>
                <w:sz w:val="21"/>
                <w:szCs w:val="21"/>
              </w:rPr>
              <w:t>年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8</w:t>
            </w:r>
            <w:r>
              <w:rPr>
                <w:rFonts w:cs="宋体" w:asciiTheme="minorEastAsia" w:hAnsiTheme="minorEastAsia" w:eastAsiaTheme="minorEastAsia"/>
                <w:sz w:val="21"/>
                <w:szCs w:val="21"/>
              </w:rPr>
              <w:t>月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lang w:val="en-US" w:eastAsia="zh-CN"/>
              </w:rPr>
              <w:t>24</w:t>
            </w:r>
            <w:r>
              <w:rPr>
                <w:rFonts w:cs="宋体" w:asciiTheme="minorEastAsia" w:hAnsiTheme="minorEastAsia" w:eastAsiaTheme="minorEastAsia"/>
                <w:sz w:val="21"/>
                <w:szCs w:val="21"/>
              </w:rPr>
              <w:t>日</w:t>
            </w:r>
          </w:p>
        </w:tc>
      </w:tr>
    </w:tbl>
    <w:p>
      <w:pPr>
        <w:autoSpaceDE/>
        <w:autoSpaceDN/>
        <w:rPr>
          <w:rFonts w:ascii="宋体" w:hAnsi="宋体" w:eastAsia="宋体" w:cs="宋体"/>
          <w:sz w:val="28"/>
          <w:szCs w:val="36"/>
        </w:rPr>
      </w:pPr>
    </w:p>
    <w:sectPr>
      <w:type w:val="continuous"/>
      <w:pgSz w:w="11910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  <w:docVar w:name="KSO_WPS_MARK_KEY" w:val="2c435c71-ef9c-48ec-a045-b35c10dfee0e"/>
  </w:docVars>
  <w:rsids>
    <w:rsidRoot w:val="00FE090A"/>
    <w:rsid w:val="0000317A"/>
    <w:rsid w:val="00014310"/>
    <w:rsid w:val="00021BFD"/>
    <w:rsid w:val="000338A7"/>
    <w:rsid w:val="0004382A"/>
    <w:rsid w:val="00063764"/>
    <w:rsid w:val="00067D7C"/>
    <w:rsid w:val="00074ABA"/>
    <w:rsid w:val="000A0BCA"/>
    <w:rsid w:val="000A4C5B"/>
    <w:rsid w:val="000A4ED0"/>
    <w:rsid w:val="000C2605"/>
    <w:rsid w:val="000E0E8B"/>
    <w:rsid w:val="000F3595"/>
    <w:rsid w:val="0010669F"/>
    <w:rsid w:val="00124CAF"/>
    <w:rsid w:val="00134F3A"/>
    <w:rsid w:val="00145D46"/>
    <w:rsid w:val="00151F38"/>
    <w:rsid w:val="001821FF"/>
    <w:rsid w:val="0018348F"/>
    <w:rsid w:val="00183EE2"/>
    <w:rsid w:val="001931E9"/>
    <w:rsid w:val="00193C4D"/>
    <w:rsid w:val="001954B1"/>
    <w:rsid w:val="001A1813"/>
    <w:rsid w:val="001A5625"/>
    <w:rsid w:val="001B0EDD"/>
    <w:rsid w:val="001C0A51"/>
    <w:rsid w:val="001C719B"/>
    <w:rsid w:val="001E11C3"/>
    <w:rsid w:val="001E5A5E"/>
    <w:rsid w:val="001E740B"/>
    <w:rsid w:val="001F434B"/>
    <w:rsid w:val="001F78EA"/>
    <w:rsid w:val="00203D05"/>
    <w:rsid w:val="00203E5D"/>
    <w:rsid w:val="00217A3D"/>
    <w:rsid w:val="0022761E"/>
    <w:rsid w:val="00236833"/>
    <w:rsid w:val="00236F05"/>
    <w:rsid w:val="0025182A"/>
    <w:rsid w:val="0025695B"/>
    <w:rsid w:val="00277AD2"/>
    <w:rsid w:val="00294A53"/>
    <w:rsid w:val="002B02BE"/>
    <w:rsid w:val="002B0354"/>
    <w:rsid w:val="002B2A11"/>
    <w:rsid w:val="002B4841"/>
    <w:rsid w:val="002B7009"/>
    <w:rsid w:val="002B741A"/>
    <w:rsid w:val="002C2F94"/>
    <w:rsid w:val="002C4ACB"/>
    <w:rsid w:val="002C4C4B"/>
    <w:rsid w:val="002F14F9"/>
    <w:rsid w:val="002F61FD"/>
    <w:rsid w:val="003058D6"/>
    <w:rsid w:val="00307DAF"/>
    <w:rsid w:val="003223DA"/>
    <w:rsid w:val="00327AB3"/>
    <w:rsid w:val="00336D55"/>
    <w:rsid w:val="00346888"/>
    <w:rsid w:val="003807BC"/>
    <w:rsid w:val="003A2396"/>
    <w:rsid w:val="003B0B48"/>
    <w:rsid w:val="003B16E6"/>
    <w:rsid w:val="003C2519"/>
    <w:rsid w:val="003C7153"/>
    <w:rsid w:val="003D429D"/>
    <w:rsid w:val="003E2131"/>
    <w:rsid w:val="003E69EB"/>
    <w:rsid w:val="003F333C"/>
    <w:rsid w:val="00406E5A"/>
    <w:rsid w:val="0041366F"/>
    <w:rsid w:val="00422FC0"/>
    <w:rsid w:val="004268AA"/>
    <w:rsid w:val="0043184E"/>
    <w:rsid w:val="00431A44"/>
    <w:rsid w:val="00432C7D"/>
    <w:rsid w:val="004605E8"/>
    <w:rsid w:val="00465A8F"/>
    <w:rsid w:val="00491A78"/>
    <w:rsid w:val="0049202C"/>
    <w:rsid w:val="0049641E"/>
    <w:rsid w:val="004B77B8"/>
    <w:rsid w:val="004E40C6"/>
    <w:rsid w:val="004E7317"/>
    <w:rsid w:val="004F10EA"/>
    <w:rsid w:val="00501A4F"/>
    <w:rsid w:val="005074C2"/>
    <w:rsid w:val="00511FB5"/>
    <w:rsid w:val="00514F35"/>
    <w:rsid w:val="00516861"/>
    <w:rsid w:val="00523934"/>
    <w:rsid w:val="005442A1"/>
    <w:rsid w:val="0057268E"/>
    <w:rsid w:val="0057471F"/>
    <w:rsid w:val="00575B9D"/>
    <w:rsid w:val="005855B6"/>
    <w:rsid w:val="00593C7B"/>
    <w:rsid w:val="0059714D"/>
    <w:rsid w:val="005A762F"/>
    <w:rsid w:val="005B7B33"/>
    <w:rsid w:val="005F03D1"/>
    <w:rsid w:val="005F32D8"/>
    <w:rsid w:val="005F3FB7"/>
    <w:rsid w:val="005F55EC"/>
    <w:rsid w:val="006017AD"/>
    <w:rsid w:val="00603817"/>
    <w:rsid w:val="0063435C"/>
    <w:rsid w:val="00654EB6"/>
    <w:rsid w:val="00680546"/>
    <w:rsid w:val="006A3536"/>
    <w:rsid w:val="006C38C8"/>
    <w:rsid w:val="006E7FF8"/>
    <w:rsid w:val="006F1EDE"/>
    <w:rsid w:val="007003C4"/>
    <w:rsid w:val="00710D10"/>
    <w:rsid w:val="00711795"/>
    <w:rsid w:val="00713CF0"/>
    <w:rsid w:val="007229F9"/>
    <w:rsid w:val="0072429A"/>
    <w:rsid w:val="0073232F"/>
    <w:rsid w:val="007461FF"/>
    <w:rsid w:val="00750890"/>
    <w:rsid w:val="00751B3E"/>
    <w:rsid w:val="0075789B"/>
    <w:rsid w:val="00767429"/>
    <w:rsid w:val="00772916"/>
    <w:rsid w:val="00780C07"/>
    <w:rsid w:val="0078456B"/>
    <w:rsid w:val="00785140"/>
    <w:rsid w:val="007900FA"/>
    <w:rsid w:val="0079200F"/>
    <w:rsid w:val="00797972"/>
    <w:rsid w:val="007A05A0"/>
    <w:rsid w:val="007A230C"/>
    <w:rsid w:val="007A47E1"/>
    <w:rsid w:val="007A71C8"/>
    <w:rsid w:val="007B058F"/>
    <w:rsid w:val="007D6BB1"/>
    <w:rsid w:val="007E3B48"/>
    <w:rsid w:val="007F1E6E"/>
    <w:rsid w:val="00805858"/>
    <w:rsid w:val="00812879"/>
    <w:rsid w:val="00814723"/>
    <w:rsid w:val="0082723D"/>
    <w:rsid w:val="00864005"/>
    <w:rsid w:val="00865CE1"/>
    <w:rsid w:val="0087166E"/>
    <w:rsid w:val="00871C40"/>
    <w:rsid w:val="00872319"/>
    <w:rsid w:val="00897104"/>
    <w:rsid w:val="008B334C"/>
    <w:rsid w:val="008C7E23"/>
    <w:rsid w:val="008E02ED"/>
    <w:rsid w:val="008E120A"/>
    <w:rsid w:val="008F4CAC"/>
    <w:rsid w:val="00902C93"/>
    <w:rsid w:val="009101D4"/>
    <w:rsid w:val="00921522"/>
    <w:rsid w:val="009338E7"/>
    <w:rsid w:val="0093435F"/>
    <w:rsid w:val="00944D52"/>
    <w:rsid w:val="00952F0D"/>
    <w:rsid w:val="00971CBF"/>
    <w:rsid w:val="00973F4F"/>
    <w:rsid w:val="009900BC"/>
    <w:rsid w:val="009917E2"/>
    <w:rsid w:val="00994317"/>
    <w:rsid w:val="009A329E"/>
    <w:rsid w:val="009B2294"/>
    <w:rsid w:val="009C43FA"/>
    <w:rsid w:val="009E7676"/>
    <w:rsid w:val="00A03106"/>
    <w:rsid w:val="00A06CFF"/>
    <w:rsid w:val="00A341C0"/>
    <w:rsid w:val="00A51F21"/>
    <w:rsid w:val="00A57C25"/>
    <w:rsid w:val="00A72A18"/>
    <w:rsid w:val="00A7698C"/>
    <w:rsid w:val="00A81993"/>
    <w:rsid w:val="00A82230"/>
    <w:rsid w:val="00A87B71"/>
    <w:rsid w:val="00A90876"/>
    <w:rsid w:val="00AA4200"/>
    <w:rsid w:val="00AA7743"/>
    <w:rsid w:val="00AB108F"/>
    <w:rsid w:val="00AB6EF2"/>
    <w:rsid w:val="00AC6E18"/>
    <w:rsid w:val="00AD6E91"/>
    <w:rsid w:val="00B11F2D"/>
    <w:rsid w:val="00B147CB"/>
    <w:rsid w:val="00B25ED7"/>
    <w:rsid w:val="00B33C7D"/>
    <w:rsid w:val="00B42279"/>
    <w:rsid w:val="00B5202F"/>
    <w:rsid w:val="00B704E3"/>
    <w:rsid w:val="00B73E1A"/>
    <w:rsid w:val="00B93366"/>
    <w:rsid w:val="00B93858"/>
    <w:rsid w:val="00BB39AC"/>
    <w:rsid w:val="00BC36AE"/>
    <w:rsid w:val="00BD7D08"/>
    <w:rsid w:val="00BF2CB3"/>
    <w:rsid w:val="00BF46E1"/>
    <w:rsid w:val="00BF5055"/>
    <w:rsid w:val="00C07D6E"/>
    <w:rsid w:val="00C1113C"/>
    <w:rsid w:val="00C2438C"/>
    <w:rsid w:val="00C32F81"/>
    <w:rsid w:val="00C352C4"/>
    <w:rsid w:val="00C52000"/>
    <w:rsid w:val="00C62F9B"/>
    <w:rsid w:val="00C83723"/>
    <w:rsid w:val="00C91FCC"/>
    <w:rsid w:val="00C92D07"/>
    <w:rsid w:val="00CB6CAD"/>
    <w:rsid w:val="00CC50CD"/>
    <w:rsid w:val="00CC7EC7"/>
    <w:rsid w:val="00CE04E8"/>
    <w:rsid w:val="00CE0C80"/>
    <w:rsid w:val="00CF6E3F"/>
    <w:rsid w:val="00D00D4A"/>
    <w:rsid w:val="00D058F7"/>
    <w:rsid w:val="00D07F50"/>
    <w:rsid w:val="00D16282"/>
    <w:rsid w:val="00D22C5F"/>
    <w:rsid w:val="00D3310F"/>
    <w:rsid w:val="00D35736"/>
    <w:rsid w:val="00D40A0E"/>
    <w:rsid w:val="00D46D03"/>
    <w:rsid w:val="00D52049"/>
    <w:rsid w:val="00D63902"/>
    <w:rsid w:val="00D673FC"/>
    <w:rsid w:val="00D71DDB"/>
    <w:rsid w:val="00D82D4E"/>
    <w:rsid w:val="00D851BF"/>
    <w:rsid w:val="00D9248C"/>
    <w:rsid w:val="00D9379E"/>
    <w:rsid w:val="00D94299"/>
    <w:rsid w:val="00DB1B0B"/>
    <w:rsid w:val="00DC603B"/>
    <w:rsid w:val="00DD2DAC"/>
    <w:rsid w:val="00DE6E6B"/>
    <w:rsid w:val="00DF09F4"/>
    <w:rsid w:val="00DF6FFF"/>
    <w:rsid w:val="00E000E6"/>
    <w:rsid w:val="00E10C1D"/>
    <w:rsid w:val="00E142DF"/>
    <w:rsid w:val="00E1795A"/>
    <w:rsid w:val="00E20AB2"/>
    <w:rsid w:val="00E377D9"/>
    <w:rsid w:val="00E4493E"/>
    <w:rsid w:val="00E45707"/>
    <w:rsid w:val="00E50AFE"/>
    <w:rsid w:val="00E569A2"/>
    <w:rsid w:val="00E7272A"/>
    <w:rsid w:val="00E8530C"/>
    <w:rsid w:val="00E95DC7"/>
    <w:rsid w:val="00EA43CB"/>
    <w:rsid w:val="00EA654A"/>
    <w:rsid w:val="00EA69A8"/>
    <w:rsid w:val="00EB792F"/>
    <w:rsid w:val="00EB7F49"/>
    <w:rsid w:val="00ED17EA"/>
    <w:rsid w:val="00ED5480"/>
    <w:rsid w:val="00EE7B10"/>
    <w:rsid w:val="00F13CA0"/>
    <w:rsid w:val="00F14705"/>
    <w:rsid w:val="00F33A60"/>
    <w:rsid w:val="00F414E3"/>
    <w:rsid w:val="00F700A3"/>
    <w:rsid w:val="00FA6AD7"/>
    <w:rsid w:val="00FC1CD4"/>
    <w:rsid w:val="00FC51FB"/>
    <w:rsid w:val="00FD2995"/>
    <w:rsid w:val="00FD2A4E"/>
    <w:rsid w:val="00FD4468"/>
    <w:rsid w:val="00FE090A"/>
    <w:rsid w:val="00FF4CFD"/>
    <w:rsid w:val="021C2135"/>
    <w:rsid w:val="023C4FD6"/>
    <w:rsid w:val="024020A8"/>
    <w:rsid w:val="037E2547"/>
    <w:rsid w:val="059A7B14"/>
    <w:rsid w:val="09186774"/>
    <w:rsid w:val="0B0B42AD"/>
    <w:rsid w:val="0B5E0971"/>
    <w:rsid w:val="0C000033"/>
    <w:rsid w:val="12070CAE"/>
    <w:rsid w:val="126C7B5B"/>
    <w:rsid w:val="1ACD3A3F"/>
    <w:rsid w:val="1CB258E6"/>
    <w:rsid w:val="1D60200B"/>
    <w:rsid w:val="1EEE35B6"/>
    <w:rsid w:val="21D610A3"/>
    <w:rsid w:val="22DB168B"/>
    <w:rsid w:val="231A257E"/>
    <w:rsid w:val="243B4281"/>
    <w:rsid w:val="274C3AC5"/>
    <w:rsid w:val="2AE13E25"/>
    <w:rsid w:val="2C4651CD"/>
    <w:rsid w:val="2EB26EB4"/>
    <w:rsid w:val="31577AC7"/>
    <w:rsid w:val="32043B5F"/>
    <w:rsid w:val="322704FB"/>
    <w:rsid w:val="343265D4"/>
    <w:rsid w:val="3533663A"/>
    <w:rsid w:val="368F7CFA"/>
    <w:rsid w:val="382175A5"/>
    <w:rsid w:val="391E62C7"/>
    <w:rsid w:val="39493B3C"/>
    <w:rsid w:val="3B9968D7"/>
    <w:rsid w:val="3D0460C7"/>
    <w:rsid w:val="41305C04"/>
    <w:rsid w:val="42AB6D91"/>
    <w:rsid w:val="44464202"/>
    <w:rsid w:val="470A2052"/>
    <w:rsid w:val="486B5C19"/>
    <w:rsid w:val="491276D3"/>
    <w:rsid w:val="50857803"/>
    <w:rsid w:val="53106254"/>
    <w:rsid w:val="54BD3A2C"/>
    <w:rsid w:val="56897C76"/>
    <w:rsid w:val="57596DC9"/>
    <w:rsid w:val="58BC30CE"/>
    <w:rsid w:val="5D2E75EC"/>
    <w:rsid w:val="62692D71"/>
    <w:rsid w:val="628D05DF"/>
    <w:rsid w:val="63236183"/>
    <w:rsid w:val="63BE2A75"/>
    <w:rsid w:val="65516A23"/>
    <w:rsid w:val="68790BC7"/>
    <w:rsid w:val="69FF511B"/>
    <w:rsid w:val="713A78C3"/>
    <w:rsid w:val="72645D3A"/>
    <w:rsid w:val="75CC401C"/>
    <w:rsid w:val="77885468"/>
    <w:rsid w:val="7D3F6E72"/>
    <w:rsid w:val="7D956C94"/>
    <w:rsid w:val="7DD37FAE"/>
    <w:rsid w:val="7E65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outlineLvl w:val="0"/>
    </w:pPr>
    <w:rPr>
      <w:rFonts w:ascii="PMingLiU" w:hAnsi="PMingLiU" w:eastAsia="PMingLiU" w:cs="PMingLiU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99"/>
    <w:pPr>
      <w:ind w:firstLine="420" w:firstLineChars="200"/>
    </w:pPr>
    <w:rPr>
      <w:rFonts w:ascii="Calibri" w:hAnsi="Calibri"/>
    </w:r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qFormat/>
    <w:uiPriority w:val="1"/>
    <w:pPr>
      <w:ind w:left="220"/>
    </w:pPr>
    <w:rPr>
      <w:sz w:val="32"/>
      <w:szCs w:val="32"/>
    </w:r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rPr>
      <w:sz w:val="24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页眉 Char"/>
    <w:basedOn w:val="11"/>
    <w:link w:val="8"/>
    <w:qFormat/>
    <w:uiPriority w:val="99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5">
    <w:name w:val="页脚 Char"/>
    <w:basedOn w:val="11"/>
    <w:link w:val="7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6">
    <w:name w:val="批注框文本 Char"/>
    <w:basedOn w:val="11"/>
    <w:link w:val="6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paragraph" w:customStyle="1" w:styleId="17">
    <w:name w:val="修订1"/>
    <w:hidden/>
    <w:semiHidden/>
    <w:qFormat/>
    <w:uiPriority w:val="99"/>
    <w:rPr>
      <w:rFonts w:ascii="仿宋" w:hAnsi="仿宋" w:eastAsia="仿宋" w:cs="仿宋"/>
      <w:sz w:val="22"/>
      <w:szCs w:val="22"/>
      <w:lang w:val="zh-CN" w:eastAsia="zh-CN" w:bidi="zh-CN"/>
    </w:rPr>
  </w:style>
  <w:style w:type="paragraph" w:customStyle="1" w:styleId="18">
    <w:name w:val="修订2"/>
    <w:hidden/>
    <w:semiHidden/>
    <w:qFormat/>
    <w:uiPriority w:val="99"/>
    <w:rPr>
      <w:rFonts w:ascii="仿宋" w:hAnsi="仿宋" w:eastAsia="仿宋" w:cs="仿宋"/>
      <w:sz w:val="22"/>
      <w:szCs w:val="22"/>
      <w:lang w:val="zh-CN" w:eastAsia="zh-CN" w:bidi="zh-CN"/>
    </w:rPr>
  </w:style>
  <w:style w:type="paragraph" w:customStyle="1" w:styleId="19">
    <w:name w:val="修订3"/>
    <w:hidden/>
    <w:unhideWhenUsed/>
    <w:qFormat/>
    <w:uiPriority w:val="99"/>
    <w:rPr>
      <w:rFonts w:ascii="仿宋" w:hAnsi="仿宋" w:eastAsia="仿宋" w:cs="仿宋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2</Pages>
  <Words>1866</Words>
  <Characters>1956</Characters>
  <Lines>23</Lines>
  <Paragraphs>6</Paragraphs>
  <TotalTime>256</TotalTime>
  <ScaleCrop>false</ScaleCrop>
  <LinksUpToDate>false</LinksUpToDate>
  <CharactersWithSpaces>2036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2025-11-19T08:25:00Z</dcterms:created>
  <dc:creator>jie.huang</dc:creator>
  <cp:lastModifiedBy>张潇文</cp:lastModifiedBy>
  <cp:lastPrinted>2026-08-26T03:25:02Z</cp:lastPrinted>
  <dcterms:modified xsi:type="dcterms:W3CDTF">2026-08-27T01:17:25Z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2DF590A2C87E445DB5DC1749448B541A_13</vt:lpwstr>
  </property>
  <property fmtid="{D5CDD505-2E9C-101B-9397-08002B2CF9AE}" pid="4" name="KSOTemplateDocerSaveRecord">
    <vt:lpwstr>eyJoZGlkIjoiMzEwNTM5NzYwMDRjMzkwZTVkZjY2ODkwMGIxNGU0OTUiLCJ1c2VySWQiOiIzMzE0NzY1NzEifQ==</vt:lpwstr>
  </property>
</Properties>
</file>