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93413" w14:textId="62D93C0F" w:rsidR="00CF7368" w:rsidRDefault="00000000" w:rsidP="00D70A2B">
      <w:pPr>
        <w:spacing w:beforeLines="50" w:before="156" w:afterLines="50" w:after="156" w:line="400" w:lineRule="exact"/>
        <w:rPr>
          <w:bCs/>
          <w:iCs/>
          <w:color w:val="000000"/>
          <w:sz w:val="24"/>
        </w:rPr>
      </w:pPr>
      <w:r>
        <w:rPr>
          <w:rFonts w:hAnsi="宋体"/>
          <w:bCs/>
          <w:iCs/>
          <w:color w:val="000000"/>
          <w:sz w:val="24"/>
        </w:rPr>
        <w:t>证券代码：</w:t>
      </w:r>
      <w:r>
        <w:rPr>
          <w:bCs/>
          <w:iCs/>
          <w:color w:val="000000"/>
          <w:sz w:val="24"/>
        </w:rPr>
        <w:t xml:space="preserve"> </w:t>
      </w:r>
      <w:r>
        <w:rPr>
          <w:color w:val="000000"/>
          <w:sz w:val="24"/>
        </w:rPr>
        <w:t xml:space="preserve">600084  </w:t>
      </w:r>
      <w:r w:rsidR="00346D43">
        <w:rPr>
          <w:rFonts w:hint="eastAsia"/>
          <w:color w:val="000000"/>
          <w:sz w:val="24"/>
        </w:rPr>
        <w:t xml:space="preserve"> </w:t>
      </w:r>
      <w:r>
        <w:rPr>
          <w:color w:val="000000"/>
          <w:sz w:val="24"/>
        </w:rPr>
        <w:t xml:space="preserve">                </w:t>
      </w:r>
      <w:r w:rsidR="00CF7368">
        <w:rPr>
          <w:rFonts w:hint="eastAsia"/>
          <w:color w:val="000000"/>
          <w:sz w:val="24"/>
        </w:rPr>
        <w:t xml:space="preserve">      </w:t>
      </w:r>
      <w:r>
        <w:rPr>
          <w:color w:val="000000"/>
          <w:sz w:val="24"/>
        </w:rPr>
        <w:t xml:space="preserve">          </w:t>
      </w:r>
      <w:r>
        <w:rPr>
          <w:rFonts w:hAnsi="宋体"/>
          <w:bCs/>
          <w:iCs/>
          <w:color w:val="000000"/>
          <w:sz w:val="24"/>
        </w:rPr>
        <w:t>证券简称：</w:t>
      </w:r>
      <w:r w:rsidR="00CF7368" w:rsidRPr="00CF7368">
        <w:rPr>
          <w:rFonts w:hAnsi="宋体"/>
          <w:bCs/>
          <w:iCs/>
          <w:color w:val="000000"/>
          <w:sz w:val="24"/>
        </w:rPr>
        <w:t>*ST</w:t>
      </w:r>
      <w:r w:rsidR="00CF7368" w:rsidRPr="00CF7368">
        <w:rPr>
          <w:rFonts w:hAnsi="宋体"/>
          <w:bCs/>
          <w:iCs/>
          <w:color w:val="000000"/>
          <w:sz w:val="24"/>
        </w:rPr>
        <w:t>尼雅</w:t>
      </w:r>
    </w:p>
    <w:p w14:paraId="3A2C0B04" w14:textId="77777777" w:rsidR="00D70A2B" w:rsidRPr="00D70A2B" w:rsidRDefault="00D70A2B" w:rsidP="00D70A2B">
      <w:pPr>
        <w:spacing w:beforeLines="50" w:before="156" w:afterLines="50" w:after="156" w:line="300" w:lineRule="exact"/>
        <w:rPr>
          <w:bCs/>
          <w:iCs/>
          <w:color w:val="000000"/>
          <w:sz w:val="24"/>
        </w:rPr>
      </w:pPr>
    </w:p>
    <w:p w14:paraId="3913B917" w14:textId="25DC67DC" w:rsidR="008068B9" w:rsidRDefault="00000000" w:rsidP="00D70A2B">
      <w:pPr>
        <w:spacing w:beforeLines="50" w:before="156" w:afterLines="50" w:after="156" w:line="380" w:lineRule="exact"/>
        <w:jc w:val="center"/>
        <w:rPr>
          <w:rFonts w:ascii="宋体" w:hAnsi="宋体" w:hint="eastAsia"/>
          <w:b/>
          <w:bCs/>
          <w:iCs/>
          <w:color w:val="000000"/>
          <w:sz w:val="32"/>
          <w:szCs w:val="32"/>
        </w:rPr>
      </w:pPr>
      <w:r>
        <w:rPr>
          <w:rFonts w:ascii="宋体" w:hAnsi="宋体"/>
          <w:b/>
          <w:bCs/>
          <w:iCs/>
          <w:color w:val="000000"/>
          <w:sz w:val="32"/>
          <w:szCs w:val="32"/>
        </w:rPr>
        <w:t>中信尼雅葡萄酒股份有限公司</w:t>
      </w:r>
      <w:r>
        <w:rPr>
          <w:rFonts w:ascii="宋体" w:hAnsi="宋体" w:hint="eastAsia"/>
          <w:b/>
          <w:bCs/>
          <w:iCs/>
          <w:color w:val="000000"/>
          <w:sz w:val="32"/>
          <w:szCs w:val="32"/>
        </w:rPr>
        <w:t>投资者关系活动记录表</w:t>
      </w:r>
    </w:p>
    <w:p w14:paraId="44B07AE7" w14:textId="7DDB23F8" w:rsidR="008068B9" w:rsidRDefault="00000000" w:rsidP="00D70A2B">
      <w:pPr>
        <w:spacing w:line="380" w:lineRule="exact"/>
        <w:rPr>
          <w:rFonts w:ascii="宋体" w:hAnsi="宋体"/>
          <w:bCs/>
          <w:iCs/>
          <w:color w:val="000000"/>
          <w:sz w:val="24"/>
        </w:rPr>
      </w:pPr>
      <w:r>
        <w:rPr>
          <w:rFonts w:ascii="宋体" w:hAnsi="宋体" w:hint="eastAsia"/>
          <w:bCs/>
          <w:iCs/>
          <w:color w:val="000000"/>
          <w:sz w:val="24"/>
        </w:rPr>
        <w:t xml:space="preserve">                                                     </w:t>
      </w:r>
      <w:r w:rsidR="003B3B5F" w:rsidRPr="003B3B5F">
        <w:rPr>
          <w:rFonts w:ascii="宋体" w:hAnsi="宋体"/>
          <w:bCs/>
          <w:iCs/>
          <w:color w:val="000000"/>
          <w:sz w:val="24"/>
        </w:rPr>
        <w:t>编号：2026-00</w:t>
      </w:r>
      <w:r w:rsidR="003B3B5F">
        <w:rPr>
          <w:rFonts w:ascii="宋体" w:hAnsi="宋体" w:hint="eastAsia"/>
          <w:bCs/>
          <w:iCs/>
          <w:color w:val="000000"/>
          <w:sz w:val="24"/>
        </w:rPr>
        <w:t>1</w:t>
      </w:r>
    </w:p>
    <w:p w14:paraId="22FA8ECF" w14:textId="77777777" w:rsidR="003B3B5F" w:rsidRDefault="003B3B5F" w:rsidP="00D70A2B">
      <w:pPr>
        <w:spacing w:line="380" w:lineRule="exact"/>
        <w:rPr>
          <w:rFonts w:hint="eastAsia"/>
          <w:bCs/>
          <w:iCs/>
          <w:color w:val="000000"/>
          <w:sz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059"/>
      </w:tblGrid>
      <w:tr w:rsidR="008068B9" w14:paraId="6481A1A2" w14:textId="77777777" w:rsidTr="00C71625">
        <w:tc>
          <w:tcPr>
            <w:tcW w:w="1696" w:type="dxa"/>
            <w:tcBorders>
              <w:top w:val="single" w:sz="4" w:space="0" w:color="auto"/>
              <w:left w:val="single" w:sz="4" w:space="0" w:color="auto"/>
              <w:bottom w:val="single" w:sz="4" w:space="0" w:color="auto"/>
              <w:right w:val="single" w:sz="4" w:space="0" w:color="auto"/>
            </w:tcBorders>
            <w:vAlign w:val="center"/>
          </w:tcPr>
          <w:p w14:paraId="42FF2851" w14:textId="1CE099CC" w:rsidR="008068B9" w:rsidRPr="006839BA" w:rsidRDefault="00000000" w:rsidP="006839BA">
            <w:pPr>
              <w:spacing w:line="420" w:lineRule="exact"/>
              <w:rPr>
                <w:bCs/>
                <w:iCs/>
                <w:color w:val="000000"/>
                <w:kern w:val="0"/>
                <w:sz w:val="24"/>
              </w:rPr>
            </w:pPr>
            <w:r>
              <w:rPr>
                <w:rFonts w:hAnsi="宋体"/>
                <w:bCs/>
                <w:iCs/>
                <w:color w:val="000000"/>
                <w:kern w:val="0"/>
                <w:sz w:val="24"/>
              </w:rPr>
              <w:t>投资者关系活动类别</w:t>
            </w:r>
          </w:p>
        </w:tc>
        <w:tc>
          <w:tcPr>
            <w:tcW w:w="7059" w:type="dxa"/>
            <w:tcBorders>
              <w:top w:val="single" w:sz="4" w:space="0" w:color="auto"/>
              <w:left w:val="single" w:sz="4" w:space="0" w:color="auto"/>
              <w:bottom w:val="single" w:sz="4" w:space="0" w:color="auto"/>
              <w:right w:val="single" w:sz="4" w:space="0" w:color="auto"/>
            </w:tcBorders>
          </w:tcPr>
          <w:p w14:paraId="51BA808B" w14:textId="44BF0D63" w:rsidR="008068B9" w:rsidRDefault="00FC1354">
            <w:pPr>
              <w:spacing w:line="420" w:lineRule="exact"/>
              <w:rPr>
                <w:bCs/>
                <w:iCs/>
                <w:color w:val="000000"/>
                <w:sz w:val="24"/>
              </w:rPr>
            </w:pPr>
            <w:r w:rsidRPr="00F71F8B">
              <w:rPr>
                <w:rFonts w:ascii="宋体" w:hAnsi="宋体" w:cs="宋体"/>
                <w:b/>
                <w:bCs/>
                <w:kern w:val="0"/>
                <w:sz w:val="24"/>
              </w:rPr>
              <w:t>√</w:t>
            </w:r>
            <w:r w:rsidR="00F961AF">
              <w:rPr>
                <w:rFonts w:hint="eastAsia"/>
                <w:bCs/>
                <w:iCs/>
                <w:color w:val="000000"/>
                <w:kern w:val="0"/>
                <w:sz w:val="24"/>
              </w:rPr>
              <w:t xml:space="preserve"> </w:t>
            </w:r>
            <w:r>
              <w:rPr>
                <w:rFonts w:hAnsi="宋体"/>
                <w:kern w:val="0"/>
                <w:sz w:val="24"/>
              </w:rPr>
              <w:t>特定对象调研</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14:paraId="7AE23B85" w14:textId="05FBF092" w:rsidR="008068B9" w:rsidRDefault="00000000">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sidR="00CF7368">
              <w:rPr>
                <w:bCs/>
                <w:iCs/>
                <w:color w:val="000000"/>
                <w:kern w:val="0"/>
                <w:sz w:val="24"/>
              </w:rPr>
              <w:t>□</w:t>
            </w:r>
            <w:r>
              <w:rPr>
                <w:rFonts w:hint="eastAsia"/>
                <w:bCs/>
                <w:iCs/>
                <w:color w:val="000000"/>
                <w:kern w:val="0"/>
                <w:sz w:val="24"/>
              </w:rPr>
              <w:t xml:space="preserve"> </w:t>
            </w:r>
            <w:r>
              <w:rPr>
                <w:rFonts w:hAnsi="宋体"/>
                <w:kern w:val="0"/>
                <w:sz w:val="24"/>
              </w:rPr>
              <w:t>业绩说明会</w:t>
            </w:r>
          </w:p>
          <w:p w14:paraId="54125427" w14:textId="77777777" w:rsidR="008068B9" w:rsidRDefault="00000000">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14:paraId="5E33394D" w14:textId="77777777" w:rsidR="008068B9" w:rsidRDefault="00000000">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14:paraId="6E2A36B5" w14:textId="77777777" w:rsidR="008068B9" w:rsidRDefault="00000000">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rsidR="00FC1354" w14:paraId="45A456A1" w14:textId="77777777" w:rsidTr="00C71625">
        <w:trPr>
          <w:trHeight w:val="902"/>
        </w:trPr>
        <w:tc>
          <w:tcPr>
            <w:tcW w:w="1696" w:type="dxa"/>
            <w:tcBorders>
              <w:top w:val="single" w:sz="4" w:space="0" w:color="auto"/>
              <w:left w:val="single" w:sz="4" w:space="0" w:color="auto"/>
              <w:bottom w:val="single" w:sz="4" w:space="0" w:color="auto"/>
              <w:right w:val="single" w:sz="4" w:space="0" w:color="auto"/>
            </w:tcBorders>
            <w:vAlign w:val="center"/>
          </w:tcPr>
          <w:p w14:paraId="5C22A2A2" w14:textId="77777777" w:rsidR="00FC1354" w:rsidRDefault="00FC1354" w:rsidP="00FC1354">
            <w:pPr>
              <w:spacing w:line="420" w:lineRule="exact"/>
              <w:rPr>
                <w:bCs/>
                <w:iCs/>
                <w:color w:val="000000"/>
                <w:kern w:val="0"/>
                <w:sz w:val="24"/>
              </w:rPr>
            </w:pPr>
            <w:r>
              <w:rPr>
                <w:rFonts w:hAnsi="宋体"/>
                <w:bCs/>
                <w:iCs/>
                <w:color w:val="000000"/>
                <w:kern w:val="0"/>
                <w:sz w:val="24"/>
              </w:rPr>
              <w:t>参与单位名称及人员姓名</w:t>
            </w:r>
          </w:p>
        </w:tc>
        <w:tc>
          <w:tcPr>
            <w:tcW w:w="7059" w:type="dxa"/>
            <w:tcBorders>
              <w:top w:val="single" w:sz="4" w:space="0" w:color="auto"/>
              <w:left w:val="single" w:sz="4" w:space="0" w:color="auto"/>
              <w:bottom w:val="single" w:sz="4" w:space="0" w:color="auto"/>
              <w:right w:val="single" w:sz="4" w:space="0" w:color="auto"/>
            </w:tcBorders>
            <w:vAlign w:val="center"/>
          </w:tcPr>
          <w:p w14:paraId="37C61870" w14:textId="1C8DE792" w:rsidR="00FC1354" w:rsidRDefault="00FC1354" w:rsidP="00FC1354">
            <w:pPr>
              <w:spacing w:line="420" w:lineRule="exact"/>
              <w:rPr>
                <w:bCs/>
                <w:iCs/>
                <w:color w:val="000000"/>
                <w:sz w:val="24"/>
                <w:lang w:val="en-GB"/>
              </w:rPr>
            </w:pPr>
            <w:r w:rsidRPr="00F71F8B">
              <w:rPr>
                <w:rFonts w:ascii="宋体" w:hAnsi="宋体" w:cs="宋体"/>
                <w:kern w:val="0"/>
                <w:sz w:val="24"/>
              </w:rPr>
              <w:t>中信证券：陈戈扬、</w:t>
            </w:r>
            <w:r>
              <w:rPr>
                <w:rFonts w:ascii="宋体" w:hAnsi="宋体" w:cs="宋体" w:hint="eastAsia"/>
                <w:kern w:val="0"/>
                <w:sz w:val="24"/>
              </w:rPr>
              <w:t>彭榆芬</w:t>
            </w:r>
          </w:p>
        </w:tc>
      </w:tr>
      <w:tr w:rsidR="00FC1354" w14:paraId="5EE12DB1" w14:textId="77777777" w:rsidTr="00C71625">
        <w:tc>
          <w:tcPr>
            <w:tcW w:w="1696" w:type="dxa"/>
            <w:tcBorders>
              <w:top w:val="single" w:sz="4" w:space="0" w:color="auto"/>
              <w:left w:val="single" w:sz="4" w:space="0" w:color="auto"/>
              <w:bottom w:val="single" w:sz="4" w:space="0" w:color="auto"/>
              <w:right w:val="single" w:sz="4" w:space="0" w:color="auto"/>
            </w:tcBorders>
            <w:vAlign w:val="center"/>
          </w:tcPr>
          <w:p w14:paraId="4C9C4570" w14:textId="77777777" w:rsidR="00FC1354" w:rsidRDefault="00FC1354" w:rsidP="00FC1354">
            <w:pPr>
              <w:spacing w:line="420" w:lineRule="exact"/>
              <w:rPr>
                <w:bCs/>
                <w:iCs/>
                <w:color w:val="000000"/>
                <w:kern w:val="0"/>
                <w:sz w:val="24"/>
              </w:rPr>
            </w:pPr>
            <w:r>
              <w:rPr>
                <w:rFonts w:hAnsi="宋体"/>
                <w:bCs/>
                <w:iCs/>
                <w:color w:val="000000"/>
                <w:kern w:val="0"/>
                <w:sz w:val="24"/>
              </w:rPr>
              <w:t>时间</w:t>
            </w:r>
          </w:p>
        </w:tc>
        <w:tc>
          <w:tcPr>
            <w:tcW w:w="7059" w:type="dxa"/>
            <w:tcBorders>
              <w:top w:val="single" w:sz="4" w:space="0" w:color="auto"/>
              <w:left w:val="single" w:sz="4" w:space="0" w:color="auto"/>
              <w:bottom w:val="single" w:sz="4" w:space="0" w:color="auto"/>
              <w:right w:val="single" w:sz="4" w:space="0" w:color="auto"/>
            </w:tcBorders>
            <w:vAlign w:val="center"/>
          </w:tcPr>
          <w:p w14:paraId="2220C98F" w14:textId="0AF981EB" w:rsidR="00FC1354" w:rsidRDefault="00FC1354" w:rsidP="00FC1354">
            <w:pPr>
              <w:spacing w:line="420" w:lineRule="exact"/>
              <w:rPr>
                <w:bCs/>
                <w:iCs/>
                <w:color w:val="000000"/>
                <w:sz w:val="24"/>
              </w:rPr>
            </w:pPr>
            <w:r>
              <w:rPr>
                <w:rFonts w:ascii="宋体" w:hAnsi="宋体" w:cs="宋体"/>
                <w:kern w:val="0"/>
                <w:sz w:val="24"/>
              </w:rPr>
              <w:t>2026年8月27日</w:t>
            </w:r>
          </w:p>
        </w:tc>
      </w:tr>
      <w:tr w:rsidR="00FC1354" w14:paraId="1E59878D" w14:textId="77777777" w:rsidTr="00C71625">
        <w:tc>
          <w:tcPr>
            <w:tcW w:w="1696" w:type="dxa"/>
            <w:tcBorders>
              <w:top w:val="single" w:sz="4" w:space="0" w:color="auto"/>
              <w:left w:val="single" w:sz="4" w:space="0" w:color="auto"/>
              <w:bottom w:val="single" w:sz="4" w:space="0" w:color="auto"/>
              <w:right w:val="single" w:sz="4" w:space="0" w:color="auto"/>
            </w:tcBorders>
            <w:vAlign w:val="center"/>
          </w:tcPr>
          <w:p w14:paraId="7FA2C8B9" w14:textId="77777777" w:rsidR="00FC1354" w:rsidRDefault="00FC1354" w:rsidP="00FC1354">
            <w:pPr>
              <w:spacing w:line="420" w:lineRule="exact"/>
              <w:rPr>
                <w:bCs/>
                <w:iCs/>
                <w:color w:val="000000"/>
                <w:kern w:val="0"/>
                <w:sz w:val="24"/>
              </w:rPr>
            </w:pPr>
            <w:r>
              <w:rPr>
                <w:rFonts w:hAnsi="宋体"/>
                <w:bCs/>
                <w:iCs/>
                <w:color w:val="000000"/>
                <w:kern w:val="0"/>
                <w:sz w:val="24"/>
              </w:rPr>
              <w:t>地点</w:t>
            </w:r>
          </w:p>
        </w:tc>
        <w:tc>
          <w:tcPr>
            <w:tcW w:w="7059" w:type="dxa"/>
            <w:tcBorders>
              <w:top w:val="single" w:sz="4" w:space="0" w:color="auto"/>
              <w:left w:val="single" w:sz="4" w:space="0" w:color="auto"/>
              <w:bottom w:val="single" w:sz="4" w:space="0" w:color="auto"/>
              <w:right w:val="single" w:sz="4" w:space="0" w:color="auto"/>
            </w:tcBorders>
            <w:vAlign w:val="center"/>
          </w:tcPr>
          <w:p w14:paraId="22FB50DA" w14:textId="20F9B87D" w:rsidR="00FC1354" w:rsidRDefault="00FC1354" w:rsidP="00FC1354">
            <w:pPr>
              <w:spacing w:line="420" w:lineRule="exact"/>
              <w:rPr>
                <w:bCs/>
                <w:iCs/>
                <w:color w:val="000000"/>
                <w:sz w:val="24"/>
              </w:rPr>
            </w:pPr>
            <w:r w:rsidRPr="00F71F8B">
              <w:rPr>
                <w:rFonts w:ascii="宋体" w:hAnsi="宋体" w:cs="宋体"/>
                <w:kern w:val="0"/>
                <w:sz w:val="24"/>
              </w:rPr>
              <w:t>公司会议室</w:t>
            </w:r>
          </w:p>
        </w:tc>
      </w:tr>
      <w:tr w:rsidR="00FC1354" w14:paraId="7E0C1A86" w14:textId="77777777" w:rsidTr="00C71625">
        <w:tc>
          <w:tcPr>
            <w:tcW w:w="1696" w:type="dxa"/>
            <w:tcBorders>
              <w:top w:val="single" w:sz="4" w:space="0" w:color="auto"/>
              <w:left w:val="single" w:sz="4" w:space="0" w:color="auto"/>
              <w:bottom w:val="single" w:sz="4" w:space="0" w:color="auto"/>
              <w:right w:val="single" w:sz="4" w:space="0" w:color="auto"/>
            </w:tcBorders>
            <w:vAlign w:val="center"/>
          </w:tcPr>
          <w:p w14:paraId="6BB1E338" w14:textId="77777777" w:rsidR="00FC1354" w:rsidRDefault="00FC1354" w:rsidP="00FC1354">
            <w:pPr>
              <w:spacing w:line="420" w:lineRule="exact"/>
              <w:rPr>
                <w:bCs/>
                <w:iCs/>
                <w:color w:val="000000"/>
                <w:kern w:val="0"/>
                <w:sz w:val="24"/>
              </w:rPr>
            </w:pPr>
            <w:r>
              <w:rPr>
                <w:rFonts w:hAnsi="宋体"/>
                <w:bCs/>
                <w:iCs/>
                <w:color w:val="000000"/>
                <w:kern w:val="0"/>
                <w:sz w:val="24"/>
              </w:rPr>
              <w:t>上市公司接待人员姓名</w:t>
            </w:r>
          </w:p>
        </w:tc>
        <w:tc>
          <w:tcPr>
            <w:tcW w:w="7059" w:type="dxa"/>
            <w:tcBorders>
              <w:top w:val="single" w:sz="4" w:space="0" w:color="auto"/>
              <w:left w:val="single" w:sz="4" w:space="0" w:color="auto"/>
              <w:bottom w:val="single" w:sz="4" w:space="0" w:color="auto"/>
              <w:right w:val="single" w:sz="4" w:space="0" w:color="auto"/>
            </w:tcBorders>
            <w:vAlign w:val="center"/>
          </w:tcPr>
          <w:p w14:paraId="5B3AE911" w14:textId="160A146C" w:rsidR="00FC1354" w:rsidRDefault="00FC1354" w:rsidP="00FC1354">
            <w:pPr>
              <w:spacing w:line="420" w:lineRule="exact"/>
              <w:rPr>
                <w:rFonts w:ascii="宋体" w:hAnsi="宋体" w:hint="eastAsia"/>
                <w:bCs/>
                <w:sz w:val="24"/>
              </w:rPr>
            </w:pPr>
            <w:r>
              <w:rPr>
                <w:rFonts w:ascii="宋体" w:hAnsi="宋体" w:cs="宋体"/>
                <w:kern w:val="0"/>
                <w:sz w:val="24"/>
              </w:rPr>
              <w:t>副总经理、董事会秘书：</w:t>
            </w:r>
            <w:r>
              <w:rPr>
                <w:rFonts w:ascii="宋体" w:hAnsi="宋体" w:cs="宋体" w:hint="eastAsia"/>
                <w:kern w:val="0"/>
                <w:sz w:val="24"/>
              </w:rPr>
              <w:t>武</w:t>
            </w:r>
            <w:r w:rsidR="009F287D">
              <w:rPr>
                <w:rFonts w:ascii="宋体" w:hAnsi="宋体" w:cs="宋体" w:hint="eastAsia"/>
                <w:kern w:val="0"/>
                <w:sz w:val="24"/>
              </w:rPr>
              <w:t>少博</w:t>
            </w:r>
          </w:p>
        </w:tc>
      </w:tr>
      <w:tr w:rsidR="00FC1354" w14:paraId="39672314" w14:textId="77777777" w:rsidTr="00C71625">
        <w:trPr>
          <w:trHeight w:val="5084"/>
        </w:trPr>
        <w:tc>
          <w:tcPr>
            <w:tcW w:w="1696" w:type="dxa"/>
            <w:tcBorders>
              <w:top w:val="single" w:sz="4" w:space="0" w:color="auto"/>
              <w:left w:val="single" w:sz="4" w:space="0" w:color="auto"/>
              <w:bottom w:val="single" w:sz="4" w:space="0" w:color="auto"/>
              <w:right w:val="single" w:sz="4" w:space="0" w:color="auto"/>
            </w:tcBorders>
            <w:vAlign w:val="center"/>
          </w:tcPr>
          <w:p w14:paraId="2856C675" w14:textId="43CD5D62" w:rsidR="00FC1354" w:rsidRPr="006839BA" w:rsidRDefault="00FC1354" w:rsidP="00FC1354">
            <w:pPr>
              <w:spacing w:line="420" w:lineRule="exact"/>
              <w:rPr>
                <w:bCs/>
                <w:iCs/>
                <w:color w:val="000000"/>
                <w:kern w:val="0"/>
                <w:sz w:val="24"/>
              </w:rPr>
            </w:pPr>
            <w:r>
              <w:rPr>
                <w:rFonts w:hAnsi="宋体"/>
                <w:bCs/>
                <w:iCs/>
                <w:color w:val="000000"/>
                <w:kern w:val="0"/>
                <w:sz w:val="24"/>
              </w:rPr>
              <w:t>投资者关系活动主要内容介绍</w:t>
            </w:r>
          </w:p>
        </w:tc>
        <w:tc>
          <w:tcPr>
            <w:tcW w:w="7059" w:type="dxa"/>
            <w:tcBorders>
              <w:top w:val="single" w:sz="4" w:space="0" w:color="auto"/>
              <w:left w:val="single" w:sz="4" w:space="0" w:color="auto"/>
              <w:bottom w:val="single" w:sz="4" w:space="0" w:color="auto"/>
              <w:right w:val="single" w:sz="4" w:space="0" w:color="auto"/>
            </w:tcBorders>
            <w:vAlign w:val="center"/>
          </w:tcPr>
          <w:p w14:paraId="412CEC8A" w14:textId="77777777" w:rsidR="00C13B26" w:rsidRDefault="00FC1354" w:rsidP="00C13B26">
            <w:pPr>
              <w:pStyle w:val="a7"/>
              <w:spacing w:before="0" w:beforeAutospacing="0" w:after="0" w:afterAutospacing="0" w:line="480" w:lineRule="exact"/>
              <w:rPr>
                <w:rFonts w:hint="eastAsia"/>
                <w:b/>
              </w:rPr>
            </w:pPr>
            <w:r w:rsidRPr="000254D2">
              <w:rPr>
                <w:b/>
              </w:rPr>
              <w:t>1、介绍公司概况</w:t>
            </w:r>
          </w:p>
          <w:p w14:paraId="5EEE7145" w14:textId="45A52FC5" w:rsidR="00FC1354" w:rsidRPr="00C13B26" w:rsidRDefault="00FC1354" w:rsidP="004C1E47">
            <w:pPr>
              <w:pStyle w:val="a7"/>
              <w:spacing w:before="0" w:beforeAutospacing="0" w:after="0" w:afterAutospacing="0" w:line="420" w:lineRule="exact"/>
              <w:rPr>
                <w:rFonts w:hint="eastAsia"/>
                <w:b/>
              </w:rPr>
            </w:pPr>
            <w:r w:rsidRPr="000254D2">
              <w:rPr>
                <w:rFonts w:hint="eastAsia"/>
              </w:rPr>
              <w:t>答：</w:t>
            </w:r>
            <w:r>
              <w:rPr>
                <w:rFonts w:hint="eastAsia"/>
              </w:rPr>
              <w:t>公司是一家集葡萄种植、生产、销售</w:t>
            </w:r>
            <w:r w:rsidR="009F287D">
              <w:rPr>
                <w:rFonts w:hint="eastAsia"/>
              </w:rPr>
              <w:t>、</w:t>
            </w:r>
            <w:r w:rsidR="009F287D">
              <w:rPr>
                <w:rFonts w:hint="eastAsia"/>
              </w:rPr>
              <w:t>科研</w:t>
            </w:r>
            <w:r>
              <w:rPr>
                <w:rFonts w:hint="eastAsia"/>
              </w:rPr>
              <w:t>为一体的葡萄酒企业。公司的采购模式为：公司酿酒原料采购模式为“公司</w:t>
            </w:r>
            <w:r>
              <w:t>+农户”的农业产业化经营模式，即公司与</w:t>
            </w:r>
            <w:r>
              <w:rPr>
                <w:rFonts w:hint="eastAsia"/>
              </w:rPr>
              <w:t>种植单位或农户签订原料收购合同，公司为种植单位或农户提供生产管理及技术指导服务，公司按照合同约定的原料检验标准采购种植单位或农户的酿酒葡萄原料。生产模式为：公司采用以销定产的基本原则，结合市场产销情况和设备运行状态，配合“销量</w:t>
            </w:r>
            <w:r>
              <w:t>+合理库存”的模式制定生产</w:t>
            </w:r>
            <w:r>
              <w:rPr>
                <w:rFonts w:hint="eastAsia"/>
              </w:rPr>
              <w:t>计划，生产流程主要为原酒的生产、加工和灌装包装环节。销售模式为：公司销售渠道按照区域进行划分，销售模式主要为批发代理和直销（含团购）。同时公司通过品牌建设，不断加强和完善营销管理体系，目前已形成了能够覆盖全国省级地区的营销网络和客户服务体系。截至报告期末，公司在全国发展经销商、大客户等合作伙伴百余家，形成了以新疆地区及全国核心经济圈为主的销售网络渠道。</w:t>
            </w:r>
          </w:p>
          <w:p w14:paraId="7C7C4F36" w14:textId="77777777" w:rsidR="00FC1354" w:rsidRPr="000254D2" w:rsidRDefault="00FC1354" w:rsidP="004C1E47">
            <w:pPr>
              <w:pStyle w:val="a7"/>
              <w:spacing w:before="0" w:beforeAutospacing="0" w:after="0" w:afterAutospacing="0" w:line="420" w:lineRule="exact"/>
              <w:rPr>
                <w:rFonts w:hint="eastAsia"/>
                <w:b/>
              </w:rPr>
            </w:pPr>
            <w:r w:rsidRPr="000254D2">
              <w:rPr>
                <w:b/>
              </w:rPr>
              <w:lastRenderedPageBreak/>
              <w:t>2、</w:t>
            </w:r>
            <w:r w:rsidRPr="000254D2">
              <w:rPr>
                <w:rFonts w:hint="eastAsia"/>
                <w:b/>
              </w:rPr>
              <w:t>公司</w:t>
            </w:r>
            <w:r w:rsidRPr="000254D2">
              <w:rPr>
                <w:b/>
              </w:rPr>
              <w:t>2026 年上半年经营和业绩情况</w:t>
            </w:r>
          </w:p>
          <w:p w14:paraId="47F7C114" w14:textId="77777777" w:rsidR="00FC1354" w:rsidRDefault="00FC1354" w:rsidP="004C1E47">
            <w:pPr>
              <w:pStyle w:val="a7"/>
              <w:spacing w:before="0" w:beforeAutospacing="0" w:after="0" w:afterAutospacing="0" w:line="420" w:lineRule="exact"/>
              <w:rPr>
                <w:rFonts w:hint="eastAsia"/>
              </w:rPr>
            </w:pPr>
            <w:r>
              <w:rPr>
                <w:rFonts w:hint="eastAsia"/>
              </w:rPr>
              <w:t>答：</w:t>
            </w:r>
            <w:r>
              <w:t>2026 年上半年，公司紧紧围绕“保牌攻坚”核心目标，以深化营销改革为抓手，以开源降</w:t>
            </w:r>
            <w:r>
              <w:rPr>
                <w:rFonts w:hint="eastAsia"/>
              </w:rPr>
              <w:t>本为主线，全力推进各项攻坚任务，经营发展呈现企稳向好态势。报告期内，公司实现营业收入</w:t>
            </w:r>
            <w:r>
              <w:t>8,293.65 万元，较上年同期增长 19.10%；归属于上市公司股东的扣除非经常性损益的净利润376.11 万元，较上年同期实现扭亏为盈。</w:t>
            </w:r>
          </w:p>
          <w:p w14:paraId="06B6FCDA" w14:textId="77777777" w:rsidR="00FC1354" w:rsidRDefault="00FC1354" w:rsidP="004C1E47">
            <w:pPr>
              <w:pStyle w:val="a7"/>
              <w:spacing w:before="0" w:beforeAutospacing="0" w:after="0" w:afterAutospacing="0" w:line="420" w:lineRule="exact"/>
              <w:rPr>
                <w:rFonts w:hint="eastAsia"/>
                <w:b/>
              </w:rPr>
            </w:pPr>
            <w:r>
              <w:rPr>
                <w:b/>
              </w:rPr>
              <w:t>3、</w:t>
            </w:r>
            <w:r w:rsidRPr="000254D2">
              <w:rPr>
                <w:b/>
              </w:rPr>
              <w:t>公司</w:t>
            </w:r>
            <w:r>
              <w:rPr>
                <w:rFonts w:hint="eastAsia"/>
                <w:b/>
              </w:rPr>
              <w:t>2</w:t>
            </w:r>
            <w:r>
              <w:rPr>
                <w:b/>
              </w:rPr>
              <w:t>026</w:t>
            </w:r>
            <w:r>
              <w:rPr>
                <w:rFonts w:hint="eastAsia"/>
                <w:b/>
              </w:rPr>
              <w:t>年上半年扭亏为盈的具体原因</w:t>
            </w:r>
          </w:p>
          <w:p w14:paraId="350EEFD8" w14:textId="77777777" w:rsidR="00FC1354" w:rsidRDefault="00FC1354" w:rsidP="004C1E47">
            <w:pPr>
              <w:pStyle w:val="a7"/>
              <w:spacing w:before="0" w:beforeAutospacing="0" w:after="0" w:afterAutospacing="0" w:line="420" w:lineRule="exact"/>
              <w:rPr>
                <w:rFonts w:hint="eastAsia"/>
              </w:rPr>
            </w:pPr>
            <w:r w:rsidRPr="000254D2">
              <w:rPr>
                <w:rFonts w:hint="eastAsia"/>
              </w:rPr>
              <w:t>答：</w:t>
            </w:r>
            <w:r>
              <w:rPr>
                <w:rFonts w:hint="eastAsia"/>
              </w:rPr>
              <w:t>报告期内公司扭亏为盈的具体原因主要系推进开源降本，提升经营质效。报告期内，公司全面推进开源增收、降本增效专项工作，构建全链条精益经营管控体系，持续增厚经营收益、提升经营质效。增收方面，依托渠道体系，稳步推进存量订单动销，深化内部协同合作，持续拓展政企、团购等增量市场，依托全员营销、原酒销售等多元模式拓宽营收渠道。降本方面，全方位落实精细化管控，运营端整合优化仓储、人力、差旅等各类资源，刚性压降非必要开支，优化低效闲置资产配置；生产供应链端，通过工艺优化、包材升级、标准化集中采购、经济批量生产等方式，在综合质量提升的前提下持续压降生产及采购成本。同时，深入推进精简产品体系、优化库存结构，稳步盘活存量闲置资产，有效改善公司经营效益，提升整体盈利空间。</w:t>
            </w:r>
          </w:p>
          <w:p w14:paraId="1913F13C" w14:textId="77777777" w:rsidR="00FC1354" w:rsidRDefault="00FC1354" w:rsidP="004C1E47">
            <w:pPr>
              <w:pStyle w:val="a7"/>
              <w:spacing w:before="0" w:beforeAutospacing="0" w:after="0" w:afterAutospacing="0" w:line="420" w:lineRule="exact"/>
              <w:rPr>
                <w:rFonts w:hint="eastAsia"/>
                <w:b/>
              </w:rPr>
            </w:pPr>
            <w:r>
              <w:rPr>
                <w:b/>
              </w:rPr>
              <w:t>4、</w:t>
            </w:r>
            <w:r w:rsidRPr="000254D2">
              <w:rPr>
                <w:b/>
              </w:rPr>
              <w:t>公司</w:t>
            </w:r>
            <w:r>
              <w:rPr>
                <w:rFonts w:hint="eastAsia"/>
                <w:b/>
              </w:rPr>
              <w:t>应对风险的主要举措</w:t>
            </w:r>
          </w:p>
          <w:p w14:paraId="2D1A5461" w14:textId="77777777" w:rsidR="00FC1354" w:rsidRDefault="00FC1354" w:rsidP="004C1E47">
            <w:pPr>
              <w:pStyle w:val="a7"/>
              <w:spacing w:before="0" w:beforeAutospacing="0" w:after="0" w:afterAutospacing="0" w:line="420" w:lineRule="exact"/>
              <w:rPr>
                <w:rFonts w:hint="eastAsia"/>
              </w:rPr>
            </w:pPr>
            <w:r w:rsidRPr="000254D2">
              <w:rPr>
                <w:rFonts w:hint="eastAsia"/>
              </w:rPr>
              <w:t>答：</w:t>
            </w:r>
            <w:r>
              <w:rPr>
                <w:rFonts w:hint="eastAsia"/>
              </w:rPr>
              <w:t>公司坚持底线思维，持续健全风险防控与内控管理体系，夯实企业合规经营发展根基。合规治理方面，严格恪守上市公司信息披露管理相关规定，完善信息披露审核、复核及预警机制，规范业绩预判管理，保障信息披露真实、准确、完整、及时。内控管理方面，持续优化内部控制体系，聚焦销售、采购、资金、存货等核心经营环节查漏补缺，完善应收账款、存货常态化管理机制，持续提升内控管理规范化水平。经营风控方面，强化现金流精细化统筹管理，科学调度经营资金，保障企业资金链安全稳定；常态化开展安全生产、品质管控隐患排查整治，严守生产经营安全底线。</w:t>
            </w:r>
          </w:p>
          <w:p w14:paraId="6623CEF3" w14:textId="77777777" w:rsidR="00FC1354" w:rsidRDefault="00FC1354" w:rsidP="00C13B26">
            <w:pPr>
              <w:pStyle w:val="a7"/>
              <w:spacing w:before="0" w:beforeAutospacing="0" w:after="0" w:afterAutospacing="0" w:line="480" w:lineRule="exact"/>
              <w:rPr>
                <w:rFonts w:hint="eastAsia"/>
                <w:b/>
              </w:rPr>
            </w:pPr>
            <w:r>
              <w:rPr>
                <w:b/>
              </w:rPr>
              <w:t>5、</w:t>
            </w:r>
            <w:r w:rsidRPr="000254D2">
              <w:rPr>
                <w:b/>
              </w:rPr>
              <w:t>公司</w:t>
            </w:r>
            <w:r>
              <w:rPr>
                <w:rFonts w:hint="eastAsia"/>
                <w:b/>
              </w:rPr>
              <w:t>深化营销体系改革的主要策略</w:t>
            </w:r>
          </w:p>
          <w:p w14:paraId="06C72596" w14:textId="77777777" w:rsidR="00FC1354" w:rsidRDefault="00FC1354" w:rsidP="00D70A2B">
            <w:pPr>
              <w:pStyle w:val="a7"/>
              <w:spacing w:before="0" w:beforeAutospacing="0" w:after="0" w:afterAutospacing="0" w:line="460" w:lineRule="exact"/>
              <w:rPr>
                <w:rFonts w:hint="eastAsia"/>
              </w:rPr>
            </w:pPr>
            <w:r w:rsidRPr="000254D2">
              <w:rPr>
                <w:rFonts w:hint="eastAsia"/>
              </w:rPr>
              <w:lastRenderedPageBreak/>
              <w:t>答：</w:t>
            </w:r>
            <w:r>
              <w:rPr>
                <w:rFonts w:hint="eastAsia"/>
              </w:rPr>
              <w:t>公司持续深化营销体系改革，聚焦“大客户、大区域、大单品”发展策略，持续优化市场布局与渠道结构，全面激活企业经营发展动能。渠道端持续夯实线下经销网络，加快优质经销商拓展培育，完善区域市场布局，补全终端销售覆盖，重点区域市场营收实现稳步增长。团购政企渠道多点突破，持续深化优质客户合作，筑牢合作根基、提升客户黏性。同时，积极布局线上营销赛道，联动头部电商平台强化品牌传播，打造核心爆款产品，搭建数字化分销及私域营销体系，创新全员营销模式，实现线上渠道规模与效益同步提升，多渠道协同发展格局逐步成型。</w:t>
            </w:r>
          </w:p>
          <w:p w14:paraId="20F98EC9" w14:textId="77777777" w:rsidR="00FC1354" w:rsidRDefault="00FC1354" w:rsidP="00D70A2B">
            <w:pPr>
              <w:pStyle w:val="a7"/>
              <w:spacing w:before="0" w:beforeAutospacing="0" w:after="0" w:afterAutospacing="0" w:line="460" w:lineRule="exact"/>
              <w:rPr>
                <w:rFonts w:hint="eastAsia"/>
                <w:b/>
              </w:rPr>
            </w:pPr>
            <w:r>
              <w:rPr>
                <w:b/>
              </w:rPr>
              <w:t>6、</w:t>
            </w:r>
            <w:r w:rsidRPr="000254D2">
              <w:rPr>
                <w:b/>
              </w:rPr>
              <w:t>公司</w:t>
            </w:r>
            <w:r>
              <w:rPr>
                <w:rFonts w:hint="eastAsia"/>
                <w:b/>
              </w:rPr>
              <w:t>对葡萄酒市场的判断以及是否存在双主业发展战略</w:t>
            </w:r>
          </w:p>
          <w:p w14:paraId="2CD318B2" w14:textId="58D7E028" w:rsidR="00FC1354" w:rsidRPr="00C71625" w:rsidRDefault="00FC1354" w:rsidP="00D70A2B">
            <w:pPr>
              <w:widowControl/>
              <w:spacing w:line="460" w:lineRule="exact"/>
              <w:jc w:val="left"/>
              <w:rPr>
                <w:rFonts w:ascii="宋体" w:hAnsi="宋体" w:cs="宋体" w:hint="eastAsia"/>
                <w:kern w:val="0"/>
                <w:sz w:val="24"/>
              </w:rPr>
            </w:pPr>
            <w:r w:rsidRPr="007C1439">
              <w:rPr>
                <w:rFonts w:ascii="宋体" w:hAnsi="宋体" w:cs="宋体" w:hint="eastAsia"/>
                <w:kern w:val="0"/>
                <w:sz w:val="24"/>
              </w:rPr>
              <w:t>答：</w:t>
            </w:r>
            <w:r>
              <w:rPr>
                <w:rFonts w:ascii="宋体" w:hAnsi="宋体" w:cs="宋体" w:hint="eastAsia"/>
                <w:kern w:val="0"/>
                <w:sz w:val="24"/>
              </w:rPr>
              <w:t>关于行业。</w:t>
            </w:r>
            <w:r w:rsidRPr="00244B99">
              <w:rPr>
                <w:rFonts w:ascii="宋体" w:hAnsi="宋体" w:cs="宋体" w:hint="eastAsia"/>
                <w:kern w:val="0"/>
                <w:sz w:val="24"/>
              </w:rPr>
              <w:t>根据国家统计局数据，国产葡萄酒规模以上企业产量持持续萎缩状态，</w:t>
            </w:r>
            <w:r w:rsidRPr="00244B99">
              <w:rPr>
                <w:rFonts w:ascii="宋体" w:hAnsi="宋体" w:cs="宋体"/>
                <w:kern w:val="0"/>
                <w:sz w:val="24"/>
              </w:rPr>
              <w:t>2023 年葡萄酒产量14.3 万千升，同比下降33.2%，2024 年葡萄酒产量11.7 万千升，同比下降18.2%，2025 年葡萄酒产量9.7 万千升，同比下降17.1%。根据行业相关统计数据，对比历史高点 2015 年 114.8 万千升，2025 年产量只剩峰值不到 10%，大量中小工厂退出，规上企业数量持续减少，由2017 年 244 家 减少至 2023 年 104 家。</w:t>
            </w:r>
            <w:r w:rsidR="006F776C" w:rsidRPr="006F776C">
              <w:rPr>
                <w:rFonts w:ascii="宋体" w:hAnsi="宋体" w:cs="宋体"/>
                <w:kern w:val="0"/>
                <w:sz w:val="24"/>
              </w:rPr>
              <w:t>关于发展战略。公司当前将继续聚焦葡萄酒主营业务，扎实推进生产经营、品牌建设和市场拓展各项工作，努力提升经营质量和可持续发展能力。公司始终从有利于企业长远发展和全体股东利益的角度出发，审慎研究和论证各项发展规划；如未来涉及重大战略调整或重大投资事项，公司将严格按照信息披露有关规定，及时履行决策程序和信息披露义务。 截至目前，公司不存在应披露而未披露的重大事项。</w:t>
            </w:r>
          </w:p>
        </w:tc>
      </w:tr>
      <w:tr w:rsidR="00FC1354" w14:paraId="773E91E7" w14:textId="77777777" w:rsidTr="00D70A2B">
        <w:trPr>
          <w:trHeight w:val="692"/>
        </w:trPr>
        <w:tc>
          <w:tcPr>
            <w:tcW w:w="1696" w:type="dxa"/>
            <w:tcBorders>
              <w:top w:val="single" w:sz="4" w:space="0" w:color="auto"/>
              <w:left w:val="single" w:sz="4" w:space="0" w:color="auto"/>
              <w:bottom w:val="single" w:sz="4" w:space="0" w:color="auto"/>
              <w:right w:val="single" w:sz="4" w:space="0" w:color="auto"/>
            </w:tcBorders>
            <w:vAlign w:val="center"/>
          </w:tcPr>
          <w:p w14:paraId="44B99BDE" w14:textId="77777777" w:rsidR="00FC1354" w:rsidRDefault="00FC1354" w:rsidP="00FC1354">
            <w:pPr>
              <w:spacing w:line="420" w:lineRule="exact"/>
              <w:rPr>
                <w:bCs/>
                <w:iCs/>
                <w:color w:val="000000"/>
                <w:kern w:val="0"/>
                <w:sz w:val="24"/>
              </w:rPr>
            </w:pPr>
            <w:r>
              <w:rPr>
                <w:rFonts w:hAnsi="宋体"/>
                <w:bCs/>
                <w:iCs/>
                <w:color w:val="000000"/>
                <w:kern w:val="0"/>
                <w:sz w:val="24"/>
              </w:rPr>
              <w:lastRenderedPageBreak/>
              <w:t>附件清单（如有）</w:t>
            </w:r>
          </w:p>
        </w:tc>
        <w:tc>
          <w:tcPr>
            <w:tcW w:w="7059" w:type="dxa"/>
            <w:tcBorders>
              <w:top w:val="single" w:sz="4" w:space="0" w:color="auto"/>
              <w:left w:val="single" w:sz="4" w:space="0" w:color="auto"/>
              <w:bottom w:val="single" w:sz="4" w:space="0" w:color="auto"/>
              <w:right w:val="single" w:sz="4" w:space="0" w:color="auto"/>
            </w:tcBorders>
            <w:vAlign w:val="center"/>
          </w:tcPr>
          <w:p w14:paraId="1F9D792E" w14:textId="6BCE1D35" w:rsidR="00FC1354" w:rsidRDefault="00FC1354" w:rsidP="00FC1354">
            <w:pPr>
              <w:spacing w:line="420" w:lineRule="exact"/>
              <w:rPr>
                <w:bCs/>
                <w:iCs/>
                <w:color w:val="000000"/>
                <w:sz w:val="24"/>
              </w:rPr>
            </w:pPr>
            <w:r>
              <w:rPr>
                <w:rFonts w:ascii="宋体" w:hAnsi="宋体" w:cs="宋体" w:hint="eastAsia"/>
                <w:kern w:val="0"/>
                <w:sz w:val="24"/>
              </w:rPr>
              <w:t>无</w:t>
            </w:r>
          </w:p>
        </w:tc>
      </w:tr>
      <w:tr w:rsidR="00FC1354" w14:paraId="770E1A2E" w14:textId="77777777" w:rsidTr="00C71625">
        <w:tc>
          <w:tcPr>
            <w:tcW w:w="1696" w:type="dxa"/>
            <w:tcBorders>
              <w:top w:val="single" w:sz="4" w:space="0" w:color="auto"/>
              <w:left w:val="single" w:sz="4" w:space="0" w:color="auto"/>
              <w:bottom w:val="single" w:sz="4" w:space="0" w:color="auto"/>
              <w:right w:val="single" w:sz="4" w:space="0" w:color="auto"/>
            </w:tcBorders>
            <w:vAlign w:val="center"/>
          </w:tcPr>
          <w:p w14:paraId="367053F6" w14:textId="77777777" w:rsidR="00FC1354" w:rsidRDefault="00FC1354" w:rsidP="00FC1354">
            <w:pPr>
              <w:spacing w:line="420" w:lineRule="exact"/>
              <w:rPr>
                <w:bCs/>
                <w:iCs/>
                <w:color w:val="000000"/>
                <w:kern w:val="0"/>
                <w:sz w:val="24"/>
              </w:rPr>
            </w:pPr>
            <w:r>
              <w:rPr>
                <w:rFonts w:hAnsi="宋体"/>
                <w:bCs/>
                <w:iCs/>
                <w:color w:val="000000"/>
                <w:kern w:val="0"/>
                <w:sz w:val="24"/>
              </w:rPr>
              <w:t>日期</w:t>
            </w:r>
          </w:p>
        </w:tc>
        <w:tc>
          <w:tcPr>
            <w:tcW w:w="7059" w:type="dxa"/>
            <w:tcBorders>
              <w:top w:val="single" w:sz="4" w:space="0" w:color="auto"/>
              <w:left w:val="single" w:sz="4" w:space="0" w:color="auto"/>
              <w:bottom w:val="single" w:sz="4" w:space="0" w:color="auto"/>
              <w:right w:val="single" w:sz="4" w:space="0" w:color="auto"/>
            </w:tcBorders>
            <w:vAlign w:val="center"/>
          </w:tcPr>
          <w:p w14:paraId="0E51E6C0" w14:textId="5D436AA5" w:rsidR="00FC1354" w:rsidRDefault="00FC1354" w:rsidP="00FC1354">
            <w:pPr>
              <w:spacing w:line="420" w:lineRule="exact"/>
              <w:rPr>
                <w:bCs/>
                <w:iCs/>
                <w:color w:val="000000"/>
                <w:sz w:val="24"/>
              </w:rPr>
            </w:pPr>
            <w:r>
              <w:rPr>
                <w:rFonts w:ascii="宋体" w:hAnsi="宋体" w:cs="宋体"/>
                <w:kern w:val="0"/>
                <w:sz w:val="24"/>
              </w:rPr>
              <w:t>2026年8月27日</w:t>
            </w:r>
          </w:p>
        </w:tc>
      </w:tr>
    </w:tbl>
    <w:p w14:paraId="730F4D05" w14:textId="77777777" w:rsidR="008068B9" w:rsidRDefault="008068B9" w:rsidP="00D70A2B"/>
    <w:sectPr w:rsidR="008068B9">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454C" w14:textId="77777777" w:rsidR="006D6B69" w:rsidRDefault="006D6B69">
      <w:r>
        <w:separator/>
      </w:r>
    </w:p>
  </w:endnote>
  <w:endnote w:type="continuationSeparator" w:id="0">
    <w:p w14:paraId="4532E2EF" w14:textId="77777777" w:rsidR="006D6B69" w:rsidRDefault="006D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7AA0" w14:textId="12703C16" w:rsidR="008068B9" w:rsidRDefault="008068B9" w:rsidP="00CF7368">
    <w:pPr>
      <w:pStyle w:val="a3"/>
      <w:ind w:right="18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55C1" w14:textId="77777777" w:rsidR="006D6B69" w:rsidRDefault="006D6B69">
      <w:r>
        <w:separator/>
      </w:r>
    </w:p>
  </w:footnote>
  <w:footnote w:type="continuationSeparator" w:id="0">
    <w:p w14:paraId="13A0977C" w14:textId="77777777" w:rsidR="006D6B69" w:rsidRDefault="006D6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DC48" w14:textId="6F2A1FB4" w:rsidR="008068B9" w:rsidRDefault="008068B9">
    <w:pPr>
      <w:pStyle w:val="a5"/>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C7"/>
    <w:rsid w:val="000268C0"/>
    <w:rsid w:val="000363B5"/>
    <w:rsid w:val="000375D7"/>
    <w:rsid w:val="00043015"/>
    <w:rsid w:val="00046DDE"/>
    <w:rsid w:val="00047EB9"/>
    <w:rsid w:val="00060A74"/>
    <w:rsid w:val="00067110"/>
    <w:rsid w:val="0009298A"/>
    <w:rsid w:val="000A2808"/>
    <w:rsid w:val="000A3BAC"/>
    <w:rsid w:val="000C26FD"/>
    <w:rsid w:val="000C2D85"/>
    <w:rsid w:val="000E5700"/>
    <w:rsid w:val="000F0C4B"/>
    <w:rsid w:val="000F0E22"/>
    <w:rsid w:val="00105A04"/>
    <w:rsid w:val="001169A9"/>
    <w:rsid w:val="00125EB2"/>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1F7B6C"/>
    <w:rsid w:val="0022180A"/>
    <w:rsid w:val="00223ABC"/>
    <w:rsid w:val="002241B9"/>
    <w:rsid w:val="002274D9"/>
    <w:rsid w:val="00230252"/>
    <w:rsid w:val="0023455A"/>
    <w:rsid w:val="00237994"/>
    <w:rsid w:val="00251D58"/>
    <w:rsid w:val="002530EE"/>
    <w:rsid w:val="002549E6"/>
    <w:rsid w:val="00256602"/>
    <w:rsid w:val="00271C8D"/>
    <w:rsid w:val="00273B53"/>
    <w:rsid w:val="0028080C"/>
    <w:rsid w:val="00285202"/>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46D43"/>
    <w:rsid w:val="00354A7B"/>
    <w:rsid w:val="00360FDA"/>
    <w:rsid w:val="00363075"/>
    <w:rsid w:val="00366FF8"/>
    <w:rsid w:val="00367D18"/>
    <w:rsid w:val="00372A1C"/>
    <w:rsid w:val="0037435A"/>
    <w:rsid w:val="00377D8F"/>
    <w:rsid w:val="00383679"/>
    <w:rsid w:val="003A1E68"/>
    <w:rsid w:val="003B0122"/>
    <w:rsid w:val="003B0BE5"/>
    <w:rsid w:val="003B3B5F"/>
    <w:rsid w:val="003D18F1"/>
    <w:rsid w:val="003E001E"/>
    <w:rsid w:val="003F11CB"/>
    <w:rsid w:val="003F7C4D"/>
    <w:rsid w:val="0040075F"/>
    <w:rsid w:val="00403300"/>
    <w:rsid w:val="004064E5"/>
    <w:rsid w:val="004118C0"/>
    <w:rsid w:val="00417A31"/>
    <w:rsid w:val="0042004B"/>
    <w:rsid w:val="00432134"/>
    <w:rsid w:val="00433384"/>
    <w:rsid w:val="0043777D"/>
    <w:rsid w:val="0045767F"/>
    <w:rsid w:val="00463E9B"/>
    <w:rsid w:val="00467414"/>
    <w:rsid w:val="00473F30"/>
    <w:rsid w:val="0048591A"/>
    <w:rsid w:val="00486D86"/>
    <w:rsid w:val="0048721A"/>
    <w:rsid w:val="004A0BD5"/>
    <w:rsid w:val="004A1BBF"/>
    <w:rsid w:val="004A73E5"/>
    <w:rsid w:val="004C19BF"/>
    <w:rsid w:val="004C1E47"/>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26F"/>
    <w:rsid w:val="00632E78"/>
    <w:rsid w:val="006344F1"/>
    <w:rsid w:val="00637186"/>
    <w:rsid w:val="00646DF4"/>
    <w:rsid w:val="00651DE6"/>
    <w:rsid w:val="006523BB"/>
    <w:rsid w:val="0065347E"/>
    <w:rsid w:val="00654B49"/>
    <w:rsid w:val="00662505"/>
    <w:rsid w:val="0066674C"/>
    <w:rsid w:val="006670B2"/>
    <w:rsid w:val="006760F7"/>
    <w:rsid w:val="00681840"/>
    <w:rsid w:val="006839BA"/>
    <w:rsid w:val="006861C7"/>
    <w:rsid w:val="00686DDF"/>
    <w:rsid w:val="00697B12"/>
    <w:rsid w:val="006A18F6"/>
    <w:rsid w:val="006A55BB"/>
    <w:rsid w:val="006A7613"/>
    <w:rsid w:val="006B661A"/>
    <w:rsid w:val="006B7D00"/>
    <w:rsid w:val="006C6BC5"/>
    <w:rsid w:val="006D61A2"/>
    <w:rsid w:val="006D6B69"/>
    <w:rsid w:val="006E1DB4"/>
    <w:rsid w:val="006F776C"/>
    <w:rsid w:val="00753DB6"/>
    <w:rsid w:val="00763847"/>
    <w:rsid w:val="00771FE3"/>
    <w:rsid w:val="00776BDE"/>
    <w:rsid w:val="00786870"/>
    <w:rsid w:val="00792237"/>
    <w:rsid w:val="0079272A"/>
    <w:rsid w:val="007A1DA9"/>
    <w:rsid w:val="007B2252"/>
    <w:rsid w:val="007B79D9"/>
    <w:rsid w:val="007C67B1"/>
    <w:rsid w:val="007E354A"/>
    <w:rsid w:val="007E69C8"/>
    <w:rsid w:val="0080525B"/>
    <w:rsid w:val="008062C5"/>
    <w:rsid w:val="008068B9"/>
    <w:rsid w:val="0080741A"/>
    <w:rsid w:val="00814B5B"/>
    <w:rsid w:val="00836F34"/>
    <w:rsid w:val="00843E73"/>
    <w:rsid w:val="00844EBF"/>
    <w:rsid w:val="00854F61"/>
    <w:rsid w:val="00864202"/>
    <w:rsid w:val="008728F9"/>
    <w:rsid w:val="00873B59"/>
    <w:rsid w:val="0087701F"/>
    <w:rsid w:val="0089283D"/>
    <w:rsid w:val="008A0ADC"/>
    <w:rsid w:val="008A1BAB"/>
    <w:rsid w:val="008B38B7"/>
    <w:rsid w:val="008B458E"/>
    <w:rsid w:val="008C4D4A"/>
    <w:rsid w:val="008E11AE"/>
    <w:rsid w:val="008E1708"/>
    <w:rsid w:val="008E4844"/>
    <w:rsid w:val="00904492"/>
    <w:rsid w:val="00904DFB"/>
    <w:rsid w:val="0091457B"/>
    <w:rsid w:val="00923763"/>
    <w:rsid w:val="00930ED6"/>
    <w:rsid w:val="0093293F"/>
    <w:rsid w:val="00933105"/>
    <w:rsid w:val="009474EF"/>
    <w:rsid w:val="00962626"/>
    <w:rsid w:val="009767DD"/>
    <w:rsid w:val="00977AF2"/>
    <w:rsid w:val="00985FC5"/>
    <w:rsid w:val="00993BDD"/>
    <w:rsid w:val="009A6DFB"/>
    <w:rsid w:val="009B6EC0"/>
    <w:rsid w:val="009C7FAF"/>
    <w:rsid w:val="009D4199"/>
    <w:rsid w:val="009E16F8"/>
    <w:rsid w:val="009E5E6A"/>
    <w:rsid w:val="009F0DD5"/>
    <w:rsid w:val="009F1B95"/>
    <w:rsid w:val="009F287D"/>
    <w:rsid w:val="009F6C05"/>
    <w:rsid w:val="00A04DCD"/>
    <w:rsid w:val="00A13CB6"/>
    <w:rsid w:val="00A14A1A"/>
    <w:rsid w:val="00A22CDD"/>
    <w:rsid w:val="00A25AEE"/>
    <w:rsid w:val="00A31EB1"/>
    <w:rsid w:val="00A33AEA"/>
    <w:rsid w:val="00A461CD"/>
    <w:rsid w:val="00A469C5"/>
    <w:rsid w:val="00A5317D"/>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13B26"/>
    <w:rsid w:val="00C15AC0"/>
    <w:rsid w:val="00C26030"/>
    <w:rsid w:val="00C41091"/>
    <w:rsid w:val="00C63056"/>
    <w:rsid w:val="00C661D1"/>
    <w:rsid w:val="00C71625"/>
    <w:rsid w:val="00C775BA"/>
    <w:rsid w:val="00C85331"/>
    <w:rsid w:val="00C85A50"/>
    <w:rsid w:val="00C94D46"/>
    <w:rsid w:val="00CA443A"/>
    <w:rsid w:val="00CB2461"/>
    <w:rsid w:val="00CB37FD"/>
    <w:rsid w:val="00CC4D65"/>
    <w:rsid w:val="00CC61E7"/>
    <w:rsid w:val="00CD25AD"/>
    <w:rsid w:val="00CD3FFC"/>
    <w:rsid w:val="00CF565C"/>
    <w:rsid w:val="00CF7368"/>
    <w:rsid w:val="00D016A3"/>
    <w:rsid w:val="00D512E3"/>
    <w:rsid w:val="00D53805"/>
    <w:rsid w:val="00D602C9"/>
    <w:rsid w:val="00D70A2B"/>
    <w:rsid w:val="00DA26A9"/>
    <w:rsid w:val="00DB01FF"/>
    <w:rsid w:val="00DC7778"/>
    <w:rsid w:val="00DE7391"/>
    <w:rsid w:val="00DF2DB5"/>
    <w:rsid w:val="00DF6560"/>
    <w:rsid w:val="00E04CC0"/>
    <w:rsid w:val="00E136FF"/>
    <w:rsid w:val="00E13EFF"/>
    <w:rsid w:val="00E17820"/>
    <w:rsid w:val="00E32528"/>
    <w:rsid w:val="00E35F26"/>
    <w:rsid w:val="00E53165"/>
    <w:rsid w:val="00E61EF7"/>
    <w:rsid w:val="00E663B4"/>
    <w:rsid w:val="00E80CEB"/>
    <w:rsid w:val="00EA5103"/>
    <w:rsid w:val="00EA6FB9"/>
    <w:rsid w:val="00EB5E6A"/>
    <w:rsid w:val="00EC2AD7"/>
    <w:rsid w:val="00ED7DE0"/>
    <w:rsid w:val="00EE7891"/>
    <w:rsid w:val="00EF49FE"/>
    <w:rsid w:val="00EF5341"/>
    <w:rsid w:val="00F04908"/>
    <w:rsid w:val="00F07C21"/>
    <w:rsid w:val="00F12EF6"/>
    <w:rsid w:val="00F21065"/>
    <w:rsid w:val="00F24CB4"/>
    <w:rsid w:val="00F43465"/>
    <w:rsid w:val="00F45074"/>
    <w:rsid w:val="00F45475"/>
    <w:rsid w:val="00F64E72"/>
    <w:rsid w:val="00F70C7D"/>
    <w:rsid w:val="00F9272E"/>
    <w:rsid w:val="00F961AF"/>
    <w:rsid w:val="00F97743"/>
    <w:rsid w:val="00FA6A52"/>
    <w:rsid w:val="00FA6DAF"/>
    <w:rsid w:val="00FC1354"/>
    <w:rsid w:val="00FC6884"/>
    <w:rsid w:val="00FE62F3"/>
    <w:rsid w:val="00FF71D2"/>
    <w:rsid w:val="1B2418A5"/>
    <w:rsid w:val="1FBFC074"/>
    <w:rsid w:val="36FB9E1F"/>
    <w:rsid w:val="3BFA3B96"/>
    <w:rsid w:val="3CEF3472"/>
    <w:rsid w:val="3EFF16E9"/>
    <w:rsid w:val="77CF73AC"/>
    <w:rsid w:val="78FF0116"/>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EADC7"/>
  <w15:docId w15:val="{81B768CA-26D1-4616-8A41-5A3E3A62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0">
    <w:name w:val="Char Char Char"/>
    <w:basedOn w:val="a"/>
    <w:qFormat/>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 w:type="paragraph" w:styleId="a7">
    <w:name w:val="Normal (Web)"/>
    <w:basedOn w:val="a"/>
    <w:uiPriority w:val="99"/>
    <w:unhideWhenUsed/>
    <w:rsid w:val="00FC1354"/>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1116</Words>
  <Characters>1162</Characters>
  <Application>Microsoft Office Word</Application>
  <DocSecurity>0</DocSecurity>
  <Lines>58</Lines>
  <Paragraphs>36</Paragraphs>
  <ScaleCrop>false</ScaleCrop>
  <Company>微软中国</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HUAWEI</cp:lastModifiedBy>
  <cp:revision>22</cp:revision>
  <cp:lastPrinted>2014-02-21T05:34:00Z</cp:lastPrinted>
  <dcterms:created xsi:type="dcterms:W3CDTF">2025-05-23T12:28:00Z</dcterms:created>
  <dcterms:modified xsi:type="dcterms:W3CDTF">2026-08-27T08:04:00Z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