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58230">
      <w:pPr>
        <w:pStyle w:val="2"/>
        <w:jc w:val="center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证券代码：</w:t>
      </w:r>
      <w:r>
        <w:rPr>
          <w:rFonts w:hint="eastAsia" w:ascii="Times New Roman" w:hAnsi="Times New Roman" w:eastAsia="宋体" w:cs="宋体"/>
          <w:sz w:val="24"/>
          <w:szCs w:val="24"/>
          <w:lang w:val="en-US"/>
        </w:rPr>
        <w:t xml:space="preserve">603909                                  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证券简称：建发合诚</w:t>
      </w:r>
    </w:p>
    <w:p w14:paraId="03958231">
      <w:pPr>
        <w:spacing w:line="60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</w:p>
    <w:p w14:paraId="03958232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/>
        </w:rPr>
        <w:t>建发合诚工程咨询股份有限公司</w:t>
      </w:r>
    </w:p>
    <w:p w14:paraId="03958233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/>
        </w:rPr>
        <w:t>投资者关系活动记录</w:t>
      </w:r>
    </w:p>
    <w:p w14:paraId="50F897F7">
      <w:pPr>
        <w:jc w:val="right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/>
        </w:rPr>
        <w:t xml:space="preserve">                                                      </w:t>
      </w:r>
      <w:r>
        <w:rPr>
          <w:rFonts w:ascii="Times New Roman" w:hAnsi="Times New Roman" w:eastAsia="宋体" w:cs="Times New Roman"/>
          <w:sz w:val="24"/>
          <w:szCs w:val="24"/>
          <w:lang w:val="en-US"/>
        </w:rPr>
        <w:t>编号：2026-00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</w:p>
    <w:tbl>
      <w:tblPr>
        <w:tblStyle w:val="9"/>
        <w:tblW w:w="9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0" w:type="dxa"/>
        </w:tblCellMar>
      </w:tblPr>
      <w:tblGrid>
        <w:gridCol w:w="2727"/>
        <w:gridCol w:w="6624"/>
      </w:tblGrid>
      <w:tr w14:paraId="039582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727" w:type="dxa"/>
            <w:vAlign w:val="center"/>
          </w:tcPr>
          <w:p w14:paraId="03958234">
            <w:pPr>
              <w:pStyle w:val="12"/>
              <w:jc w:val="center"/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  <w:t>投资者关系活动类别</w:t>
            </w:r>
          </w:p>
        </w:tc>
        <w:tc>
          <w:tcPr>
            <w:tcW w:w="6624" w:type="dxa"/>
          </w:tcPr>
          <w:p w14:paraId="03958235">
            <w:pPr>
              <w:pStyle w:val="12"/>
              <w:tabs>
                <w:tab w:val="left" w:pos="2418"/>
              </w:tabs>
              <w:spacing w:before="1"/>
              <w:ind w:left="107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sdt>
              <w:sdtPr>
                <w:rPr>
                  <w:rFonts w:hint="eastAsia" w:ascii="Times New Roman" w:hAnsi="Times New Roman" w:eastAsia="宋体" w:cs="宋体"/>
                  <w:sz w:val="24"/>
                  <w:szCs w:val="24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Times New Roman" w:hAnsi="Times New Roman" w:eastAsia="宋体" w:cs="宋体"/>
                  <w:sz w:val="24"/>
                  <w:szCs w:val="24"/>
                </w:rPr>
              </w:sdtEndPr>
              <w:sdtContent>
                <w:r>
                  <w:rPr>
                    <w:rFonts w:hint="eastAsia" w:ascii="Times New Roman" w:hAnsi="Times New Roman" w:eastAsia="宋体" w:cs="宋体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特</w:t>
            </w:r>
            <w:r>
              <w:rPr>
                <w:rFonts w:hint="eastAsia" w:ascii="Times New Roman" w:hAnsi="Times New Roman" w:eastAsia="宋体" w:cs="宋体"/>
                <w:spacing w:val="-3"/>
                <w:sz w:val="24"/>
                <w:szCs w:val="24"/>
              </w:rPr>
              <w:t>定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对</w:t>
            </w:r>
            <w:r>
              <w:rPr>
                <w:rFonts w:hint="eastAsia" w:ascii="Times New Roman" w:hAnsi="Times New Roman" w:eastAsia="宋体" w:cs="宋体"/>
                <w:spacing w:val="-3"/>
                <w:sz w:val="24"/>
                <w:szCs w:val="24"/>
              </w:rPr>
              <w:t>象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调研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ab/>
            </w:r>
            <w:sdt>
              <w:sdtPr>
                <w:rPr>
                  <w:rFonts w:hint="eastAsia" w:ascii="Times New Roman" w:hAnsi="Times New Roman" w:eastAsia="宋体" w:cs="宋体"/>
                  <w:sz w:val="24"/>
                  <w:szCs w:val="24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Times New Roman" w:hAnsi="Times New Roman" w:eastAsia="宋体" w:cs="宋体"/>
                  <w:sz w:val="24"/>
                  <w:szCs w:val="24"/>
                </w:rPr>
              </w:sdtEndPr>
              <w:sdtContent>
                <w:r>
                  <w:rPr>
                    <w:rFonts w:hint="eastAsia" w:ascii="Times New Roman" w:hAnsi="Times New Roman" w:eastAsia="宋体" w:cs="宋体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分</w:t>
            </w:r>
            <w:r>
              <w:rPr>
                <w:rFonts w:hint="eastAsia" w:ascii="Times New Roman" w:hAnsi="Times New Roman" w:eastAsia="宋体" w:cs="宋体"/>
                <w:spacing w:val="-3"/>
                <w:sz w:val="24"/>
                <w:szCs w:val="24"/>
              </w:rPr>
              <w:t>析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师</w:t>
            </w:r>
            <w:r>
              <w:rPr>
                <w:rFonts w:hint="eastAsia" w:ascii="Times New Roman" w:hAnsi="Times New Roman" w:eastAsia="宋体" w:cs="宋体"/>
                <w:spacing w:val="-3"/>
                <w:sz w:val="24"/>
                <w:szCs w:val="24"/>
              </w:rPr>
              <w:t>会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议</w:t>
            </w:r>
          </w:p>
          <w:p w14:paraId="03958236">
            <w:pPr>
              <w:pStyle w:val="12"/>
              <w:tabs>
                <w:tab w:val="left" w:pos="2418"/>
              </w:tabs>
              <w:ind w:left="107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sdt>
              <w:sdtPr>
                <w:rPr>
                  <w:rFonts w:hint="eastAsia" w:ascii="Times New Roman" w:hAnsi="Times New Roman" w:eastAsia="宋体" w:cs="宋体"/>
                  <w:sz w:val="24"/>
                  <w:szCs w:val="24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Times New Roman" w:hAnsi="Times New Roman" w:eastAsia="宋体" w:cs="宋体"/>
                  <w:sz w:val="24"/>
                  <w:szCs w:val="24"/>
                </w:rPr>
              </w:sdtEndPr>
              <w:sdtContent>
                <w:r>
                  <w:rPr>
                    <w:rFonts w:hint="eastAsia" w:ascii="Times New Roman" w:hAnsi="Times New Roman" w:eastAsia="宋体" w:cs="宋体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媒</w:t>
            </w:r>
            <w:r>
              <w:rPr>
                <w:rFonts w:hint="eastAsia" w:ascii="Times New Roman" w:hAnsi="Times New Roman" w:eastAsia="宋体" w:cs="宋体"/>
                <w:spacing w:val="-3"/>
                <w:sz w:val="24"/>
                <w:szCs w:val="24"/>
              </w:rPr>
              <w:t>体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采访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ab/>
            </w:r>
            <w:sdt>
              <w:sdtPr>
                <w:rPr>
                  <w:rFonts w:hint="eastAsia" w:ascii="Times New Roman" w:hAnsi="Times New Roman" w:eastAsia="宋体" w:cs="宋体"/>
                  <w:sz w:val="24"/>
                  <w:szCs w:val="24"/>
                </w:rPr>
                <w:id w:val="-6665890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Times New Roman" w:hAnsi="Times New Roman" w:eastAsia="宋体" w:cs="宋体"/>
                  <w:sz w:val="24"/>
                  <w:szCs w:val="24"/>
                </w:rPr>
              </w:sdtEndPr>
              <w:sdtContent>
                <w:r>
                  <w:rPr>
                    <w:rFonts w:hint="eastAsia" w:ascii="Wingdings 2" w:hAnsi="Wingdings 2" w:eastAsia="宋体" w:cs="宋体"/>
                    <w:sz w:val="24"/>
                    <w:szCs w:val="24"/>
                    <w:lang w:val="zh-CN" w:eastAsia="zh-CN" w:bidi="zh-CN"/>
                  </w:rPr>
                  <w:t>R</w:t>
                </w:r>
              </w:sdtContent>
            </w:sdt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业</w:t>
            </w:r>
            <w:r>
              <w:rPr>
                <w:rFonts w:hint="eastAsia" w:ascii="Times New Roman" w:hAnsi="Times New Roman" w:eastAsia="宋体" w:cs="宋体"/>
                <w:spacing w:val="-3"/>
                <w:sz w:val="24"/>
                <w:szCs w:val="24"/>
              </w:rPr>
              <w:t>绩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说</w:t>
            </w:r>
            <w:r>
              <w:rPr>
                <w:rFonts w:hint="eastAsia" w:ascii="Times New Roman" w:hAnsi="Times New Roman" w:eastAsia="宋体" w:cs="宋体"/>
                <w:spacing w:val="-3"/>
                <w:sz w:val="24"/>
                <w:szCs w:val="24"/>
              </w:rPr>
              <w:t>明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会</w:t>
            </w:r>
          </w:p>
          <w:p w14:paraId="03958237">
            <w:pPr>
              <w:pStyle w:val="12"/>
              <w:tabs>
                <w:tab w:val="left" w:pos="2418"/>
              </w:tabs>
              <w:ind w:left="107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sdt>
              <w:sdtPr>
                <w:rPr>
                  <w:rFonts w:hint="eastAsia" w:ascii="Times New Roman" w:hAnsi="Times New Roman" w:eastAsia="宋体" w:cs="宋体"/>
                  <w:sz w:val="24"/>
                  <w:szCs w:val="24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Times New Roman" w:hAnsi="Times New Roman" w:eastAsia="宋体" w:cs="宋体"/>
                  <w:sz w:val="24"/>
                  <w:szCs w:val="24"/>
                </w:rPr>
              </w:sdtEndPr>
              <w:sdtContent>
                <w:r>
                  <w:rPr>
                    <w:rFonts w:hint="eastAsia" w:ascii="Times New Roman" w:hAnsi="Times New Roman" w:eastAsia="宋体" w:cs="宋体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新</w:t>
            </w:r>
            <w:r>
              <w:rPr>
                <w:rFonts w:hint="eastAsia" w:ascii="Times New Roman" w:hAnsi="Times New Roman" w:eastAsia="宋体" w:cs="宋体"/>
                <w:spacing w:val="-3"/>
                <w:sz w:val="24"/>
                <w:szCs w:val="24"/>
              </w:rPr>
              <w:t>闻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发</w:t>
            </w:r>
            <w:r>
              <w:rPr>
                <w:rFonts w:hint="eastAsia" w:ascii="Times New Roman" w:hAnsi="Times New Roman" w:eastAsia="宋体" w:cs="宋体"/>
                <w:spacing w:val="-3"/>
                <w:sz w:val="24"/>
                <w:szCs w:val="24"/>
              </w:rPr>
              <w:t>布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会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ab/>
            </w:r>
            <w:sdt>
              <w:sdtPr>
                <w:rPr>
                  <w:rFonts w:hint="eastAsia" w:ascii="Times New Roman" w:hAnsi="Times New Roman" w:eastAsia="宋体" w:cs="宋体"/>
                  <w:sz w:val="24"/>
                  <w:szCs w:val="24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Times New Roman" w:hAnsi="Times New Roman" w:eastAsia="宋体" w:cs="宋体"/>
                  <w:sz w:val="24"/>
                  <w:szCs w:val="24"/>
                </w:rPr>
              </w:sdtEndPr>
              <w:sdtContent>
                <w:r>
                  <w:rPr>
                    <w:rFonts w:hint="eastAsia" w:ascii="Times New Roman" w:hAnsi="Times New Roman" w:eastAsia="宋体" w:cs="宋体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路</w:t>
            </w:r>
            <w:r>
              <w:rPr>
                <w:rFonts w:hint="eastAsia" w:ascii="Times New Roman" w:hAnsi="Times New Roman" w:eastAsia="宋体" w:cs="宋体"/>
                <w:spacing w:val="-3"/>
                <w:sz w:val="24"/>
                <w:szCs w:val="24"/>
              </w:rPr>
              <w:t>演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活动</w:t>
            </w:r>
          </w:p>
          <w:p w14:paraId="03958238">
            <w:pPr>
              <w:pStyle w:val="12"/>
              <w:ind w:left="107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sdt>
              <w:sdtPr>
                <w:rPr>
                  <w:rFonts w:hint="eastAsia" w:ascii="Times New Roman" w:hAnsi="Times New Roman" w:eastAsia="宋体" w:cs="宋体"/>
                  <w:sz w:val="24"/>
                  <w:szCs w:val="24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Times New Roman" w:hAnsi="Times New Roman" w:eastAsia="宋体" w:cs="宋体"/>
                  <w:sz w:val="24"/>
                  <w:szCs w:val="24"/>
                </w:rPr>
              </w:sdtEndPr>
              <w:sdtContent>
                <w:r>
                  <w:rPr>
                    <w:rFonts w:hint="eastAsia" w:ascii="Times New Roman" w:hAnsi="Times New Roman" w:eastAsia="宋体" w:cs="宋体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现场参观</w:t>
            </w:r>
          </w:p>
          <w:p w14:paraId="03958239">
            <w:pPr>
              <w:pStyle w:val="12"/>
              <w:ind w:left="107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sdt>
              <w:sdtPr>
                <w:rPr>
                  <w:rFonts w:hint="eastAsia" w:ascii="Times New Roman" w:hAnsi="Times New Roman" w:eastAsia="宋体" w:cs="宋体"/>
                  <w:sz w:val="24"/>
                  <w:szCs w:val="24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Times New Roman" w:hAnsi="Times New Roman" w:eastAsia="宋体" w:cs="宋体"/>
                  <w:sz w:val="24"/>
                  <w:szCs w:val="24"/>
                </w:rPr>
              </w:sdtEndPr>
              <w:sdtContent>
                <w:r>
                  <w:rPr>
                    <w:rFonts w:hint="eastAsia" w:ascii="Times New Roman" w:hAnsi="Times New Roman" w:eastAsia="宋体" w:cs="宋体"/>
                    <w:sz w:val="24"/>
                    <w:szCs w:val="24"/>
                    <w:lang w:val="zh-CN" w:eastAsia="zh-CN" w:bidi="zh-CN"/>
                  </w:rPr>
                  <w:t>☐</w:t>
                </w:r>
              </w:sdtContent>
            </w:sdt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其他</w:t>
            </w:r>
          </w:p>
        </w:tc>
      </w:tr>
      <w:tr w14:paraId="039582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727" w:type="dxa"/>
            <w:vAlign w:val="center"/>
          </w:tcPr>
          <w:p w14:paraId="0395823B">
            <w:pPr>
              <w:pStyle w:val="12"/>
              <w:jc w:val="center"/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  <w:t>参与单位名称及人员姓名</w:t>
            </w:r>
          </w:p>
        </w:tc>
        <w:tc>
          <w:tcPr>
            <w:tcW w:w="6624" w:type="dxa"/>
            <w:vAlign w:val="center"/>
          </w:tcPr>
          <w:p w14:paraId="0395823C">
            <w:pPr>
              <w:pStyle w:val="12"/>
              <w:spacing w:before="72" w:beforeLines="30" w:after="72" w:afterLines="30"/>
              <w:rPr>
                <w:rFonts w:hint="eastAsia" w:ascii="Times New Roman" w:hAnsi="Times New Roman" w:eastAsia="宋体" w:cs="宋体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  <w:lang w:val="en-US"/>
              </w:rPr>
              <w:t>线上参与公司202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lang w:val="en-US"/>
              </w:rPr>
              <w:t>年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半年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lang w:val="en-US"/>
              </w:rPr>
              <w:t>业绩说明会的投资者</w:t>
            </w:r>
          </w:p>
        </w:tc>
      </w:tr>
      <w:tr w14:paraId="039582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727" w:type="dxa"/>
            <w:vAlign w:val="center"/>
          </w:tcPr>
          <w:p w14:paraId="0395823E">
            <w:pPr>
              <w:pStyle w:val="12"/>
              <w:jc w:val="center"/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6624" w:type="dxa"/>
            <w:vAlign w:val="center"/>
          </w:tcPr>
          <w:p w14:paraId="0395823F">
            <w:pPr>
              <w:spacing w:before="72" w:beforeLines="30" w:after="72" w:afterLines="30"/>
              <w:rPr>
                <w:rFonts w:ascii="Times New Roman" w:hAnsi="Times New Roman" w:eastAsia="宋体" w:cs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theme="minorEastAsia"/>
                <w:sz w:val="24"/>
                <w:szCs w:val="24"/>
              </w:rPr>
              <w:t>2026年</w:t>
            </w:r>
            <w:r>
              <w:rPr>
                <w:rFonts w:hint="eastAsia" w:ascii="Times New Roman" w:hAnsi="Times New Roman" w:eastAsia="宋体" w:cstheme="minorEastAsia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theme="minorEastAsia"/>
                <w:sz w:val="24"/>
                <w:szCs w:val="24"/>
              </w:rPr>
              <w:t>月2</w:t>
            </w:r>
            <w:r>
              <w:rPr>
                <w:rFonts w:hint="eastAsia" w:ascii="Times New Roman" w:hAnsi="Times New Roman" w:eastAsia="宋体" w:cstheme="minorEastAsia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theme="minorEastAsia"/>
                <w:sz w:val="24"/>
                <w:szCs w:val="24"/>
              </w:rPr>
              <w:t>日10:00-11:00</w:t>
            </w:r>
          </w:p>
        </w:tc>
      </w:tr>
      <w:tr w14:paraId="039582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727" w:type="dxa"/>
            <w:vAlign w:val="center"/>
          </w:tcPr>
          <w:p w14:paraId="03958241">
            <w:pPr>
              <w:pStyle w:val="12"/>
              <w:jc w:val="center"/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6624" w:type="dxa"/>
            <w:vAlign w:val="center"/>
          </w:tcPr>
          <w:p w14:paraId="03958242">
            <w:pPr>
              <w:pStyle w:val="12"/>
              <w:spacing w:before="72" w:beforeLines="30" w:after="72" w:afterLines="3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z w:val="24"/>
                <w:szCs w:val="24"/>
              </w:rPr>
              <w:t>价值在线（https://www.ir-online.cn/）网络互动</w:t>
            </w:r>
          </w:p>
        </w:tc>
      </w:tr>
      <w:tr w14:paraId="039582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727" w:type="dxa"/>
            <w:vAlign w:val="center"/>
          </w:tcPr>
          <w:p w14:paraId="03958244">
            <w:pPr>
              <w:pStyle w:val="12"/>
              <w:jc w:val="center"/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  <w:t>上市公司接待人员姓名</w:t>
            </w:r>
          </w:p>
        </w:tc>
        <w:tc>
          <w:tcPr>
            <w:tcW w:w="6624" w:type="dxa"/>
            <w:vAlign w:val="center"/>
          </w:tcPr>
          <w:p w14:paraId="03958245">
            <w:pPr>
              <w:pStyle w:val="12"/>
              <w:spacing w:before="72" w:beforeLines="30" w:after="72" w:afterLines="30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val="en-US" w:eastAsia="zh-CN"/>
              </w:rPr>
              <w:t>副董事长</w:t>
            </w:r>
            <w:r>
              <w:rPr>
                <w:rFonts w:ascii="Times New Roman" w:hAnsi="Times New Roman" w:eastAsia="宋体" w:cs="宋体"/>
                <w:sz w:val="24"/>
                <w:szCs w:val="24"/>
              </w:rPr>
              <w:t>黄和宾</w:t>
            </w:r>
          </w:p>
          <w:p w14:paraId="03958246">
            <w:pPr>
              <w:pStyle w:val="12"/>
              <w:spacing w:before="72" w:beforeLines="30" w:after="72" w:afterLines="30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z w:val="24"/>
                <w:szCs w:val="24"/>
              </w:rPr>
              <w:t>独立董事林朝南</w:t>
            </w:r>
          </w:p>
          <w:p w14:paraId="5B3FAEE2">
            <w:pPr>
              <w:pStyle w:val="12"/>
              <w:spacing w:before="72" w:beforeLines="30" w:after="72" w:afterLines="30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总经理康明旭</w:t>
            </w:r>
          </w:p>
          <w:p w14:paraId="03958247">
            <w:pPr>
              <w:pStyle w:val="12"/>
              <w:spacing w:before="72" w:beforeLines="30" w:after="72" w:afterLines="30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z w:val="24"/>
                <w:szCs w:val="24"/>
              </w:rPr>
              <w:t>董事会秘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书何璇</w:t>
            </w:r>
          </w:p>
          <w:p w14:paraId="03958248">
            <w:pPr>
              <w:pStyle w:val="12"/>
              <w:spacing w:before="72" w:beforeLines="30" w:after="72" w:afterLines="30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宋体"/>
                <w:sz w:val="24"/>
                <w:szCs w:val="24"/>
              </w:rPr>
              <w:t>财务总监刘晓玲</w:t>
            </w:r>
          </w:p>
        </w:tc>
      </w:tr>
      <w:tr w14:paraId="03958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727" w:type="dxa"/>
            <w:vAlign w:val="center"/>
          </w:tcPr>
          <w:p w14:paraId="0395824A">
            <w:pPr>
              <w:pStyle w:val="12"/>
              <w:jc w:val="center"/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  <w:t>投资者关系活动</w:t>
            </w:r>
          </w:p>
          <w:p w14:paraId="0395824B">
            <w:pPr>
              <w:pStyle w:val="12"/>
              <w:jc w:val="center"/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  <w:t>主要内容介绍</w:t>
            </w:r>
          </w:p>
        </w:tc>
        <w:tc>
          <w:tcPr>
            <w:tcW w:w="6624" w:type="dxa"/>
          </w:tcPr>
          <w:p w14:paraId="2B2C838E">
            <w:pPr>
              <w:pStyle w:val="12"/>
              <w:spacing w:line="360" w:lineRule="auto"/>
              <w:ind w:firstLine="482" w:firstLineChars="20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宋体"/>
                <w:b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Times New Roman" w:hAnsi="Times New Roman" w:eastAsia="宋体" w:cs="宋体"/>
                <w:b/>
                <w:sz w:val="24"/>
                <w:szCs w:val="24"/>
              </w:rPr>
              <w:t>合诚数智云</w:t>
            </w:r>
            <w:r>
              <w:rPr>
                <w:rFonts w:hint="eastAsia" w:ascii="Times New Roman" w:hAnsi="Times New Roman" w:eastAsia="宋体" w:cs="宋体"/>
                <w:b/>
                <w:sz w:val="24"/>
                <w:szCs w:val="24"/>
                <w:lang w:eastAsia="zh-CN"/>
              </w:rPr>
              <w:t>”</w:t>
            </w:r>
            <w:r>
              <w:rPr>
                <w:rFonts w:hint="eastAsia" w:ascii="Times New Roman" w:hAnsi="Times New Roman" w:eastAsia="宋体" w:cs="宋体"/>
                <w:b/>
                <w:sz w:val="24"/>
                <w:szCs w:val="24"/>
              </w:rPr>
              <w:t>沉淀了大量检测、设计数据作为数字资产。请问这些数字资产目前是否已经开始对外变现或形成新收入，还是主要仍是内部降本提效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？</w:t>
            </w:r>
          </w:p>
          <w:p w14:paraId="4C7A64A0">
            <w:pPr>
              <w:pStyle w:val="12"/>
              <w:spacing w:line="360" w:lineRule="auto"/>
              <w:ind w:firstLine="480" w:firstLineChars="20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答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尊敬的投资者您好！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合诚数智云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”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平台的建设及应用按规划分为三个阶段：</w:t>
            </w:r>
          </w:p>
          <w:p w14:paraId="22C7D8A4">
            <w:pPr>
              <w:pStyle w:val="12"/>
              <w:spacing w:line="360" w:lineRule="auto"/>
              <w:ind w:firstLine="482" w:firstLineChars="200"/>
              <w:jc w:val="both"/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  <w:t>第一阶段：工具赋能・业务更智慧</w:t>
            </w:r>
          </w:p>
          <w:p w14:paraId="3FE7C28E">
            <w:pPr>
              <w:pStyle w:val="12"/>
              <w:spacing w:line="360" w:lineRule="auto"/>
              <w:ind w:firstLine="480" w:firstLineChars="20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通过业务智慧化，提升效率、提升效益。公司复用“合诚数智云”底座平台适配多元需求，开发监测、运维两类标准化产品。报告期内更新迭代桥梁健康监测系统、边坡监测预警系统2类场景系统，并新增开发深基坑自动化监测预警系统、桥隧运维智能管理系统、小区安居健康运维系统及码头检测与评估系统等4类场景系统。同时，公司整合既有设计、检测资料，完成原始数据向可复用数字资产的转化沉淀，依托数字资产反哺平台底座迭代。</w:t>
            </w:r>
          </w:p>
          <w:p w14:paraId="147A60CF">
            <w:pPr>
              <w:pStyle w:val="12"/>
              <w:spacing w:line="360" w:lineRule="auto"/>
              <w:ind w:firstLine="482" w:firstLineChars="20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  <w:t>第二阶段：孪生驱动・数智一体化</w:t>
            </w:r>
          </w:p>
          <w:p w14:paraId="60649C6F">
            <w:pPr>
              <w:pStyle w:val="12"/>
              <w:spacing w:line="360" w:lineRule="auto"/>
              <w:ind w:firstLine="480" w:firstLineChars="20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此阶段通过数智一体化，提升在役工程“检测+诊断+处治方案”一体化服务的能力，增强设计施工一体化业务（EPC）获取的能力，在第一阶段监测与预警系统基础上，升级构建基础设施的数字孪生系统，实现基础设施的BIM模型、监测数据、管控指令等的联动。</w:t>
            </w:r>
          </w:p>
          <w:p w14:paraId="79E5FFDF">
            <w:pPr>
              <w:pStyle w:val="12"/>
              <w:spacing w:line="360" w:lineRule="auto"/>
              <w:ind w:firstLine="482" w:firstLineChars="200"/>
              <w:jc w:val="both"/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  <w:t>第三阶段：数据为王・生态创未来</w:t>
            </w:r>
          </w:p>
          <w:p w14:paraId="589F1832">
            <w:pPr>
              <w:pStyle w:val="12"/>
              <w:spacing w:line="360" w:lineRule="auto"/>
              <w:ind w:firstLine="480" w:firstLineChars="20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val="en-US" w:eastAsia="zh-CN"/>
              </w:rPr>
              <w:t>①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彻底打通投资、检测、诊断、设计、维养、施工、运维等环节，实现项目全生命周期的一体化协同管理，形成工作流和数据的闭环，驱动服务能力不断提升，提升客户满意度。</w:t>
            </w:r>
          </w:p>
          <w:p w14:paraId="5505F9F5">
            <w:pPr>
              <w:pStyle w:val="12"/>
              <w:spacing w:line="360" w:lineRule="auto"/>
              <w:ind w:firstLine="480" w:firstLineChars="20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val="en-US" w:eastAsia="zh-CN"/>
              </w:rPr>
              <w:t>②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基于合诚数智云平台，管理决策从“被动响应”转为“主动预判”，探索更多新业务场景、创造新的商业价值。</w:t>
            </w:r>
          </w:p>
          <w:p w14:paraId="53DF5BE5">
            <w:pPr>
              <w:pStyle w:val="12"/>
              <w:spacing w:line="360" w:lineRule="auto"/>
              <w:ind w:firstLine="480" w:firstLineChars="20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val="en-US" w:eastAsia="zh-CN"/>
              </w:rPr>
              <w:t>③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数据成为公司可持续发展的核心资产，实现高质量数据产品的确权、评估、数据资产入表和挂牌交易。</w:t>
            </w:r>
          </w:p>
          <w:p w14:paraId="57EB0843">
            <w:pPr>
              <w:pStyle w:val="12"/>
              <w:spacing w:line="360" w:lineRule="auto"/>
              <w:ind w:firstLine="480" w:firstLineChars="20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目前公司处于第一、第二阶段。</w:t>
            </w:r>
          </w:p>
          <w:p w14:paraId="0F0CB3F5">
            <w:pPr>
              <w:pStyle w:val="12"/>
              <w:spacing w:line="360" w:lineRule="auto"/>
              <w:ind w:firstLine="480" w:firstLineChars="20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感谢您的关注与支持！</w:t>
            </w:r>
          </w:p>
          <w:p w14:paraId="010E643B">
            <w:pPr>
              <w:pStyle w:val="12"/>
              <w:spacing w:line="360" w:lineRule="auto"/>
              <w:ind w:firstLine="482" w:firstLineChars="200"/>
              <w:jc w:val="both"/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  <w:t>2.公司整体利润率偏低，请问公司对提升利润率有何具体规划？</w:t>
            </w:r>
          </w:p>
          <w:p w14:paraId="520F2F2C">
            <w:pPr>
              <w:pStyle w:val="12"/>
              <w:spacing w:line="360" w:lineRule="auto"/>
              <w:ind w:firstLine="480" w:firstLineChars="20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答:尊敬的投资者您好！针对公司整体利润率偏低的问题，公司已制定明确的提升规划，具体包括：</w:t>
            </w:r>
          </w:p>
          <w:p w14:paraId="3AD0B84D">
            <w:pPr>
              <w:pStyle w:val="12"/>
              <w:spacing w:line="360" w:lineRule="auto"/>
              <w:ind w:firstLine="482" w:firstLineChars="200"/>
              <w:jc w:val="both"/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  <w:lang w:val="en-US" w:eastAsia="zh-CN"/>
              </w:rPr>
              <w:t>①</w:t>
            </w: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  <w:t>优化业务结构，提升业务“含金量”</w:t>
            </w:r>
          </w:p>
          <w:p w14:paraId="4AFCD666">
            <w:pPr>
              <w:pStyle w:val="12"/>
              <w:spacing w:line="360" w:lineRule="auto"/>
              <w:ind w:firstLine="480" w:firstLineChars="20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提升利润重点在于“开源”。公司将逐步减少低附加值业务（即持续“筛砍留”），集中资源拓展高附加值、高毛利率的产品与订单。通过提升高附加值业务占比及优化产品和客户结构，从根本上改善毛利率。</w:t>
            </w:r>
          </w:p>
          <w:p w14:paraId="6DB69977">
            <w:pPr>
              <w:pStyle w:val="12"/>
              <w:spacing w:line="360" w:lineRule="auto"/>
              <w:ind w:firstLine="482" w:firstLineChars="200"/>
              <w:jc w:val="both"/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  <w:lang w:val="en-US" w:eastAsia="zh-CN"/>
              </w:rPr>
              <w:t>②</w:t>
            </w: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  <w:t>深化成本管控，扎紧支出“口袋”</w:t>
            </w:r>
          </w:p>
          <w:p w14:paraId="4E4C05D6">
            <w:pPr>
              <w:pStyle w:val="12"/>
              <w:spacing w:line="360" w:lineRule="auto"/>
              <w:ind w:firstLine="480" w:firstLineChars="20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公司在“开源”的同时强化“节流”，将成本管控视为“一把手”工程。通过推行全员成本责任；深化招采管理，强化量价双控；项目目标成本偏差超过预警并启动整改。</w:t>
            </w:r>
          </w:p>
          <w:p w14:paraId="6A568F4E">
            <w:pPr>
              <w:pStyle w:val="12"/>
              <w:spacing w:line="360" w:lineRule="auto"/>
              <w:ind w:firstLine="482" w:firstLineChars="200"/>
              <w:jc w:val="both"/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  <w:lang w:val="en-US" w:eastAsia="zh-CN"/>
              </w:rPr>
              <w:t>③</w:t>
            </w: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  <w:t>强化绩效杠杆，激发全员动力</w:t>
            </w:r>
          </w:p>
          <w:p w14:paraId="73596D26">
            <w:pPr>
              <w:pStyle w:val="12"/>
              <w:spacing w:line="360" w:lineRule="auto"/>
              <w:ind w:firstLine="480" w:firstLineChars="20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强化绩效考核体系，大幅提高成本降低率等效益指标的权重，严格执行“不胜任”退出机制，确保压力有效传导。公司将持续执行上述举措，提升盈利水平。</w:t>
            </w:r>
          </w:p>
          <w:p w14:paraId="22895C6F">
            <w:pPr>
              <w:pStyle w:val="12"/>
              <w:spacing w:line="360" w:lineRule="auto"/>
              <w:ind w:firstLine="480" w:firstLineChars="20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感谢您的关注与支持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。</w:t>
            </w:r>
          </w:p>
          <w:p w14:paraId="53B8C892">
            <w:pPr>
              <w:pStyle w:val="12"/>
              <w:spacing w:line="360" w:lineRule="auto"/>
              <w:ind w:firstLine="482" w:firstLineChars="200"/>
              <w:jc w:val="both"/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  <w:t>3.请问公司在城市更新业务的规划是什么？</w:t>
            </w:r>
          </w:p>
          <w:p w14:paraId="70CAE3D2">
            <w:pPr>
              <w:pStyle w:val="12"/>
              <w:spacing w:line="360" w:lineRule="auto"/>
              <w:ind w:firstLine="480" w:firstLineChars="20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答:尊敬的投资者您好！伴随着国家城市更新政策的持续推进，2026年公司围绕“属地深耕、资源协同、能力升级”三大方向开展工作：</w:t>
            </w:r>
          </w:p>
          <w:p w14:paraId="49FDDC97">
            <w:pPr>
              <w:pStyle w:val="12"/>
              <w:spacing w:line="360" w:lineRule="auto"/>
              <w:ind w:firstLine="480" w:firstLineChars="20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①新设华东、华北、西南三大事业部，引进属地化人才、整合属地资源，构建属地化经营能力；</w:t>
            </w:r>
          </w:p>
          <w:p w14:paraId="3C3B8E9F">
            <w:pPr>
              <w:pStyle w:val="12"/>
              <w:spacing w:line="360" w:lineRule="auto"/>
              <w:ind w:firstLine="480" w:firstLineChars="20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②强化与地方城投、城建等战略合作，协同建发集团内部资源，共同拓展城市更新项目；</w:t>
            </w:r>
          </w:p>
          <w:p w14:paraId="3EAE9F4B">
            <w:pPr>
              <w:pStyle w:val="12"/>
              <w:spacing w:line="360" w:lineRule="auto"/>
              <w:ind w:firstLine="480" w:firstLineChars="20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③持续加大“工程医院”投入，组建“铁三角”服务小组，提升全过程服务保障能力，为城市更新业务的规模化拓展提供有力支撑。感谢您的关注与支持！</w:t>
            </w:r>
          </w:p>
          <w:p w14:paraId="78E7C9C7">
            <w:pPr>
              <w:pStyle w:val="12"/>
              <w:spacing w:line="360" w:lineRule="auto"/>
              <w:ind w:firstLine="482" w:firstLineChars="200"/>
              <w:jc w:val="both"/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  <w:t>4.公司新设华东、华北、西南三大事业部，属地化团队一般要多久才能从投入期走到利润贡献期？</w:t>
            </w:r>
          </w:p>
          <w:p w14:paraId="7781F98F">
            <w:pPr>
              <w:pStyle w:val="12"/>
              <w:spacing w:line="360" w:lineRule="auto"/>
              <w:ind w:firstLine="480" w:firstLineChars="20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答:尊敬的投资者您好！公司目前在华东、西南地区已有开展相关业务，今年两个事业部会逐步贡献利润；华北事业部处于起步阶段，确需2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val="en-US" w:eastAsia="zh-CN"/>
              </w:rPr>
              <w:t>~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3年的培育周期，但受行业周期波动及区域市场差异影响，实际推进节奏存在一定弹性与不确定性。感谢您的关注与支持！</w:t>
            </w:r>
          </w:p>
          <w:p w14:paraId="7C3AC2AE">
            <w:pPr>
              <w:pStyle w:val="12"/>
              <w:spacing w:line="360" w:lineRule="auto"/>
              <w:ind w:firstLine="482" w:firstLineChars="200"/>
              <w:jc w:val="both"/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  <w:t>5.请问公司同文顶、内江等标杆项目毛利率，与公司整体平均毛利率存在怎样的差异？对于“全过程咨询+一体化运维” 业务模式，如何看待其可复制性，目前公司储备的同类项目规模情况如何？</w:t>
            </w:r>
          </w:p>
          <w:p w14:paraId="07BDA762">
            <w:pPr>
              <w:pStyle w:val="12"/>
              <w:spacing w:line="360" w:lineRule="auto"/>
              <w:ind w:firstLine="480" w:firstLineChars="20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答:尊敬的投资者您好！关于标杆项目毛利率，同文顶项目（合同额1.94亿元）以施工业务为主，其毛利率属于施工业务正常水平；而内江（合同额2,000万元）以全过程咨询及一体化运维为主，属轻资产高附加值服务，其毛利率预计显著高于公司整体平均毛利率。关于业务模式的可复制性，公司依托“工程医院”已构建全生命周期闭环服务，将一次性工程转化为持续技术服务，形成标准化产品属性。同文顶、内江等项目的成功落地初步验证了跨区域复制能力，目前正系统复盘，已逐步构建可复制的“合诚解决方案”。在项目储备方面，2026年上半年“工程医院”新签合同额4.12亿元，同比增长125%，已超去年全年总量，叠加“十五五”城市更新政策利好，市场空间广阔，发展前景良好。感谢您的关注与支持！</w:t>
            </w:r>
          </w:p>
          <w:p w14:paraId="001A4F02">
            <w:pPr>
              <w:pStyle w:val="12"/>
              <w:spacing w:line="360" w:lineRule="auto"/>
              <w:ind w:firstLine="482" w:firstLineChars="200"/>
              <w:jc w:val="both"/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  <w:t>6.请问公司在能源托管项目的资本投入强度大致是什么水平</w:t>
            </w: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  <w:lang w:eastAsia="zh-CN"/>
              </w:rPr>
              <w:t>？</w:t>
            </w:r>
          </w:p>
          <w:p w14:paraId="242FAAFC">
            <w:pPr>
              <w:pStyle w:val="12"/>
              <w:spacing w:line="360" w:lineRule="auto"/>
              <w:ind w:firstLine="480" w:firstLineChars="20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答:尊敬的投资者您好！能源托管是公司2026年新拓展的业务方向，目前已涉及能源审计、节能改造等领域。面向国家“双碳”战略目标，公司将持续加大该业务投入力度，重点解决企业高耗能问题，助力客户降本增效，同时为国家实现碳达峰、碳中和目标贡献力量。后续公司将视业务发展情况，动态考虑资本投入的情况。感谢您的关注与支持！</w:t>
            </w:r>
          </w:p>
          <w:p w14:paraId="4281B619">
            <w:pPr>
              <w:pStyle w:val="12"/>
              <w:spacing w:line="360" w:lineRule="auto"/>
              <w:ind w:firstLine="482" w:firstLineChars="200"/>
              <w:jc w:val="both"/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  <w:t>7.各位领导好，请问如果建发体系房地产开发节奏波动，会不会直接影响公司施工业务订单，有没有对应的业务对冲布局？</w:t>
            </w:r>
          </w:p>
          <w:p w14:paraId="47ADD20B">
            <w:pPr>
              <w:pStyle w:val="12"/>
              <w:spacing w:line="360" w:lineRule="auto"/>
              <w:ind w:firstLine="480" w:firstLineChars="20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答:尊敬的投资者您好！建发体系房地产开发节奏的波动，客观上会对公司施工业务订单产生一定影响，但鉴于公司近年来持续推进业务结构多元化，整体影响已趋于可控。具体对冲布局如下：</w:t>
            </w:r>
          </w:p>
          <w:p w14:paraId="143CC249">
            <w:pPr>
              <w:pStyle w:val="12"/>
              <w:spacing w:line="360" w:lineRule="auto"/>
              <w:ind w:firstLine="480" w:firstLineChars="20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一是建筑施工板块，公司承接控股股东总包业务占控股股东相关业务比例不高，同时公司强化提升批量精装、幕墙施工等专业分包业务占比，该类业务利润率更高，且客户覆盖面更广，有助于分散控股股东业务需求波动的风险。</w:t>
            </w:r>
          </w:p>
          <w:p w14:paraId="36887A4A">
            <w:pPr>
              <w:pStyle w:val="12"/>
              <w:spacing w:line="360" w:lineRule="auto"/>
              <w:ind w:firstLine="480" w:firstLineChars="20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二是公司持续打造“工程医院”品牌，重点布局在役工程运维、城市更新、地下管网等存量市场，随着相关政策持续推进，市场需求有望稳步释放。</w:t>
            </w:r>
          </w:p>
          <w:p w14:paraId="3D3471E3">
            <w:pPr>
              <w:pStyle w:val="12"/>
              <w:spacing w:line="360" w:lineRule="auto"/>
              <w:ind w:firstLine="480" w:firstLineChars="20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三是公司前瞻布局拓展能源托管业务，聚焦节能改造与能源审计，正着力培育为新的增长极。</w:t>
            </w:r>
          </w:p>
          <w:p w14:paraId="3DB8AB09">
            <w:pPr>
              <w:pStyle w:val="12"/>
              <w:spacing w:line="360" w:lineRule="auto"/>
              <w:ind w:firstLine="480" w:firstLineChars="20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综上，公司持续构建多元业务格局，具备较强的抗周期性能力。</w:t>
            </w:r>
          </w:p>
          <w:p w14:paraId="517646DC">
            <w:pPr>
              <w:pStyle w:val="12"/>
              <w:spacing w:line="360" w:lineRule="auto"/>
              <w:ind w:firstLine="480" w:firstLineChars="20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感谢您的关注与支持！</w:t>
            </w:r>
          </w:p>
          <w:p w14:paraId="795118B1">
            <w:pPr>
              <w:pStyle w:val="12"/>
              <w:spacing w:line="360" w:lineRule="auto"/>
              <w:ind w:firstLine="482" w:firstLineChars="200"/>
              <w:jc w:val="both"/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  <w:szCs w:val="24"/>
              </w:rPr>
              <w:t>8.同行业不少工程咨询企业都在向城市更新、运维方向转型，公司和同业相比，自身差异化的竞争定位是什么？</w:t>
            </w:r>
          </w:p>
          <w:p w14:paraId="0395825D">
            <w:pPr>
              <w:pStyle w:val="12"/>
              <w:spacing w:line="360" w:lineRule="auto"/>
              <w:ind w:firstLine="480" w:firstLineChars="200"/>
              <w:jc w:val="both"/>
              <w:rPr>
                <w:rFonts w:hint="eastAsia"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答:尊敬的投资者您好！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val="en-US" w:eastAsia="zh-CN"/>
              </w:rPr>
              <w:t>①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公司前瞻布局在役工程领域，着力打造“建发合诚工程医院”品牌，已形成了“检测—设计—维养”一体化服务能力，与同行业工程咨询企业相比，公司全产业链一体化服务的能力更全面。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val="en-US" w:eastAsia="zh-CN"/>
              </w:rPr>
              <w:t>②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公司着力打造“工程医院”王牌科室，打造业务从碎片化转向一体化，服务从专科化转向综合性诊治；培养一体化作战品牌，形成“检测在现场、诊断在云端、专家在全国、服务在身边”，同时打造“检测智慧化、诊断专业化、专家体系化、服务一体化”的服务体系。聚焦战略级大客户，推行“一次合作、终身服务”模式，持续升级“铁三角”服务能力，提升客户体验。感谢您的关注与支持！</w:t>
            </w:r>
          </w:p>
        </w:tc>
      </w:tr>
      <w:tr w14:paraId="039582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727" w:type="dxa"/>
            <w:vAlign w:val="center"/>
          </w:tcPr>
          <w:p w14:paraId="0395825F">
            <w:pPr>
              <w:pStyle w:val="12"/>
              <w:jc w:val="center"/>
              <w:rPr>
                <w:rFonts w:hint="eastAsia" w:cs="宋体"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szCs w:val="24"/>
              </w:rPr>
              <w:t>关于本次活动是否涉及</w:t>
            </w:r>
          </w:p>
          <w:p w14:paraId="03958260">
            <w:pPr>
              <w:pStyle w:val="12"/>
              <w:jc w:val="center"/>
              <w:rPr>
                <w:rFonts w:hint="eastAsia" w:cs="宋体"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szCs w:val="24"/>
              </w:rPr>
              <w:t>应披露重大信息的说明</w:t>
            </w:r>
          </w:p>
        </w:tc>
        <w:tc>
          <w:tcPr>
            <w:tcW w:w="6624" w:type="dxa"/>
            <w:vAlign w:val="center"/>
          </w:tcPr>
          <w:p w14:paraId="03958261">
            <w:pPr>
              <w:pStyle w:val="12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本次活动不涉及未公开披露的重大信息。</w:t>
            </w:r>
          </w:p>
        </w:tc>
      </w:tr>
      <w:tr w14:paraId="039582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351" w:type="dxa"/>
            <w:gridSpan w:val="2"/>
            <w:vAlign w:val="center"/>
          </w:tcPr>
          <w:p w14:paraId="03958263">
            <w:pPr>
              <w:pStyle w:val="12"/>
              <w:jc w:val="center"/>
              <w:rPr>
                <w:rFonts w:hint="eastAsia" w:cs="宋体"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szCs w:val="24"/>
              </w:rPr>
              <w:t>风险提示</w:t>
            </w:r>
          </w:p>
        </w:tc>
      </w:tr>
      <w:tr w14:paraId="039582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351" w:type="dxa"/>
            <w:gridSpan w:val="2"/>
            <w:vAlign w:val="center"/>
          </w:tcPr>
          <w:p w14:paraId="03958265">
            <w:pPr>
              <w:pStyle w:val="12"/>
              <w:spacing w:before="72" w:beforeLines="30" w:line="300" w:lineRule="auto"/>
              <w:ind w:firstLine="480" w:firstLineChars="200"/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sz w:val="24"/>
                <w:szCs w:val="24"/>
              </w:rPr>
              <w:t>以上如涉及对行业的预测、公司发展战略规划等相关内容，不能视作公司或管理层对行业、公司发展或业绩的承诺和保证，敬请广大投资者注意投资风险。</w:t>
            </w:r>
          </w:p>
        </w:tc>
      </w:tr>
    </w:tbl>
    <w:p w14:paraId="0395826A">
      <w:pPr>
        <w:rPr>
          <w:rFonts w:hint="eastAsia" w:ascii="宋体" w:hAnsi="宋体" w:eastAsia="宋体" w:cs="宋体"/>
          <w:sz w:val="28"/>
          <w:szCs w:val="36"/>
        </w:rPr>
      </w:pPr>
    </w:p>
    <w:sectPr>
      <w:type w:val="continuous"/>
      <w:pgSz w:w="11910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KSOFA61C387F">
    <w:panose1 w:val="020B0604030504040204"/>
    <w:charset w:val="88"/>
    <w:family w:val="auto"/>
    <w:pitch w:val="default"/>
    <w:sig w:usb0="00000001" w:usb1="00000000" w:usb2="00000000" w:usb3="00000000" w:csb0="0010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Y1MDdmNDdlZDNjN2QxZDI1MmM0M2M2ZDBhZjU4NDkifQ=="/>
  </w:docVars>
  <w:rsids>
    <w:rsidRoot w:val="00301D32"/>
    <w:rsid w:val="00026CC3"/>
    <w:rsid w:val="00036089"/>
    <w:rsid w:val="0004362A"/>
    <w:rsid w:val="00053CFA"/>
    <w:rsid w:val="000633EC"/>
    <w:rsid w:val="00063804"/>
    <w:rsid w:val="000665A2"/>
    <w:rsid w:val="00071D52"/>
    <w:rsid w:val="000877AB"/>
    <w:rsid w:val="000B7C08"/>
    <w:rsid w:val="000D12CF"/>
    <w:rsid w:val="000D2D88"/>
    <w:rsid w:val="000E4B20"/>
    <w:rsid w:val="0011418F"/>
    <w:rsid w:val="00124CC0"/>
    <w:rsid w:val="00172C24"/>
    <w:rsid w:val="00180F28"/>
    <w:rsid w:val="001C72E0"/>
    <w:rsid w:val="001E59D1"/>
    <w:rsid w:val="001E5EA4"/>
    <w:rsid w:val="002042A7"/>
    <w:rsid w:val="00205911"/>
    <w:rsid w:val="00205CD6"/>
    <w:rsid w:val="0021064B"/>
    <w:rsid w:val="002146AD"/>
    <w:rsid w:val="00263B1C"/>
    <w:rsid w:val="00275CB6"/>
    <w:rsid w:val="002800B5"/>
    <w:rsid w:val="00295B29"/>
    <w:rsid w:val="002D4073"/>
    <w:rsid w:val="002E7098"/>
    <w:rsid w:val="00301D32"/>
    <w:rsid w:val="00314CFE"/>
    <w:rsid w:val="00325123"/>
    <w:rsid w:val="003409BB"/>
    <w:rsid w:val="0035665E"/>
    <w:rsid w:val="00366FAD"/>
    <w:rsid w:val="0037105B"/>
    <w:rsid w:val="003975BA"/>
    <w:rsid w:val="003A74E6"/>
    <w:rsid w:val="003B73DD"/>
    <w:rsid w:val="003D011C"/>
    <w:rsid w:val="003E0F7E"/>
    <w:rsid w:val="0040731E"/>
    <w:rsid w:val="004108C7"/>
    <w:rsid w:val="00412DC2"/>
    <w:rsid w:val="00440041"/>
    <w:rsid w:val="00451268"/>
    <w:rsid w:val="004515AD"/>
    <w:rsid w:val="00451857"/>
    <w:rsid w:val="00453516"/>
    <w:rsid w:val="00457548"/>
    <w:rsid w:val="00470DB2"/>
    <w:rsid w:val="004925E7"/>
    <w:rsid w:val="00495B11"/>
    <w:rsid w:val="004D5E96"/>
    <w:rsid w:val="004F6FF3"/>
    <w:rsid w:val="005279DE"/>
    <w:rsid w:val="005672CA"/>
    <w:rsid w:val="00571B49"/>
    <w:rsid w:val="005743AE"/>
    <w:rsid w:val="005D1222"/>
    <w:rsid w:val="005D64CA"/>
    <w:rsid w:val="005E5717"/>
    <w:rsid w:val="005E6DB2"/>
    <w:rsid w:val="005F4094"/>
    <w:rsid w:val="0061433E"/>
    <w:rsid w:val="0062751D"/>
    <w:rsid w:val="006354AA"/>
    <w:rsid w:val="00661AFA"/>
    <w:rsid w:val="006726BF"/>
    <w:rsid w:val="00677B77"/>
    <w:rsid w:val="0068718A"/>
    <w:rsid w:val="006A2739"/>
    <w:rsid w:val="006B5C95"/>
    <w:rsid w:val="006E14B0"/>
    <w:rsid w:val="006F0108"/>
    <w:rsid w:val="00704AE6"/>
    <w:rsid w:val="007153A2"/>
    <w:rsid w:val="00724A68"/>
    <w:rsid w:val="007271BF"/>
    <w:rsid w:val="00730DD3"/>
    <w:rsid w:val="00732DC4"/>
    <w:rsid w:val="00733224"/>
    <w:rsid w:val="00764128"/>
    <w:rsid w:val="007824B8"/>
    <w:rsid w:val="007910DD"/>
    <w:rsid w:val="007A3EC1"/>
    <w:rsid w:val="007B3368"/>
    <w:rsid w:val="007C71E9"/>
    <w:rsid w:val="007D0A69"/>
    <w:rsid w:val="007D5092"/>
    <w:rsid w:val="007D6DC4"/>
    <w:rsid w:val="00822613"/>
    <w:rsid w:val="00850E4C"/>
    <w:rsid w:val="00853463"/>
    <w:rsid w:val="00893F25"/>
    <w:rsid w:val="00895035"/>
    <w:rsid w:val="00896F87"/>
    <w:rsid w:val="008B2B14"/>
    <w:rsid w:val="008C6AED"/>
    <w:rsid w:val="008C7604"/>
    <w:rsid w:val="008E1B27"/>
    <w:rsid w:val="008F5317"/>
    <w:rsid w:val="00903379"/>
    <w:rsid w:val="00906975"/>
    <w:rsid w:val="00917F0B"/>
    <w:rsid w:val="00917F8B"/>
    <w:rsid w:val="00960964"/>
    <w:rsid w:val="00965E4D"/>
    <w:rsid w:val="009B1D5C"/>
    <w:rsid w:val="009B5538"/>
    <w:rsid w:val="009B7515"/>
    <w:rsid w:val="009C2E31"/>
    <w:rsid w:val="009E1955"/>
    <w:rsid w:val="009F120D"/>
    <w:rsid w:val="009F2FBA"/>
    <w:rsid w:val="00A527AA"/>
    <w:rsid w:val="00A5684D"/>
    <w:rsid w:val="00A60AB8"/>
    <w:rsid w:val="00A75C61"/>
    <w:rsid w:val="00A9601B"/>
    <w:rsid w:val="00AD100E"/>
    <w:rsid w:val="00AE1E36"/>
    <w:rsid w:val="00AF1270"/>
    <w:rsid w:val="00AF74AA"/>
    <w:rsid w:val="00B03C2F"/>
    <w:rsid w:val="00B124D6"/>
    <w:rsid w:val="00B15064"/>
    <w:rsid w:val="00B15C3F"/>
    <w:rsid w:val="00B340A3"/>
    <w:rsid w:val="00B410F5"/>
    <w:rsid w:val="00B6280C"/>
    <w:rsid w:val="00B671A4"/>
    <w:rsid w:val="00B72CD4"/>
    <w:rsid w:val="00B85B00"/>
    <w:rsid w:val="00B87B02"/>
    <w:rsid w:val="00B96F27"/>
    <w:rsid w:val="00BF132F"/>
    <w:rsid w:val="00C13878"/>
    <w:rsid w:val="00C2608D"/>
    <w:rsid w:val="00CA1705"/>
    <w:rsid w:val="00CC1D51"/>
    <w:rsid w:val="00CD31EA"/>
    <w:rsid w:val="00CE1A54"/>
    <w:rsid w:val="00CF5FB6"/>
    <w:rsid w:val="00D02518"/>
    <w:rsid w:val="00D17454"/>
    <w:rsid w:val="00D33FBC"/>
    <w:rsid w:val="00D50225"/>
    <w:rsid w:val="00D65F72"/>
    <w:rsid w:val="00D7535C"/>
    <w:rsid w:val="00D76302"/>
    <w:rsid w:val="00D842E9"/>
    <w:rsid w:val="00DA3C29"/>
    <w:rsid w:val="00DA5CE2"/>
    <w:rsid w:val="00DB06E7"/>
    <w:rsid w:val="00DC73E3"/>
    <w:rsid w:val="00DD14BD"/>
    <w:rsid w:val="00DE10E8"/>
    <w:rsid w:val="00E16FDA"/>
    <w:rsid w:val="00E33777"/>
    <w:rsid w:val="00E35F58"/>
    <w:rsid w:val="00E45BD9"/>
    <w:rsid w:val="00E66FFC"/>
    <w:rsid w:val="00E759D6"/>
    <w:rsid w:val="00E84A8C"/>
    <w:rsid w:val="00E976DE"/>
    <w:rsid w:val="00EC0F83"/>
    <w:rsid w:val="00ED46CA"/>
    <w:rsid w:val="00EE3187"/>
    <w:rsid w:val="00EE71D3"/>
    <w:rsid w:val="00EF0890"/>
    <w:rsid w:val="00EF499B"/>
    <w:rsid w:val="00EF7CC2"/>
    <w:rsid w:val="00F14977"/>
    <w:rsid w:val="00F26A02"/>
    <w:rsid w:val="00FB4A08"/>
    <w:rsid w:val="00FC0C2A"/>
    <w:rsid w:val="00FD7F8E"/>
    <w:rsid w:val="00FF11E4"/>
    <w:rsid w:val="0482093C"/>
    <w:rsid w:val="04B072D4"/>
    <w:rsid w:val="04B14FFF"/>
    <w:rsid w:val="05F575D4"/>
    <w:rsid w:val="064249C6"/>
    <w:rsid w:val="08641132"/>
    <w:rsid w:val="09186774"/>
    <w:rsid w:val="0945438F"/>
    <w:rsid w:val="0A71587A"/>
    <w:rsid w:val="0B792C38"/>
    <w:rsid w:val="0B9B74FB"/>
    <w:rsid w:val="0C28640C"/>
    <w:rsid w:val="0D167322"/>
    <w:rsid w:val="0E90599A"/>
    <w:rsid w:val="0ED720CD"/>
    <w:rsid w:val="12070CAE"/>
    <w:rsid w:val="145F688C"/>
    <w:rsid w:val="14D47131"/>
    <w:rsid w:val="15680001"/>
    <w:rsid w:val="15DD2205"/>
    <w:rsid w:val="17072842"/>
    <w:rsid w:val="17A67110"/>
    <w:rsid w:val="1864189B"/>
    <w:rsid w:val="18D73A7D"/>
    <w:rsid w:val="19557370"/>
    <w:rsid w:val="1BD06B6A"/>
    <w:rsid w:val="1F782BDE"/>
    <w:rsid w:val="204A6A53"/>
    <w:rsid w:val="23317869"/>
    <w:rsid w:val="25650CAE"/>
    <w:rsid w:val="26406598"/>
    <w:rsid w:val="28080056"/>
    <w:rsid w:val="28734C1A"/>
    <w:rsid w:val="28C72DDD"/>
    <w:rsid w:val="29EE0E64"/>
    <w:rsid w:val="2BC4020A"/>
    <w:rsid w:val="2EF90F16"/>
    <w:rsid w:val="2F125C63"/>
    <w:rsid w:val="302C3D0A"/>
    <w:rsid w:val="3104598F"/>
    <w:rsid w:val="33DE31BB"/>
    <w:rsid w:val="379C4B28"/>
    <w:rsid w:val="389C49C0"/>
    <w:rsid w:val="39BC78F4"/>
    <w:rsid w:val="3B35486F"/>
    <w:rsid w:val="3EF1250A"/>
    <w:rsid w:val="40567DB0"/>
    <w:rsid w:val="40FF5CD2"/>
    <w:rsid w:val="42DB40B0"/>
    <w:rsid w:val="43B71B0A"/>
    <w:rsid w:val="44FA0589"/>
    <w:rsid w:val="45A663E3"/>
    <w:rsid w:val="469F09AF"/>
    <w:rsid w:val="4B756271"/>
    <w:rsid w:val="4C8E1CA8"/>
    <w:rsid w:val="4D522F77"/>
    <w:rsid w:val="4D6D36A4"/>
    <w:rsid w:val="510903EF"/>
    <w:rsid w:val="53AA2059"/>
    <w:rsid w:val="53F137F4"/>
    <w:rsid w:val="5425781E"/>
    <w:rsid w:val="543A6906"/>
    <w:rsid w:val="56850CBB"/>
    <w:rsid w:val="59D8738A"/>
    <w:rsid w:val="5A666D76"/>
    <w:rsid w:val="5B2253C2"/>
    <w:rsid w:val="5CB5593F"/>
    <w:rsid w:val="5CF02E0F"/>
    <w:rsid w:val="603269D2"/>
    <w:rsid w:val="61A52BCA"/>
    <w:rsid w:val="67095496"/>
    <w:rsid w:val="67ED7463"/>
    <w:rsid w:val="681A546A"/>
    <w:rsid w:val="68507D37"/>
    <w:rsid w:val="69CB37D4"/>
    <w:rsid w:val="6A0D5B9B"/>
    <w:rsid w:val="6A3B23B1"/>
    <w:rsid w:val="6AEA32DC"/>
    <w:rsid w:val="6B777044"/>
    <w:rsid w:val="6BB96AA0"/>
    <w:rsid w:val="6CC24AB5"/>
    <w:rsid w:val="6D9271B2"/>
    <w:rsid w:val="6E0307C8"/>
    <w:rsid w:val="6F134790"/>
    <w:rsid w:val="6FE81F5F"/>
    <w:rsid w:val="71C1025C"/>
    <w:rsid w:val="72446028"/>
    <w:rsid w:val="73076EC0"/>
    <w:rsid w:val="74210CA6"/>
    <w:rsid w:val="746F4E76"/>
    <w:rsid w:val="76430096"/>
    <w:rsid w:val="788C25F5"/>
    <w:rsid w:val="79F72AA9"/>
    <w:rsid w:val="7A144529"/>
    <w:rsid w:val="7A150893"/>
    <w:rsid w:val="7DD3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outlineLvl w:val="0"/>
    </w:pPr>
    <w:rPr>
      <w:rFonts w:ascii="PMingLiU" w:hAnsi="PMingLiU" w:eastAsia="PMingLiU" w:cs="PMingLiU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qFormat/>
    <w:uiPriority w:val="0"/>
  </w:style>
  <w:style w:type="paragraph" w:styleId="4">
    <w:name w:val="Body Text"/>
    <w:basedOn w:val="1"/>
    <w:qFormat/>
    <w:uiPriority w:val="1"/>
    <w:pPr>
      <w:ind w:left="220"/>
    </w:pPr>
    <w:rPr>
      <w:sz w:val="32"/>
      <w:szCs w:val="32"/>
    </w:r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6"/>
    <w:qFormat/>
    <w:uiPriority w:val="0"/>
    <w:rPr>
      <w:b/>
      <w:bCs/>
    </w:rPr>
  </w:style>
  <w:style w:type="character" w:styleId="11">
    <w:name w:val="annotation reference"/>
    <w:basedOn w:val="10"/>
    <w:qFormat/>
    <w:uiPriority w:val="0"/>
    <w:rPr>
      <w:sz w:val="21"/>
      <w:szCs w:val="21"/>
    </w:rPr>
  </w:style>
  <w:style w:type="paragraph" w:customStyle="1" w:styleId="12">
    <w:name w:val="Table Paragraph"/>
    <w:basedOn w:val="1"/>
    <w:qFormat/>
    <w:uiPriority w:val="1"/>
  </w:style>
  <w:style w:type="character" w:customStyle="1" w:styleId="13">
    <w:name w:val="页眉 字符"/>
    <w:basedOn w:val="10"/>
    <w:link w:val="7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4">
    <w:name w:val="页脚 字符"/>
    <w:basedOn w:val="10"/>
    <w:link w:val="6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5">
    <w:name w:val="批注文字 字符"/>
    <w:basedOn w:val="10"/>
    <w:link w:val="3"/>
    <w:qFormat/>
    <w:uiPriority w:val="0"/>
    <w:rPr>
      <w:rFonts w:ascii="仿宋" w:hAnsi="仿宋" w:eastAsia="仿宋" w:cs="仿宋"/>
      <w:sz w:val="22"/>
      <w:szCs w:val="22"/>
      <w:lang w:val="zh-CN" w:bidi="zh-CN"/>
    </w:rPr>
  </w:style>
  <w:style w:type="character" w:customStyle="1" w:styleId="16">
    <w:name w:val="批注主题 字符"/>
    <w:basedOn w:val="15"/>
    <w:link w:val="8"/>
    <w:qFormat/>
    <w:uiPriority w:val="0"/>
    <w:rPr>
      <w:rFonts w:ascii="仿宋" w:hAnsi="仿宋" w:eastAsia="仿宋" w:cs="仿宋"/>
      <w:b/>
      <w:bCs/>
      <w:sz w:val="22"/>
      <w:szCs w:val="22"/>
      <w:lang w:val="zh-CN" w:bidi="zh-CN"/>
    </w:rPr>
  </w:style>
  <w:style w:type="character" w:customStyle="1" w:styleId="17">
    <w:name w:val="批注框文本 字符"/>
    <w:basedOn w:val="10"/>
    <w:link w:val="5"/>
    <w:qFormat/>
    <w:uiPriority w:val="0"/>
    <w:rPr>
      <w:rFonts w:ascii="仿宋" w:hAnsi="仿宋" w:eastAsia="仿宋" w:cs="仿宋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16454-D52C-4974-A468-5D02FFFCA6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2998</Words>
  <Characters>3087</Characters>
  <Lines>12</Lines>
  <Paragraphs>3</Paragraphs>
  <TotalTime>14</TotalTime>
  <ScaleCrop>false</ScaleCrop>
  <LinksUpToDate>false</LinksUpToDate>
  <CharactersWithSpaces>3185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2022-04-12T06:10:00Z</dcterms:created>
  <dc:creator>jie.huang</dc:creator>
  <cp:lastModifiedBy>CIAO</cp:lastModifiedBy>
  <dcterms:modified xsi:type="dcterms:W3CDTF">2026-08-28T07:40:55Z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57D148DF2F764966BF4E1C38A6255FA2</vt:lpwstr>
  </property>
  <property fmtid="{D5CDD505-2E9C-101B-9397-08002B2CF9AE}" pid="4" name="KSOTemplateDocerSaveRecord">
    <vt:lpwstr>eyJoZGlkIjoiZTM5NGFjMDcxMTQ0ZjgyYzExYWNmZGE1ZTFkYWZhYzkiLCJ1c2VySWQiOiIzMDE0NjYzMzgifQ==</vt:lpwstr>
  </property>
</Properties>
</file>