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06281" w14:textId="77777777" w:rsidR="004D7F18" w:rsidRDefault="00000000">
      <w:pPr>
        <w:pStyle w:val="NewNew"/>
        <w:spacing w:beforeLines="50" w:before="156" w:afterLines="50" w:after="156" w:line="360" w:lineRule="auto"/>
        <w:jc w:val="center"/>
        <w:rPr>
          <w:rFonts w:ascii="宋体" w:hAnsi="宋体" w:cs="宋体" w:hint="eastAsia"/>
          <w:b/>
          <w:iCs/>
          <w:color w:val="000000"/>
          <w:sz w:val="24"/>
        </w:rPr>
      </w:pPr>
      <w:r>
        <w:rPr>
          <w:rFonts w:ascii="宋体" w:hAnsi="宋体" w:cs="宋体" w:hint="eastAsia"/>
          <w:b/>
          <w:iCs/>
          <w:color w:val="000000"/>
          <w:sz w:val="24"/>
        </w:rPr>
        <w:t>证券代码：603387                证券简称：基蛋生物               编号：20</w:t>
      </w:r>
      <w:r>
        <w:rPr>
          <w:rFonts w:ascii="宋体" w:hAnsi="宋体" w:cs="宋体"/>
          <w:b/>
          <w:iCs/>
          <w:color w:val="000000"/>
          <w:sz w:val="24"/>
        </w:rPr>
        <w:t>2</w:t>
      </w:r>
      <w:r>
        <w:rPr>
          <w:rFonts w:ascii="宋体" w:hAnsi="宋体" w:cs="宋体" w:hint="eastAsia"/>
          <w:b/>
          <w:iCs/>
          <w:color w:val="000000"/>
          <w:sz w:val="24"/>
        </w:rPr>
        <w:t>6-001</w:t>
      </w:r>
    </w:p>
    <w:p w14:paraId="746D2B17" w14:textId="77777777" w:rsidR="004D7F18" w:rsidRDefault="00000000">
      <w:pPr>
        <w:pStyle w:val="NewNew"/>
        <w:spacing w:beforeLines="50" w:before="156" w:afterLines="50" w:after="156" w:line="360" w:lineRule="auto"/>
        <w:jc w:val="center"/>
        <w:rPr>
          <w:rFonts w:ascii="宋体" w:hAnsi="宋体" w:cs="宋体" w:hint="eastAsia"/>
          <w:b/>
          <w:bCs/>
          <w:iCs/>
          <w:color w:val="FF0000"/>
          <w:sz w:val="32"/>
          <w:szCs w:val="32"/>
        </w:rPr>
      </w:pPr>
      <w:r>
        <w:rPr>
          <w:rFonts w:ascii="宋体" w:hAnsi="宋体" w:cs="宋体" w:hint="eastAsia"/>
          <w:b/>
          <w:bCs/>
          <w:iCs/>
          <w:color w:val="FF0000"/>
          <w:sz w:val="32"/>
          <w:szCs w:val="32"/>
        </w:rPr>
        <w:t>基蛋生物科技股份有限公司</w:t>
      </w:r>
    </w:p>
    <w:p w14:paraId="2CE9CA24" w14:textId="77777777" w:rsidR="004D7F18" w:rsidRDefault="00000000">
      <w:pPr>
        <w:pStyle w:val="NewNew"/>
        <w:spacing w:beforeLines="50" w:before="156" w:afterLines="50" w:after="156" w:line="360" w:lineRule="auto"/>
        <w:jc w:val="center"/>
        <w:rPr>
          <w:rFonts w:ascii="宋体" w:hAnsi="宋体" w:cs="宋体" w:hint="eastAsia"/>
          <w:b/>
          <w:bCs/>
          <w:iCs/>
          <w:color w:val="FF0000"/>
          <w:sz w:val="32"/>
          <w:szCs w:val="32"/>
        </w:rPr>
      </w:pPr>
      <w:r>
        <w:rPr>
          <w:rFonts w:ascii="宋体" w:hAnsi="宋体" w:cs="宋体" w:hint="eastAsia"/>
          <w:b/>
          <w:bCs/>
          <w:iCs/>
          <w:color w:val="FF0000"/>
          <w:sz w:val="32"/>
          <w:szCs w:val="32"/>
        </w:rPr>
        <w:t>投资者关系活动记录表</w:t>
      </w:r>
    </w:p>
    <w:tbl>
      <w:tblPr>
        <w:tblW w:w="99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7557"/>
      </w:tblGrid>
      <w:tr w:rsidR="004D7F18" w14:paraId="6788515E" w14:textId="77777777" w:rsidTr="002E075C">
        <w:tc>
          <w:tcPr>
            <w:tcW w:w="2405" w:type="dxa"/>
            <w:vAlign w:val="center"/>
          </w:tcPr>
          <w:p w14:paraId="3746651C" w14:textId="56E4B3B3" w:rsidR="004D7F18" w:rsidRDefault="00000000">
            <w:pPr>
              <w:pStyle w:val="NewNew"/>
              <w:spacing w:line="360" w:lineRule="auto"/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投资者关系活动类别</w:t>
            </w:r>
          </w:p>
        </w:tc>
        <w:tc>
          <w:tcPr>
            <w:tcW w:w="7557" w:type="dxa"/>
          </w:tcPr>
          <w:p w14:paraId="22A1A21D" w14:textId="77777777" w:rsidR="004D7F18" w:rsidRDefault="00000000">
            <w:pPr>
              <w:pStyle w:val="NewNew"/>
              <w:spacing w:line="360" w:lineRule="auto"/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□</w:t>
            </w:r>
            <w:r>
              <w:rPr>
                <w:rFonts w:ascii="宋体" w:hAnsi="宋体" w:cs="宋体" w:hint="eastAsia"/>
                <w:sz w:val="24"/>
              </w:rPr>
              <w:t xml:space="preserve">特定对象调研        </w:t>
            </w: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□</w:t>
            </w:r>
            <w:r>
              <w:rPr>
                <w:rFonts w:ascii="宋体" w:hAnsi="宋体" w:cs="宋体" w:hint="eastAsia"/>
                <w:sz w:val="24"/>
              </w:rPr>
              <w:t>分析师会议</w:t>
            </w:r>
          </w:p>
          <w:p w14:paraId="2DD4FC31" w14:textId="1ECECCF8" w:rsidR="004D7F18" w:rsidRDefault="00000000">
            <w:pPr>
              <w:pStyle w:val="NewNew"/>
              <w:spacing w:line="360" w:lineRule="auto"/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□</w:t>
            </w:r>
            <w:r>
              <w:rPr>
                <w:rFonts w:ascii="宋体" w:hAnsi="宋体" w:cs="宋体" w:hint="eastAsia"/>
                <w:sz w:val="24"/>
              </w:rPr>
              <w:t xml:space="preserve">媒体采访            </w:t>
            </w:r>
            <w:r w:rsidR="007F2B62"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sym w:font="Wingdings 2" w:char="F052"/>
            </w:r>
            <w:r>
              <w:rPr>
                <w:rFonts w:ascii="宋体" w:hAnsi="宋体" w:cs="宋体" w:hint="eastAsia"/>
                <w:sz w:val="24"/>
              </w:rPr>
              <w:t>业绩说明会</w:t>
            </w:r>
          </w:p>
          <w:p w14:paraId="5EDBAC7B" w14:textId="77777777" w:rsidR="004D7F18" w:rsidRDefault="00000000">
            <w:pPr>
              <w:pStyle w:val="NewNew"/>
              <w:spacing w:line="360" w:lineRule="auto"/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□</w:t>
            </w:r>
            <w:r>
              <w:rPr>
                <w:rFonts w:ascii="宋体" w:hAnsi="宋体" w:cs="宋体" w:hint="eastAsia"/>
                <w:sz w:val="24"/>
              </w:rPr>
              <w:t xml:space="preserve">新闻发布会          </w:t>
            </w: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□</w:t>
            </w:r>
            <w:r>
              <w:rPr>
                <w:rFonts w:ascii="宋体" w:hAnsi="宋体" w:cs="宋体" w:hint="eastAsia"/>
                <w:sz w:val="24"/>
              </w:rPr>
              <w:t>路演活动</w:t>
            </w:r>
          </w:p>
          <w:p w14:paraId="2C74CBDE" w14:textId="77777777" w:rsidR="004D7F18" w:rsidRDefault="00000000">
            <w:pPr>
              <w:pStyle w:val="NewNew"/>
              <w:tabs>
                <w:tab w:val="left" w:pos="3045"/>
                <w:tab w:val="center" w:pos="3199"/>
              </w:tabs>
              <w:spacing w:line="360" w:lineRule="auto"/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□</w:t>
            </w:r>
            <w:r>
              <w:rPr>
                <w:rFonts w:ascii="宋体" w:hAnsi="宋体" w:cs="宋体" w:hint="eastAsia"/>
                <w:sz w:val="24"/>
              </w:rPr>
              <w:t xml:space="preserve">现场参观            </w:t>
            </w: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□</w:t>
            </w:r>
            <w:r>
              <w:rPr>
                <w:rFonts w:ascii="宋体" w:hAnsi="宋体" w:cs="宋体" w:hint="eastAsia"/>
                <w:sz w:val="24"/>
              </w:rPr>
              <w:t>一对一沟通</w:t>
            </w:r>
          </w:p>
          <w:p w14:paraId="17BDCDAE" w14:textId="58AD4DA1" w:rsidR="004D7F18" w:rsidRDefault="007F2B62">
            <w:pPr>
              <w:pStyle w:val="NewNew"/>
              <w:tabs>
                <w:tab w:val="center" w:pos="3199"/>
              </w:tabs>
              <w:spacing w:line="360" w:lineRule="auto"/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□</w:t>
            </w:r>
            <w:r w:rsidR="00000000">
              <w:rPr>
                <w:rFonts w:ascii="宋体" w:hAnsi="宋体" w:cs="宋体" w:hint="eastAsia"/>
                <w:sz w:val="24"/>
              </w:rPr>
              <w:t>其他</w:t>
            </w:r>
          </w:p>
        </w:tc>
      </w:tr>
      <w:tr w:rsidR="004D7F18" w14:paraId="32B72D0C" w14:textId="77777777" w:rsidTr="002E075C">
        <w:tc>
          <w:tcPr>
            <w:tcW w:w="2405" w:type="dxa"/>
            <w:vAlign w:val="center"/>
          </w:tcPr>
          <w:p w14:paraId="73A67616" w14:textId="64360A0F" w:rsidR="00EF7D50" w:rsidRDefault="00000000" w:rsidP="00BD54B3">
            <w:pPr>
              <w:pStyle w:val="NewNew"/>
              <w:spacing w:line="360" w:lineRule="auto"/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参与机构名称</w:t>
            </w:r>
            <w:r w:rsidR="00EF7D50"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（排名不分先后）</w:t>
            </w:r>
          </w:p>
        </w:tc>
        <w:tc>
          <w:tcPr>
            <w:tcW w:w="7557" w:type="dxa"/>
          </w:tcPr>
          <w:p w14:paraId="4455AC16" w14:textId="793D041A" w:rsidR="004D7F18" w:rsidRDefault="00000000">
            <w:pPr>
              <w:spacing w:line="360" w:lineRule="auto"/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华创证券、中信证券、中信期货有限公司、中信建投证券、中国人寿养老保险股份有限公司、浙江浙商证券资产管理有限公司、圆信永丰基金管理有限公司、银河基金管理有限公司、天治基金、泰康资产管理有限责任公司、深圳前海乐赢投资管理有限公司、上海中兰私募基金管理有限公司、上海五地私募基金管理有限公司、上海明河投资管理有限公司、上海冲积资产管理中心（有限合伙）、睿策投资管理有限公司、谦璞投资、平安基金管理有限公司、康曼德资本管理有限公司、开源证券（自营）、巨杉（上海）资产管理有限公司、交银施罗德基金管理有限公司、建信理财有限责任公司、华夏基金管理有限公司、华夏东方养老资产管理有限公司、华宝基金管理有限公司、红思客资产管理(北京)有限责任公司、海富通基金管理有限公司、国信证券证券投资部、国投证券资产管理有限公司、广发证券资产管理（广东）、光大证券股份有限公司自营、HBM Partners Hong Kong Limited</w:t>
            </w:r>
            <w:r w:rsidR="00491F28"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。</w:t>
            </w:r>
          </w:p>
        </w:tc>
      </w:tr>
      <w:tr w:rsidR="004D7F18" w14:paraId="392BA333" w14:textId="77777777" w:rsidTr="002E075C">
        <w:tc>
          <w:tcPr>
            <w:tcW w:w="2405" w:type="dxa"/>
            <w:vAlign w:val="center"/>
          </w:tcPr>
          <w:p w14:paraId="384801BF" w14:textId="77777777" w:rsidR="004D7F18" w:rsidRDefault="00000000">
            <w:pPr>
              <w:pStyle w:val="NewNew"/>
              <w:spacing w:line="360" w:lineRule="auto"/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时间</w:t>
            </w:r>
          </w:p>
        </w:tc>
        <w:tc>
          <w:tcPr>
            <w:tcW w:w="7557" w:type="dxa"/>
          </w:tcPr>
          <w:p w14:paraId="3D77D4CD" w14:textId="77777777" w:rsidR="004D7F18" w:rsidRDefault="00000000">
            <w:pPr>
              <w:pStyle w:val="NewNew"/>
              <w:spacing w:line="360" w:lineRule="auto"/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2026年8月27日（周四）10：00-11：00</w:t>
            </w:r>
          </w:p>
        </w:tc>
      </w:tr>
      <w:tr w:rsidR="004D7F18" w14:paraId="5CAB8E09" w14:textId="77777777" w:rsidTr="002E075C">
        <w:tc>
          <w:tcPr>
            <w:tcW w:w="2405" w:type="dxa"/>
            <w:vAlign w:val="center"/>
          </w:tcPr>
          <w:p w14:paraId="5A20B67D" w14:textId="77777777" w:rsidR="004D7F18" w:rsidRDefault="00000000">
            <w:pPr>
              <w:pStyle w:val="NewNew"/>
              <w:spacing w:line="360" w:lineRule="auto"/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地点</w:t>
            </w:r>
            <w:r>
              <w:rPr>
                <w:rFonts w:ascii="宋体" w:hAnsi="宋体"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方式</w:t>
            </w:r>
          </w:p>
        </w:tc>
        <w:tc>
          <w:tcPr>
            <w:tcW w:w="7557" w:type="dxa"/>
          </w:tcPr>
          <w:p w14:paraId="3405C6E2" w14:textId="34D342A5" w:rsidR="004D7F18" w:rsidRDefault="00F118DD">
            <w:pPr>
              <w:pStyle w:val="NewNew"/>
              <w:spacing w:line="360" w:lineRule="auto"/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</w:pPr>
            <w:r>
              <w:rPr>
                <w:rFonts w:hint="eastAsia"/>
                <w:sz w:val="24"/>
              </w:rPr>
              <w:t>线上电话会议</w:t>
            </w:r>
          </w:p>
        </w:tc>
      </w:tr>
      <w:tr w:rsidR="004D7F18" w14:paraId="34B6D0A0" w14:textId="77777777" w:rsidTr="002E075C">
        <w:tc>
          <w:tcPr>
            <w:tcW w:w="2405" w:type="dxa"/>
            <w:vAlign w:val="center"/>
          </w:tcPr>
          <w:p w14:paraId="3C74E97A" w14:textId="77777777" w:rsidR="004D7F18" w:rsidRDefault="00000000">
            <w:pPr>
              <w:pStyle w:val="NewNew"/>
              <w:spacing w:line="360" w:lineRule="auto"/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上市公司接待人员</w:t>
            </w:r>
          </w:p>
        </w:tc>
        <w:tc>
          <w:tcPr>
            <w:tcW w:w="7557" w:type="dxa"/>
          </w:tcPr>
          <w:p w14:paraId="2DBC3475" w14:textId="77777777" w:rsidR="004D7F18" w:rsidRDefault="00000000">
            <w:pPr>
              <w:spacing w:line="360" w:lineRule="auto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董事长、总经理：苏恩本</w:t>
            </w:r>
          </w:p>
          <w:p w14:paraId="691E456E" w14:textId="77777777" w:rsidR="004D7F18" w:rsidRDefault="00000000">
            <w:pPr>
              <w:spacing w:line="360" w:lineRule="auto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董事会秘书：汤旭</w:t>
            </w:r>
          </w:p>
          <w:p w14:paraId="1D5674D5" w14:textId="77777777" w:rsidR="004D7F18" w:rsidRDefault="00000000">
            <w:pPr>
              <w:pStyle w:val="NewNew"/>
              <w:spacing w:line="360" w:lineRule="auto"/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财务总监：倪文</w:t>
            </w:r>
          </w:p>
        </w:tc>
      </w:tr>
      <w:tr w:rsidR="00107145" w14:paraId="1D0FCFA8" w14:textId="77777777" w:rsidTr="00002D27">
        <w:trPr>
          <w:trHeight w:val="3138"/>
        </w:trPr>
        <w:tc>
          <w:tcPr>
            <w:tcW w:w="9962" w:type="dxa"/>
            <w:gridSpan w:val="2"/>
            <w:vAlign w:val="center"/>
          </w:tcPr>
          <w:p w14:paraId="2E76E3A9" w14:textId="095A7059" w:rsidR="00107145" w:rsidRPr="002E075C" w:rsidRDefault="00107145" w:rsidP="002E075C">
            <w:pPr>
              <w:spacing w:beforeLines="50" w:before="156" w:afterLines="50" w:after="156" w:line="360" w:lineRule="auto"/>
              <w:ind w:firstLineChars="200" w:firstLine="643"/>
              <w:jc w:val="center"/>
              <w:rPr>
                <w:rFonts w:ascii="宋体"/>
                <w:b/>
                <w:sz w:val="32"/>
                <w:szCs w:val="32"/>
              </w:rPr>
            </w:pPr>
            <w:r w:rsidRPr="002E075C">
              <w:rPr>
                <w:rFonts w:ascii="宋体" w:hint="eastAsia"/>
                <w:b/>
                <w:sz w:val="32"/>
                <w:szCs w:val="32"/>
              </w:rPr>
              <w:lastRenderedPageBreak/>
              <w:t>投资者关系活动主要内容介绍</w:t>
            </w:r>
          </w:p>
          <w:p w14:paraId="70ECC037" w14:textId="33A57D98" w:rsidR="00107145" w:rsidRDefault="00107145" w:rsidP="00FB1F76">
            <w:pPr>
              <w:spacing w:line="360" w:lineRule="auto"/>
              <w:ind w:firstLineChars="200" w:firstLine="480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2026年8月2</w:t>
            </w:r>
            <w:r>
              <w:rPr>
                <w:rFonts w:ascii="宋体" w:hint="eastAsia"/>
                <w:sz w:val="24"/>
              </w:rPr>
              <w:t>7</w:t>
            </w:r>
            <w:r>
              <w:rPr>
                <w:rFonts w:ascii="宋体"/>
                <w:sz w:val="24"/>
              </w:rPr>
              <w:t>日，</w:t>
            </w:r>
            <w:r w:rsidR="005B3948">
              <w:rPr>
                <w:rFonts w:ascii="宋体" w:hint="eastAsia"/>
                <w:sz w:val="24"/>
              </w:rPr>
              <w:t>基蛋生物科技股份有限公司（以下简称“公司”）</w:t>
            </w:r>
            <w:r>
              <w:rPr>
                <w:rFonts w:ascii="宋体"/>
                <w:sz w:val="24"/>
              </w:rPr>
              <w:t>披露了《2026年半年度报告》，针对2026年上半年经营情况交流内容如下：</w:t>
            </w:r>
          </w:p>
          <w:p w14:paraId="31709ECB" w14:textId="77777777" w:rsidR="00107145" w:rsidRDefault="00107145" w:rsidP="002E075C">
            <w:pPr>
              <w:spacing w:line="360" w:lineRule="auto"/>
              <w:ind w:firstLineChars="200" w:firstLine="482"/>
              <w:rPr>
                <w:rFonts w:ascii="宋体" w:hAnsi="宋体" w:cs="宋体" w:hint="eastAsia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一、公司2026年半年度经营情况简介</w:t>
            </w:r>
          </w:p>
          <w:p w14:paraId="17338117" w14:textId="3D0D9F68" w:rsidR="00107145" w:rsidRPr="002E075C" w:rsidRDefault="00EF0762" w:rsidP="002E075C">
            <w:pPr>
              <w:pStyle w:val="Style6"/>
              <w:spacing w:line="360" w:lineRule="auto"/>
              <w:ind w:firstLine="482"/>
              <w:rPr>
                <w:rFonts w:ascii="宋体" w:hAnsi="宋体" w:cs="宋体" w:hint="eastAsia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（一）</w:t>
            </w:r>
            <w:r w:rsidR="00107145" w:rsidRPr="002E075C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经营业绩概览</w:t>
            </w:r>
          </w:p>
          <w:p w14:paraId="7FF23E54" w14:textId="05E3C4FC" w:rsidR="00107145" w:rsidRDefault="00107145" w:rsidP="002E075C">
            <w:pPr>
              <w:pStyle w:val="Style6"/>
              <w:spacing w:line="360" w:lineRule="auto"/>
              <w:ind w:firstLine="480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2026年上半年，公司实现营业收入5.55亿元，同比增长8.32%；</w:t>
            </w:r>
            <w:r w:rsidR="00EF0762" w:rsidRPr="00EF0762">
              <w:rPr>
                <w:rFonts w:ascii="宋体" w:hAnsi="宋体" w:cs="宋体"/>
                <w:sz w:val="24"/>
                <w:szCs w:val="24"/>
              </w:rPr>
              <w:t>归属于上市公司股东的净利润</w:t>
            </w:r>
            <w:r>
              <w:rPr>
                <w:rFonts w:ascii="宋体" w:hAnsi="宋体" w:cs="宋体" w:hint="eastAsia"/>
                <w:sz w:val="24"/>
                <w:szCs w:val="24"/>
              </w:rPr>
              <w:t>1.84亿元，同比增长69.37%；</w:t>
            </w:r>
            <w:r w:rsidR="00EF0762" w:rsidRPr="00EF0762">
              <w:rPr>
                <w:rFonts w:ascii="宋体" w:hAnsi="宋体" w:cs="宋体"/>
                <w:sz w:val="24"/>
                <w:szCs w:val="24"/>
              </w:rPr>
              <w:t>归属于上市公司股东的扣除非经常性损益的净利润</w:t>
            </w:r>
            <w:r>
              <w:rPr>
                <w:rFonts w:ascii="宋体" w:hAnsi="宋体" w:cs="宋体" w:hint="eastAsia"/>
                <w:sz w:val="24"/>
                <w:szCs w:val="24"/>
              </w:rPr>
              <w:t>1.18亿元，同比增长26.63%；</w:t>
            </w:r>
            <w:r w:rsidR="00EF0762" w:rsidRPr="00EF0762">
              <w:rPr>
                <w:rFonts w:ascii="宋体" w:hAnsi="宋体" w:cs="宋体"/>
                <w:sz w:val="24"/>
                <w:szCs w:val="24"/>
              </w:rPr>
              <w:t>经营活动产生的现金流量净额</w:t>
            </w:r>
            <w:r>
              <w:rPr>
                <w:rFonts w:ascii="宋体" w:hAnsi="宋体" w:cs="宋体" w:hint="eastAsia"/>
                <w:sz w:val="24"/>
                <w:szCs w:val="24"/>
              </w:rPr>
              <w:t>1.89亿元，同比增长28.15%。利润指标与经营现金流同步增长，盈利质量持续提升。</w:t>
            </w:r>
          </w:p>
          <w:p w14:paraId="7E91BFC9" w14:textId="0030B8DA" w:rsidR="00107145" w:rsidRPr="002E075C" w:rsidRDefault="00EF0762" w:rsidP="002E075C">
            <w:pPr>
              <w:pStyle w:val="Style6"/>
              <w:spacing w:line="360" w:lineRule="auto"/>
              <w:ind w:firstLine="482"/>
              <w:rPr>
                <w:rFonts w:ascii="宋体" w:hAnsi="宋体" w:cs="宋体" w:hint="eastAsia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（二）</w:t>
            </w:r>
            <w:r w:rsidR="00107145" w:rsidRPr="002E075C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经营情况讨论与分析</w:t>
            </w:r>
          </w:p>
          <w:p w14:paraId="5831FBA4" w14:textId="74B681D3" w:rsidR="00107145" w:rsidRDefault="00107145" w:rsidP="00FB1F76">
            <w:pPr>
              <w:pStyle w:val="Style6"/>
              <w:spacing w:line="360" w:lineRule="auto"/>
              <w:ind w:firstLine="480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2026年上半年，公司自产产品收入5.01亿元，同比增长11.37%；综合毛利率69.09%；利润总额2.05亿元，同比增长85.24%；基本每股收益0.36元</w:t>
            </w:r>
            <w:r w:rsidR="009A7D41">
              <w:rPr>
                <w:rFonts w:ascii="宋体" w:hAnsi="宋体" w:cs="宋体" w:hint="eastAsia"/>
                <w:sz w:val="24"/>
                <w:szCs w:val="24"/>
              </w:rPr>
              <w:t>/股</w:t>
            </w:r>
            <w:r>
              <w:rPr>
                <w:rFonts w:ascii="宋体" w:hAnsi="宋体" w:cs="宋体" w:hint="eastAsia"/>
                <w:sz w:val="24"/>
                <w:szCs w:val="24"/>
              </w:rPr>
              <w:t>，同比增长71.43%；</w:t>
            </w:r>
            <w:r w:rsidR="00DD73D2" w:rsidRPr="00DD73D2">
              <w:rPr>
                <w:rFonts w:ascii="宋体" w:hAnsi="宋体" w:cs="宋体"/>
                <w:sz w:val="24"/>
                <w:szCs w:val="24"/>
              </w:rPr>
              <w:t>加权平均净资产收益率</w:t>
            </w:r>
            <w:r>
              <w:rPr>
                <w:rFonts w:ascii="宋体" w:hAnsi="宋体" w:cs="宋体" w:hint="eastAsia"/>
                <w:sz w:val="24"/>
                <w:szCs w:val="24"/>
              </w:rPr>
              <w:t>为6.42%，同比</w:t>
            </w:r>
            <w:r w:rsidR="00851248">
              <w:rPr>
                <w:rFonts w:ascii="宋体" w:hAnsi="宋体" w:cs="宋体" w:hint="eastAsia"/>
                <w:sz w:val="24"/>
                <w:szCs w:val="24"/>
              </w:rPr>
              <w:t>增加</w:t>
            </w:r>
            <w:r>
              <w:rPr>
                <w:rFonts w:ascii="宋体" w:hAnsi="宋体" w:cs="宋体" w:hint="eastAsia"/>
                <w:sz w:val="24"/>
                <w:szCs w:val="24"/>
              </w:rPr>
              <w:t>2.34个百分点。</w:t>
            </w:r>
          </w:p>
          <w:p w14:paraId="210208C9" w14:textId="00E8AD5A" w:rsidR="00107145" w:rsidRPr="002E075C" w:rsidRDefault="00107145" w:rsidP="002E075C">
            <w:pPr>
              <w:pStyle w:val="Style6"/>
              <w:spacing w:line="360" w:lineRule="auto"/>
              <w:ind w:firstLine="480"/>
              <w:rPr>
                <w:rFonts w:ascii="宋体" w:hAnsi="宋体" w:cs="宋体" w:hint="eastAsia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公司聚焦常规业务，持续优化业务结构。</w:t>
            </w:r>
            <w:r w:rsidR="008D0F99">
              <w:rPr>
                <w:rFonts w:ascii="宋体" w:hAnsi="宋体" w:cs="宋体" w:hint="eastAsia"/>
                <w:sz w:val="24"/>
                <w:szCs w:val="24"/>
              </w:rPr>
              <w:t>2026年上半年，</w:t>
            </w:r>
            <w:r w:rsidRPr="00E1116F">
              <w:rPr>
                <w:rFonts w:ascii="宋体" w:hAnsi="宋体" w:cs="宋体" w:hint="eastAsia"/>
                <w:sz w:val="24"/>
                <w:szCs w:val="24"/>
              </w:rPr>
              <w:t>P</w:t>
            </w:r>
            <w:r>
              <w:rPr>
                <w:rFonts w:ascii="宋体" w:hAnsi="宋体" w:cs="宋体" w:hint="eastAsia"/>
                <w:sz w:val="24"/>
                <w:szCs w:val="24"/>
              </w:rPr>
              <w:t>OCT业务稳中有进，</w:t>
            </w:r>
            <w:r w:rsidR="00D52D0E">
              <w:rPr>
                <w:rFonts w:ascii="宋体" w:hAnsi="宋体" w:cs="宋体" w:hint="eastAsia"/>
                <w:sz w:val="24"/>
                <w:szCs w:val="24"/>
              </w:rPr>
              <w:t>实现</w:t>
            </w:r>
            <w:r>
              <w:rPr>
                <w:rFonts w:ascii="宋体" w:hAnsi="宋体" w:cs="宋体" w:hint="eastAsia"/>
                <w:sz w:val="24"/>
                <w:szCs w:val="24"/>
              </w:rPr>
              <w:t>收入2.69亿元，同比增长2.05%，</w:t>
            </w:r>
            <w:proofErr w:type="spellStart"/>
            <w:r>
              <w:rPr>
                <w:rFonts w:ascii="宋体" w:hAnsi="宋体" w:cs="宋体" w:hint="eastAsia"/>
                <w:sz w:val="24"/>
                <w:szCs w:val="24"/>
              </w:rPr>
              <w:t>Getein</w:t>
            </w:r>
            <w:proofErr w:type="spellEnd"/>
            <w:r>
              <w:rPr>
                <w:rFonts w:ascii="宋体" w:hAnsi="宋体" w:cs="宋体" w:hint="eastAsia"/>
                <w:sz w:val="24"/>
                <w:szCs w:val="24"/>
              </w:rPr>
              <w:t xml:space="preserve"> 1160等半自动干式荧光系列国内累计装机近22,000台，</w:t>
            </w:r>
            <w:proofErr w:type="spellStart"/>
            <w:r>
              <w:rPr>
                <w:rFonts w:ascii="宋体" w:hAnsi="宋体" w:cs="宋体" w:hint="eastAsia"/>
                <w:sz w:val="24"/>
                <w:szCs w:val="24"/>
              </w:rPr>
              <w:t>Getein</w:t>
            </w:r>
            <w:proofErr w:type="spellEnd"/>
            <w:r>
              <w:rPr>
                <w:rFonts w:ascii="宋体" w:hAnsi="宋体" w:cs="宋体" w:hint="eastAsia"/>
                <w:sz w:val="24"/>
                <w:szCs w:val="24"/>
              </w:rPr>
              <w:t xml:space="preserve"> 1600等全自动系列国内累计装机装机8,100余台</w:t>
            </w:r>
            <w:r w:rsidR="00B144D6">
              <w:rPr>
                <w:rFonts w:ascii="宋体" w:hAnsi="宋体" w:cs="宋体" w:hint="eastAsia"/>
                <w:sz w:val="24"/>
                <w:szCs w:val="24"/>
              </w:rPr>
              <w:t>；</w:t>
            </w:r>
            <w:r>
              <w:rPr>
                <w:rFonts w:ascii="宋体" w:hAnsi="宋体" w:cs="宋体" w:hint="eastAsia"/>
                <w:sz w:val="24"/>
                <w:szCs w:val="24"/>
              </w:rPr>
              <w:t>化学发光领航转型，</w:t>
            </w:r>
            <w:r w:rsidR="00D37B83">
              <w:rPr>
                <w:rFonts w:ascii="宋体" w:hAnsi="宋体" w:cs="宋体" w:hint="eastAsia"/>
                <w:sz w:val="24"/>
                <w:szCs w:val="24"/>
              </w:rPr>
              <w:t>实现</w:t>
            </w:r>
            <w:r>
              <w:rPr>
                <w:rFonts w:ascii="宋体" w:hAnsi="宋体" w:cs="宋体" w:hint="eastAsia"/>
                <w:sz w:val="24"/>
                <w:szCs w:val="24"/>
              </w:rPr>
              <w:t>收入1.97亿元，同比增长30.74%，占自产产品收入的39.30%；MAGICL 6000/6000i上半年国内外合计装机约530台；Metis 6000全自动生化免疫流水线国内累计装机约250条。</w:t>
            </w:r>
          </w:p>
          <w:p w14:paraId="32CEFC4F" w14:textId="3AC897B7" w:rsidR="00107145" w:rsidRPr="002E075C" w:rsidRDefault="00C12194" w:rsidP="002E075C">
            <w:pPr>
              <w:pStyle w:val="Style6"/>
              <w:spacing w:line="360" w:lineRule="auto"/>
              <w:ind w:firstLine="482"/>
              <w:rPr>
                <w:rFonts w:ascii="宋体" w:hAnsi="宋体" w:cs="宋体" w:hint="eastAsia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（三）</w:t>
            </w:r>
            <w:r w:rsidR="00107145" w:rsidRPr="002E075C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海外业务</w:t>
            </w:r>
          </w:p>
          <w:p w14:paraId="0C25BACB" w14:textId="1356485D" w:rsidR="00107145" w:rsidRDefault="00107145" w:rsidP="002E075C">
            <w:pPr>
              <w:pStyle w:val="Style6"/>
              <w:spacing w:line="360" w:lineRule="auto"/>
              <w:ind w:firstLine="480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2026年上半年海外自产常规产品收入1.09亿元，同比增长50.07%。产品覆盖近130个国家，重点布局欧洲、亚洲、中南美等区域。截至2026年6月30日，公司累计在海外取得近4,600个产品入境许可。公司坚持“一国一策”加属地化建设的运营策略，并同步推进海外投资并购等战略发展举措，共同助力海外业务作为第二增长极加速兑现。</w:t>
            </w:r>
          </w:p>
          <w:p w14:paraId="5C2CF363" w14:textId="06B72735" w:rsidR="00107145" w:rsidRPr="002E075C" w:rsidRDefault="00C12194" w:rsidP="002E075C">
            <w:pPr>
              <w:pStyle w:val="Style6"/>
              <w:spacing w:line="360" w:lineRule="auto"/>
              <w:ind w:firstLine="482"/>
              <w:rPr>
                <w:rFonts w:ascii="宋体" w:hAnsi="宋体" w:cs="宋体" w:hint="eastAsia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（四）</w:t>
            </w:r>
            <w:r w:rsidR="00107145" w:rsidRPr="002E075C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研发创新与核心壁垒</w:t>
            </w:r>
          </w:p>
          <w:p w14:paraId="5601B344" w14:textId="71F8A042" w:rsidR="00107145" w:rsidRDefault="00107145" w:rsidP="002E075C">
            <w:pPr>
              <w:pStyle w:val="Style6"/>
              <w:spacing w:line="360" w:lineRule="auto"/>
              <w:ind w:firstLine="480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2026年上半年研发投入0.87亿元，占</w:t>
            </w:r>
            <w:r w:rsidR="00EC5DFD">
              <w:rPr>
                <w:rFonts w:ascii="宋体" w:hAnsi="宋体" w:cs="宋体" w:hint="eastAsia"/>
                <w:sz w:val="24"/>
                <w:szCs w:val="24"/>
              </w:rPr>
              <w:t>营业收入</w:t>
            </w:r>
            <w:r>
              <w:rPr>
                <w:rFonts w:ascii="宋体" w:hAnsi="宋体" w:cs="宋体" w:hint="eastAsia"/>
                <w:sz w:val="24"/>
                <w:szCs w:val="24"/>
              </w:rPr>
              <w:t>15.74%；累计</w:t>
            </w:r>
            <w:r w:rsidR="00D31B12">
              <w:rPr>
                <w:rFonts w:ascii="宋体" w:hAnsi="宋体" w:cs="宋体" w:hint="eastAsia"/>
                <w:sz w:val="24"/>
                <w:szCs w:val="24"/>
              </w:rPr>
              <w:t>获得</w:t>
            </w:r>
            <w:r>
              <w:rPr>
                <w:rFonts w:ascii="宋体" w:hAnsi="宋体" w:cs="宋体" w:hint="eastAsia"/>
                <w:sz w:val="24"/>
                <w:szCs w:val="24"/>
              </w:rPr>
              <w:t>授权专利406件，其中发明67件、实用新型306件、外观33件；关键原料自给率超过90%；同时，公司</w:t>
            </w:r>
            <w:r w:rsidR="00DA636C">
              <w:rPr>
                <w:rFonts w:ascii="宋体" w:hAnsi="宋体" w:cs="宋体" w:hint="eastAsia"/>
                <w:sz w:val="24"/>
                <w:szCs w:val="24"/>
              </w:rPr>
              <w:t>目前</w:t>
            </w:r>
            <w:r>
              <w:rPr>
                <w:rFonts w:ascii="宋体" w:hAnsi="宋体" w:cs="宋体" w:hint="eastAsia"/>
                <w:sz w:val="24"/>
                <w:szCs w:val="24"/>
              </w:rPr>
              <w:t>规划有产业基地16万平方米，其中二期基地预计年底建成投产。依托现有研发实力与核心技术，公司构建出六大自研自产中心</w:t>
            </w:r>
            <w:r w:rsidR="003677BC">
              <w:rPr>
                <w:rFonts w:ascii="宋体" w:hAnsi="宋体" w:cs="宋体" w:hint="eastAsia"/>
                <w:sz w:val="24"/>
                <w:szCs w:val="24"/>
              </w:rPr>
              <w:t>、</w:t>
            </w:r>
            <w:r>
              <w:rPr>
                <w:rFonts w:ascii="宋体" w:hAnsi="宋体" w:cs="宋体" w:hint="eastAsia"/>
                <w:sz w:val="24"/>
                <w:szCs w:val="24"/>
              </w:rPr>
              <w:t>八大产线产品矩阵与三大解决方案的业务布局，</w:t>
            </w:r>
            <w:r w:rsidRPr="000B4983">
              <w:rPr>
                <w:rFonts w:ascii="宋体" w:hAnsi="宋体" w:cs="宋体"/>
                <w:sz w:val="24"/>
                <w:szCs w:val="24"/>
              </w:rPr>
              <w:t>覆盖体外诊断全</w:t>
            </w:r>
            <w:r w:rsidRPr="000B4983">
              <w:rPr>
                <w:rFonts w:ascii="宋体" w:hAnsi="宋体" w:cs="宋体"/>
                <w:sz w:val="24"/>
                <w:szCs w:val="24"/>
              </w:rPr>
              <w:lastRenderedPageBreak/>
              <w:t>场景</w:t>
            </w:r>
            <w:r>
              <w:rPr>
                <w:rFonts w:ascii="宋体" w:hAnsi="宋体" w:cs="宋体" w:hint="eastAsia"/>
                <w:sz w:val="24"/>
                <w:szCs w:val="24"/>
              </w:rPr>
              <w:t>。</w:t>
            </w:r>
          </w:p>
          <w:p w14:paraId="5C5B9E5F" w14:textId="7867A884" w:rsidR="00107145" w:rsidRPr="002E075C" w:rsidRDefault="00762E52" w:rsidP="002E075C">
            <w:pPr>
              <w:pStyle w:val="Style6"/>
              <w:spacing w:line="360" w:lineRule="auto"/>
              <w:ind w:firstLine="482"/>
              <w:rPr>
                <w:rFonts w:ascii="宋体" w:hAnsi="宋体" w:cs="宋体" w:hint="eastAsia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（五）</w:t>
            </w:r>
            <w:r w:rsidR="00107145" w:rsidRPr="002E075C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财务质量与表现</w:t>
            </w:r>
          </w:p>
          <w:p w14:paraId="49012565" w14:textId="2A17C9EC" w:rsidR="00107145" w:rsidRDefault="00107145" w:rsidP="002E075C">
            <w:pPr>
              <w:pStyle w:val="Style6"/>
              <w:spacing w:line="360" w:lineRule="auto"/>
              <w:ind w:firstLine="480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公司现金流与资产负债结构持续优化。</w:t>
            </w:r>
            <w:r w:rsidR="00762E52" w:rsidRPr="00762E52">
              <w:rPr>
                <w:rFonts w:ascii="宋体" w:hAnsi="宋体" w:cs="宋体"/>
                <w:sz w:val="24"/>
                <w:szCs w:val="24"/>
              </w:rPr>
              <w:t>经营活动产生的现金流量净额</w:t>
            </w:r>
            <w:r>
              <w:rPr>
                <w:rFonts w:ascii="宋体" w:hAnsi="宋体" w:cs="宋体" w:hint="eastAsia"/>
                <w:sz w:val="24"/>
                <w:szCs w:val="24"/>
              </w:rPr>
              <w:t>占</w:t>
            </w:r>
            <w:r w:rsidR="00762E52">
              <w:rPr>
                <w:rFonts w:ascii="宋体" w:hAnsi="宋体" w:cs="宋体" w:hint="eastAsia"/>
                <w:sz w:val="24"/>
                <w:szCs w:val="24"/>
              </w:rPr>
              <w:t>营业收入的比例</w:t>
            </w:r>
            <w:r>
              <w:rPr>
                <w:rFonts w:ascii="宋体" w:hAnsi="宋体" w:cs="宋体" w:hint="eastAsia"/>
                <w:sz w:val="24"/>
                <w:szCs w:val="24"/>
              </w:rPr>
              <w:t>逐年提升，2026年上半年</w:t>
            </w:r>
            <w:r w:rsidR="0036472F">
              <w:rPr>
                <w:rFonts w:ascii="宋体" w:hAnsi="宋体" w:cs="宋体" w:hint="eastAsia"/>
                <w:sz w:val="24"/>
                <w:szCs w:val="24"/>
              </w:rPr>
              <w:t>，</w:t>
            </w:r>
            <w:r w:rsidR="0036472F" w:rsidRPr="0036472F">
              <w:rPr>
                <w:rFonts w:ascii="宋体" w:hAnsi="宋体" w:cs="宋体"/>
                <w:sz w:val="24"/>
                <w:szCs w:val="24"/>
              </w:rPr>
              <w:t>经营活动产生的现金流量净额</w:t>
            </w:r>
            <w:r w:rsidR="005F7EE4">
              <w:rPr>
                <w:rFonts w:ascii="宋体" w:hAnsi="宋体" w:cs="宋体" w:hint="eastAsia"/>
                <w:sz w:val="24"/>
                <w:szCs w:val="24"/>
              </w:rPr>
              <w:t>为</w:t>
            </w:r>
            <w:r>
              <w:rPr>
                <w:rFonts w:ascii="宋体" w:hAnsi="宋体" w:cs="宋体" w:hint="eastAsia"/>
                <w:sz w:val="24"/>
                <w:szCs w:val="24"/>
              </w:rPr>
              <w:t>1.89亿元，同比增长28.15%</w:t>
            </w:r>
            <w:r w:rsidR="00C762BB">
              <w:rPr>
                <w:rFonts w:ascii="宋体" w:hAnsi="宋体" w:cs="宋体" w:hint="eastAsia"/>
                <w:sz w:val="24"/>
                <w:szCs w:val="24"/>
              </w:rPr>
              <w:t>；</w:t>
            </w:r>
            <w:r>
              <w:rPr>
                <w:rFonts w:ascii="宋体" w:hAnsi="宋体" w:cs="宋体" w:hint="eastAsia"/>
                <w:sz w:val="24"/>
                <w:szCs w:val="24"/>
              </w:rPr>
              <w:t>货币资金3.71亿元，同比增长18.08%，现金储备充裕；应收账款3.33亿元，同比下降7.45%；短期借款3.40亿元，同比下降29.18%；资产负债率约19.21%，财务结构较为稳健。</w:t>
            </w:r>
          </w:p>
          <w:p w14:paraId="2C9F0D6F" w14:textId="0AE6EA69" w:rsidR="00107145" w:rsidRPr="002E075C" w:rsidRDefault="00A06313" w:rsidP="002E075C">
            <w:pPr>
              <w:pStyle w:val="Style6"/>
              <w:spacing w:line="360" w:lineRule="auto"/>
              <w:ind w:firstLine="482"/>
              <w:rPr>
                <w:rFonts w:ascii="宋体" w:hAnsi="宋体" w:cs="宋体" w:hint="eastAsia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（六）</w:t>
            </w:r>
            <w:r w:rsidR="00107145" w:rsidRPr="002E075C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股东回报与回购进展</w:t>
            </w:r>
          </w:p>
          <w:p w14:paraId="3B867EAA" w14:textId="272E73B9" w:rsidR="00107145" w:rsidRDefault="00107145" w:rsidP="002E075C">
            <w:pPr>
              <w:pStyle w:val="Style6"/>
              <w:spacing w:line="360" w:lineRule="auto"/>
              <w:ind w:firstLine="480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2026年中期分红预案为每10股派1.5元</w:t>
            </w:r>
            <w:r w:rsidR="00F26832">
              <w:rPr>
                <w:rFonts w:ascii="宋体" w:hAnsi="宋体" w:cs="宋体" w:hint="eastAsia"/>
                <w:sz w:val="24"/>
                <w:szCs w:val="24"/>
              </w:rPr>
              <w:t>（含税）</w:t>
            </w:r>
            <w:r>
              <w:rPr>
                <w:rFonts w:ascii="宋体" w:hAnsi="宋体" w:cs="宋体" w:hint="eastAsia"/>
                <w:sz w:val="24"/>
                <w:szCs w:val="24"/>
              </w:rPr>
              <w:t>，2026年半年度分红比例达41.22%，历史分红比例逐年提升。2026年7月公告回购方案，回购金额5,000万至1亿元，回购价格不超过12.51元/股，回购用于员工持股计划或股权激励，目前已进入实施阶段。</w:t>
            </w:r>
          </w:p>
          <w:p w14:paraId="34A1A817" w14:textId="77777777" w:rsidR="00107145" w:rsidRDefault="00107145" w:rsidP="002E075C">
            <w:pPr>
              <w:spacing w:line="360" w:lineRule="auto"/>
              <w:ind w:firstLineChars="200" w:firstLine="482"/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二、投资者问答情况</w:t>
            </w:r>
          </w:p>
          <w:p w14:paraId="390E37B9" w14:textId="77777777" w:rsidR="00107145" w:rsidRDefault="00107145" w:rsidP="00FB1F76">
            <w:pPr>
              <w:pStyle w:val="FirstParagraph"/>
              <w:spacing w:before="0" w:after="0" w:line="360" w:lineRule="auto"/>
              <w:ind w:firstLineChars="200" w:firstLine="482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问题1：国内IVD行业整体承压的背景下，公司上半年发光业务增速较快的原因是什么？未来业绩增长的持续性如何判断？</w:t>
            </w:r>
          </w:p>
          <w:p w14:paraId="717C9610" w14:textId="25C224C6" w:rsidR="00107145" w:rsidRDefault="00107145" w:rsidP="002E075C">
            <w:pPr>
              <w:pStyle w:val="a5"/>
              <w:spacing w:before="0" w:after="0" w:line="360" w:lineRule="auto"/>
              <w:ind w:firstLineChars="200" w:firstLine="480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回复：2026年上半年，IVD行业承压情况较2024、2025年有所缓解，不少IVD公司业绩逐步企稳回升，公司业绩也明显回升。上半年公司化学发光收入占自产产品收入的39.30%，发光业务持续增长的原因主要有三点：一是小型发光在市场上已建立品牌口碑，目前竞争力较强；二是流水线产品逐步产生效益；三是海外业务发展较快。未来化学发光业务将保持增长态势。</w:t>
            </w:r>
          </w:p>
          <w:p w14:paraId="5395C631" w14:textId="77777777" w:rsidR="00107145" w:rsidRDefault="00107145" w:rsidP="00FB1F76">
            <w:pPr>
              <w:pStyle w:val="a5"/>
              <w:spacing w:before="0" w:after="0" w:line="360" w:lineRule="auto"/>
              <w:ind w:firstLineChars="200" w:firstLine="482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问题2：检测服务收费立项指南正式落地，公司对后续落地节奏有何判断？该政策对公司有哪些影响，公司将如何应对？</w:t>
            </w:r>
          </w:p>
          <w:p w14:paraId="7F2B88DD" w14:textId="3F2B69B3" w:rsidR="00107145" w:rsidRDefault="00107145" w:rsidP="002E075C">
            <w:pPr>
              <w:pStyle w:val="a5"/>
              <w:spacing w:before="0" w:after="0" w:line="360" w:lineRule="auto"/>
              <w:ind w:firstLineChars="200" w:firstLine="480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回复：目前</w:t>
            </w:r>
            <w:r w:rsidRPr="00D62CB2">
              <w:rPr>
                <w:rFonts w:ascii="宋体" w:hAnsi="宋体" w:cs="宋体"/>
                <w:sz w:val="24"/>
                <w:szCs w:val="24"/>
              </w:rPr>
              <w:t>《检验类医疗服务价格项目立项指南（试行）》</w:t>
            </w:r>
            <w:r>
              <w:rPr>
                <w:rFonts w:ascii="宋体" w:hAnsi="宋体" w:cs="宋体" w:hint="eastAsia"/>
                <w:sz w:val="24"/>
                <w:szCs w:val="24"/>
              </w:rPr>
              <w:t>的原则已经确定，后续将由各省份出台具体收费细则。政策影响存在两面性：不利影响方面，干式生化原有的加收政策取消，将对公司该业务产生影响；同时检测项目收费设置了梯度折扣，原有多项检测的收费将有所下降。有利影响方面，原有多项检测的限制放开，可能带来检测量的提升，具体影响有待观察。最终影响程度取决于各地收费细则的落地情况，若收费水平和原有情况基本持平，整体影响不会太大；若收费大幅下降，将产生较大影响，</w:t>
            </w:r>
            <w:r w:rsidRPr="00753090">
              <w:rPr>
                <w:rFonts w:ascii="宋体" w:hAnsi="宋体" w:cs="宋体"/>
                <w:sz w:val="24"/>
                <w:szCs w:val="24"/>
              </w:rPr>
              <w:t>公司将持续跟踪政策进展并适时评估应对，相关影响仍需待政策落地后进一步判断</w:t>
            </w:r>
            <w:r>
              <w:rPr>
                <w:rFonts w:ascii="宋体" w:hAnsi="宋体" w:cs="宋体" w:hint="eastAsia"/>
                <w:sz w:val="24"/>
                <w:szCs w:val="24"/>
              </w:rPr>
              <w:t>。</w:t>
            </w:r>
          </w:p>
          <w:p w14:paraId="442E8D4E" w14:textId="7F82C37A" w:rsidR="00107145" w:rsidRDefault="00107145" w:rsidP="00FB1F76">
            <w:pPr>
              <w:pStyle w:val="a5"/>
              <w:spacing w:before="0" w:after="0" w:line="360" w:lineRule="auto"/>
              <w:ind w:firstLineChars="200" w:firstLine="482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问题3：POCT和发光产品线存在项目重合、场景竞争的情况，公司如何平衡两条产品线的关系？</w:t>
            </w:r>
          </w:p>
          <w:p w14:paraId="48EFCF77" w14:textId="3E4ECF52" w:rsidR="00107145" w:rsidRDefault="00107145" w:rsidP="002E075C">
            <w:pPr>
              <w:pStyle w:val="a5"/>
              <w:spacing w:before="0" w:after="0" w:line="360" w:lineRule="auto"/>
              <w:ind w:firstLineChars="200" w:firstLine="480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回复：两条产品线虽有部分项目重合，但适用场景差异明显：POCT的特点是使用方便简</w:t>
            </w:r>
            <w:r>
              <w:rPr>
                <w:rFonts w:ascii="宋体" w:hAnsi="宋体" w:cs="宋体" w:hint="eastAsia"/>
                <w:sz w:val="24"/>
                <w:szCs w:val="24"/>
              </w:rPr>
              <w:lastRenderedPageBreak/>
              <w:t>单，适用于临床急诊、临床科室以及中低级医院，这类场景检测量不大，更需要便捷的检测方法；化学发光的特点是检测结果更加精准，适用于二级及以上医院的检验科场景，两条产品线各有对应的市场，不存在明显的内部竞争。POCT业务前两年下降比较明显，2026年上半年已开始实现略有增长。</w:t>
            </w:r>
          </w:p>
          <w:p w14:paraId="32F6D1D0" w14:textId="3B3D43E0" w:rsidR="00107145" w:rsidRDefault="00107145" w:rsidP="00FB1F76">
            <w:pPr>
              <w:pStyle w:val="a5"/>
              <w:spacing w:before="0" w:after="0" w:line="360" w:lineRule="auto"/>
              <w:ind w:firstLineChars="200" w:firstLine="482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问题4：公司海外业务近年增长较快，海外业务增长的持续性如何，未来的市场空间有多大？</w:t>
            </w:r>
          </w:p>
          <w:p w14:paraId="41DBDA46" w14:textId="6E3ABD80" w:rsidR="00107145" w:rsidRDefault="00107145" w:rsidP="002E075C">
            <w:pPr>
              <w:pStyle w:val="a5"/>
              <w:spacing w:before="0" w:after="0" w:line="360" w:lineRule="auto"/>
              <w:ind w:firstLineChars="200" w:firstLine="480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回复：公司海外业务此前有一定基础，但以POCT为主，未作为核心战略。近些年随着公司产品线完善，目前已拥</w:t>
            </w:r>
            <w:r w:rsidRPr="00B81958">
              <w:rPr>
                <w:rFonts w:ascii="宋体" w:hAnsi="宋体" w:cs="宋体" w:hint="eastAsia"/>
                <w:sz w:val="24"/>
                <w:szCs w:val="24"/>
              </w:rPr>
              <w:t>有</w:t>
            </w:r>
            <w:r w:rsidRPr="002E075C">
              <w:rPr>
                <w:rFonts w:ascii="宋体" w:hAnsi="宋体" w:cs="宋体" w:hint="eastAsia"/>
                <w:sz w:val="24"/>
                <w:szCs w:val="24"/>
              </w:rPr>
              <w:t>POCT、生化检测、化学发光、流水线、分子诊断、血栓与止血、血细胞分析、微生物共</w:t>
            </w:r>
            <w:r w:rsidR="00AF28AF">
              <w:rPr>
                <w:rFonts w:ascii="宋体" w:hAnsi="宋体" w:cs="宋体" w:hint="eastAsia"/>
                <w:sz w:val="24"/>
                <w:szCs w:val="24"/>
              </w:rPr>
              <w:t>八</w:t>
            </w:r>
            <w:r w:rsidRPr="002E075C">
              <w:rPr>
                <w:rFonts w:ascii="宋体" w:hAnsi="宋体" w:cs="宋体" w:hint="eastAsia"/>
                <w:sz w:val="24"/>
                <w:szCs w:val="24"/>
              </w:rPr>
              <w:t>大产线</w:t>
            </w:r>
            <w:r w:rsidRPr="00B81958">
              <w:rPr>
                <w:rFonts w:ascii="宋体" w:hAnsi="宋体" w:cs="宋体" w:hint="eastAsia"/>
                <w:sz w:val="24"/>
                <w:szCs w:val="24"/>
              </w:rPr>
              <w:t>，因此将海外业务提升为公司重点战略，加大投入后取得了较好成效</w:t>
            </w:r>
            <w:r w:rsidR="00325EDE">
              <w:rPr>
                <w:rFonts w:ascii="宋体" w:hAnsi="宋体" w:cs="宋体" w:hint="eastAsia"/>
                <w:sz w:val="24"/>
                <w:szCs w:val="24"/>
              </w:rPr>
              <w:t>。</w:t>
            </w:r>
            <w:r w:rsidRPr="00B81958">
              <w:rPr>
                <w:rFonts w:ascii="宋体" w:hAnsi="宋体" w:cs="宋体" w:hint="eastAsia"/>
                <w:sz w:val="24"/>
                <w:szCs w:val="24"/>
              </w:rPr>
              <w:t>2025年海外</w:t>
            </w:r>
            <w:r w:rsidRPr="00B81958">
              <w:rPr>
                <w:rFonts w:ascii="宋体" w:hAnsi="宋体" w:cs="宋体"/>
                <w:sz w:val="24"/>
                <w:szCs w:val="24"/>
              </w:rPr>
              <w:t>自产常规</w:t>
            </w:r>
            <w:r w:rsidR="00B155D4">
              <w:rPr>
                <w:rFonts w:ascii="宋体" w:hAnsi="宋体" w:cs="宋体" w:hint="eastAsia"/>
                <w:sz w:val="24"/>
                <w:szCs w:val="24"/>
              </w:rPr>
              <w:t>收入</w:t>
            </w:r>
            <w:r w:rsidRPr="00B81958">
              <w:rPr>
                <w:rFonts w:ascii="宋体" w:hAnsi="宋体" w:cs="宋体"/>
                <w:sz w:val="24"/>
                <w:szCs w:val="24"/>
              </w:rPr>
              <w:t>合计</w:t>
            </w:r>
            <w:r>
              <w:rPr>
                <w:rFonts w:ascii="宋体" w:hAnsi="宋体" w:cs="宋体" w:hint="eastAsia"/>
                <w:sz w:val="24"/>
                <w:szCs w:val="24"/>
              </w:rPr>
              <w:t>实现30%以上的增长，2026年上半年增速达到50%，当前增长趋势良好。未来，</w:t>
            </w:r>
            <w:r w:rsidRPr="00753090">
              <w:rPr>
                <w:rFonts w:ascii="宋体" w:hAnsi="宋体" w:cs="宋体"/>
                <w:sz w:val="24"/>
                <w:szCs w:val="24"/>
              </w:rPr>
              <w:t>公司将持续推进重点市场布局与属地化建设</w:t>
            </w:r>
            <w:r>
              <w:rPr>
                <w:rFonts w:ascii="宋体" w:hAnsi="宋体" w:cs="宋体" w:hint="eastAsia"/>
                <w:sz w:val="24"/>
                <w:szCs w:val="24"/>
              </w:rPr>
              <w:t>。</w:t>
            </w:r>
          </w:p>
          <w:p w14:paraId="2A5194BC" w14:textId="5E84B9CE" w:rsidR="00107145" w:rsidRDefault="00107145" w:rsidP="00FB1F76">
            <w:pPr>
              <w:pStyle w:val="a5"/>
              <w:spacing w:before="0" w:after="0" w:line="360" w:lineRule="auto"/>
              <w:ind w:firstLineChars="200" w:firstLine="482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问题5：公司目前资金较为充足，后续的资金规划、分红规划是怎样的？是否会有外延并购或大额资本开支？</w:t>
            </w:r>
          </w:p>
          <w:p w14:paraId="16C3B9F4" w14:textId="32EEC2D4" w:rsidR="00107145" w:rsidRDefault="00107145" w:rsidP="002E075C">
            <w:pPr>
              <w:pStyle w:val="a5"/>
              <w:spacing w:before="0" w:after="0" w:line="360" w:lineRule="auto"/>
              <w:ind w:firstLineChars="200" w:firstLine="480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回复：公司财务状况良好、现金充足，资金规划主要包括四个方向：一是分红方面，每年保持30%以上的分红比例回报投资者；二是产能建设方面，公司正在推进总建筑面积</w:t>
            </w:r>
            <w:r w:rsidR="004D5517">
              <w:rPr>
                <w:rFonts w:ascii="宋体" w:hAnsi="宋体" w:cs="宋体" w:hint="eastAsia"/>
                <w:sz w:val="24"/>
                <w:szCs w:val="24"/>
              </w:rPr>
              <w:t>逾</w:t>
            </w:r>
            <w:r>
              <w:rPr>
                <w:rFonts w:ascii="宋体" w:hAnsi="宋体" w:cs="宋体" w:hint="eastAsia"/>
                <w:sz w:val="24"/>
                <w:szCs w:val="24"/>
              </w:rPr>
              <w:t>18万平方米的厂区建设，其中一期、二期共12万平方米已建成，一期已入驻，二期2026年底将完成入驻，三期6万平方米正在建设，全部建成后产能和办公空间将得到较大提升；三是加大研发投入；四是为海外市场拓展提供资金支持。</w:t>
            </w:r>
          </w:p>
          <w:p w14:paraId="3460DA90" w14:textId="493DB16B" w:rsidR="00107145" w:rsidRDefault="00107145" w:rsidP="00FB1F76">
            <w:pPr>
              <w:pStyle w:val="a5"/>
              <w:spacing w:before="0" w:after="0" w:line="360" w:lineRule="auto"/>
              <w:ind w:firstLineChars="200" w:firstLine="482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问题</w:t>
            </w:r>
            <w:r w:rsidR="002C3230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6</w:t>
            </w: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：在集采控费、检验立项指南出台的行业背景下，公司做了哪些应对准备，具备哪些竞争优势？</w:t>
            </w:r>
          </w:p>
          <w:p w14:paraId="02AD9272" w14:textId="5CCA6E35" w:rsidR="00107145" w:rsidRDefault="00107145" w:rsidP="002E075C">
            <w:pPr>
              <w:pStyle w:val="a5"/>
              <w:spacing w:before="0" w:after="0" w:line="360" w:lineRule="auto"/>
              <w:ind w:firstLineChars="200" w:firstLine="480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回复：近三年IVD行业生态已发生明显改变，集采降价、禁止设备捆绑投放、整治不规范销售行为等政策推动行业出清，粗放型的经营手段逐步被淘汰。公司和行业内其他企业一样在主动转型适应新的监管环境，更加注重产品质量、技术水平、服务能力以及合规经营，目前适应情况良好，2026年已感受到经营压力较此前有所缓解。</w:t>
            </w:r>
          </w:p>
          <w:p w14:paraId="01479643" w14:textId="58B98EE0" w:rsidR="00107145" w:rsidRDefault="00107145" w:rsidP="00FB1F76">
            <w:pPr>
              <w:pStyle w:val="a5"/>
              <w:spacing w:before="0" w:after="0" w:line="360" w:lineRule="auto"/>
              <w:ind w:firstLineChars="200" w:firstLine="482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问题</w:t>
            </w:r>
            <w:r w:rsidR="002C3230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7</w:t>
            </w: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：目前公司国内业务中涉及集采的收入占比是多少？后续集采持续推进将对业绩产生什么影响？</w:t>
            </w:r>
          </w:p>
          <w:p w14:paraId="7D6CAD4B" w14:textId="2ACCE109" w:rsidR="00107145" w:rsidRDefault="00107145" w:rsidP="002E075C">
            <w:pPr>
              <w:pStyle w:val="a5"/>
              <w:spacing w:before="0" w:after="0" w:line="360" w:lineRule="auto"/>
              <w:ind w:firstLineChars="200" w:firstLine="480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回复：公司大部分业务都涉及集采，其中生化、肿瘤相关检测项目已基本完成全国集采；心肌类项目是公司的核心品类，已有部分省份完成集采，国家卫健委也已大幅下调心肌类主要产品的价格，目前暂无进一步集采的相关消息，</w:t>
            </w:r>
            <w:r w:rsidRPr="003E138A">
              <w:rPr>
                <w:rFonts w:ascii="宋体" w:hAnsi="宋体" w:cs="宋体"/>
                <w:sz w:val="24"/>
                <w:szCs w:val="24"/>
              </w:rPr>
              <w:t>后续集采推进及收费政策落地的时间与幅度尚</w:t>
            </w:r>
            <w:r w:rsidRPr="003E138A">
              <w:rPr>
                <w:rFonts w:ascii="宋体" w:hAnsi="宋体" w:cs="宋体"/>
                <w:sz w:val="24"/>
                <w:szCs w:val="24"/>
              </w:rPr>
              <w:lastRenderedPageBreak/>
              <w:t>不明确，对业绩的具体影响存在不确定性，公司将根据政策进展持续评估</w:t>
            </w:r>
            <w:r w:rsidR="00035B7C">
              <w:rPr>
                <w:rFonts w:ascii="宋体" w:hAnsi="宋体" w:cs="宋体" w:hint="eastAsia"/>
                <w:sz w:val="24"/>
                <w:szCs w:val="24"/>
              </w:rPr>
              <w:t>与应对</w:t>
            </w:r>
            <w:r>
              <w:rPr>
                <w:rFonts w:ascii="宋体" w:hAnsi="宋体" w:cs="宋体" w:hint="eastAsia"/>
                <w:sz w:val="24"/>
                <w:szCs w:val="24"/>
              </w:rPr>
              <w:t>。</w:t>
            </w:r>
          </w:p>
          <w:p w14:paraId="4D41170C" w14:textId="455DE402" w:rsidR="00107145" w:rsidRDefault="00107145" w:rsidP="00FB1F76">
            <w:pPr>
              <w:pStyle w:val="a5"/>
              <w:spacing w:before="0" w:after="0" w:line="360" w:lineRule="auto"/>
              <w:ind w:firstLineChars="200" w:firstLine="482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问题</w:t>
            </w:r>
            <w:r w:rsidR="002C3230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8</w:t>
            </w: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：海外收入中发光、POCT等品类的占比情况如何？海外收入的重点区域有哪些？30%以上的海外收入增速预计能维持多长时间？</w:t>
            </w:r>
          </w:p>
          <w:p w14:paraId="551E0A7D" w14:textId="027AC6FE" w:rsidR="00107145" w:rsidRDefault="00107145" w:rsidP="002E075C">
            <w:pPr>
              <w:pStyle w:val="a5"/>
              <w:spacing w:before="0" w:after="0" w:line="360" w:lineRule="auto"/>
              <w:ind w:firstLineChars="200" w:firstLine="480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回复：当前海外收入结构中，POCT收入是主要来源，占比60%以上；发光业务和国内情况一致，处于高速增长阶段；其次是生化产品，分子、流水线等新兴产品也在逐步推进装机。公司2024年底将海外业务列为重点战略，大力推进海外办事处建设、扩充海外团队，采取多产线齐头并进的策略，目前已取得较好成效。</w:t>
            </w:r>
          </w:p>
          <w:p w14:paraId="6AB2F2D0" w14:textId="243B7BC8" w:rsidR="00107145" w:rsidRDefault="00107145" w:rsidP="00FB1F76">
            <w:pPr>
              <w:pStyle w:val="a5"/>
              <w:spacing w:before="0" w:after="0" w:line="360" w:lineRule="auto"/>
              <w:ind w:firstLineChars="200" w:firstLine="482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问题</w:t>
            </w:r>
            <w:r w:rsidR="002C3230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9</w:t>
            </w: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：当前IVD企业普遍加大出海力度，公司在出海方面有哪些差异化的打法或战略？</w:t>
            </w:r>
          </w:p>
          <w:p w14:paraId="6E19FFF5" w14:textId="77777777" w:rsidR="00107145" w:rsidRDefault="00107145" w:rsidP="002E075C">
            <w:pPr>
              <w:pStyle w:val="a5"/>
              <w:spacing w:before="0" w:after="0" w:line="360" w:lineRule="auto"/>
              <w:ind w:firstLineChars="200" w:firstLine="480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回复：公司出海的核心差异化策略是以POCT和小型化发光作为核心重点产品，这两类产品适配绝大多数国家的市场需求，能够有效提升海外人员的运营效率。生化、血凝、血球、动物检测、分子、流水线等其他产品线，则根据不同国家的市场需求特点针对性布局，比如流水线、分子诊断仅在有相关需求和配套条件的国家推进。</w:t>
            </w:r>
          </w:p>
          <w:p w14:paraId="767D5781" w14:textId="724F057E" w:rsidR="00107145" w:rsidRDefault="00107145" w:rsidP="00FB1F76">
            <w:pPr>
              <w:pStyle w:val="a5"/>
              <w:spacing w:before="0" w:after="0" w:line="360" w:lineRule="auto"/>
              <w:ind w:firstLineChars="200" w:firstLine="482"/>
              <w:rPr>
                <w:rFonts w:ascii="宋体" w:hAnsi="宋体" w:cs="宋体" w:hint="eastAsia"/>
                <w:sz w:val="24"/>
                <w:szCs w:val="24"/>
              </w:rPr>
            </w:pPr>
            <w:bookmarkStart w:id="0" w:name="OLE_LINK1"/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问题1</w:t>
            </w:r>
            <w:r w:rsidR="002C3230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0</w:t>
            </w: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：公司分子诊断平台的研发和注册进展如何？预计何时能形成明显的收入贡献？</w:t>
            </w:r>
          </w:p>
          <w:p w14:paraId="4192F9A8" w14:textId="3195C8DF" w:rsidR="00107145" w:rsidRDefault="00107145" w:rsidP="002E075C">
            <w:pPr>
              <w:pStyle w:val="a5"/>
              <w:spacing w:before="0" w:after="0" w:line="360" w:lineRule="auto"/>
              <w:ind w:firstLineChars="200" w:firstLine="480"/>
              <w:rPr>
                <w:rFonts w:ascii="宋体" w:hAnsi="宋体" w:cs="宋体" w:hint="eastAsia"/>
                <w:sz w:val="24"/>
                <w:szCs w:val="24"/>
              </w:rPr>
            </w:pPr>
            <w:bookmarkStart w:id="1" w:name="OLE_LINK2"/>
            <w:r>
              <w:rPr>
                <w:rFonts w:ascii="宋体" w:hAnsi="宋体" w:cs="宋体" w:hint="eastAsia"/>
                <w:sz w:val="24"/>
                <w:szCs w:val="24"/>
              </w:rPr>
              <w:t>回复：分子诊断是公司除POCT、化学发光之外的第三大重点战略产线，目前研发注册进展顺利。注册方面，目前已取得4张注册证，分别涉及</w:t>
            </w:r>
            <w:r w:rsidRPr="00843AAC">
              <w:rPr>
                <w:rFonts w:ascii="宋体" w:hAnsi="宋体" w:cs="宋体"/>
                <w:sz w:val="24"/>
                <w:szCs w:val="24"/>
              </w:rPr>
              <w:t>甲乙流合胞、肺支肺衣腺病毒</w:t>
            </w:r>
            <w:r>
              <w:rPr>
                <w:rFonts w:ascii="宋体" w:hAnsi="宋体" w:cs="宋体" w:hint="eastAsia"/>
                <w:sz w:val="24"/>
                <w:szCs w:val="24"/>
              </w:rPr>
              <w:t>、HPV、手足口相关检测产品，重点围绕</w:t>
            </w:r>
            <w:r w:rsidRPr="00C05793">
              <w:rPr>
                <w:rFonts w:ascii="宋体" w:hAnsi="宋体" w:cs="宋体"/>
                <w:sz w:val="24"/>
                <w:szCs w:val="24"/>
              </w:rPr>
              <w:t>呼吸道、生殖道、肠道及血源性感染</w:t>
            </w:r>
            <w:r>
              <w:rPr>
                <w:rFonts w:ascii="宋体" w:hAnsi="宋体" w:cs="宋体" w:hint="eastAsia"/>
                <w:sz w:val="24"/>
                <w:szCs w:val="24"/>
              </w:rPr>
              <w:t>检测方向布局。产品迭代方面，第一代产品2025年底推向</w:t>
            </w:r>
            <w:r w:rsidRPr="00CD429E">
              <w:rPr>
                <w:rFonts w:ascii="宋体" w:hAnsi="宋体" w:cs="宋体" w:hint="eastAsia"/>
                <w:sz w:val="24"/>
                <w:szCs w:val="24"/>
              </w:rPr>
              <w:t>市场，目前已装机300多台，20</w:t>
            </w:r>
            <w:r>
              <w:rPr>
                <w:rFonts w:ascii="宋体" w:hAnsi="宋体" w:cs="宋体" w:hint="eastAsia"/>
                <w:sz w:val="24"/>
                <w:szCs w:val="24"/>
              </w:rPr>
              <w:t>26年装机量和使用量预计将高于2025年；第二代多重检测分子平台以复杂样本（</w:t>
            </w:r>
            <w:r w:rsidRPr="00C05793">
              <w:rPr>
                <w:rFonts w:ascii="宋体" w:hAnsi="宋体" w:cs="宋体"/>
                <w:sz w:val="24"/>
                <w:szCs w:val="24"/>
              </w:rPr>
              <w:t>粪便、尿液</w:t>
            </w:r>
            <w:r>
              <w:rPr>
                <w:rFonts w:ascii="宋体" w:hAnsi="宋体" w:cs="宋体" w:hint="eastAsia"/>
                <w:sz w:val="24"/>
                <w:szCs w:val="24"/>
              </w:rPr>
              <w:t>、痰液、血液等样本检测）为核心，预计2027年推向市场；第三代全自动化产品的研发也在正常推进中。</w:t>
            </w:r>
            <w:bookmarkEnd w:id="0"/>
          </w:p>
          <w:bookmarkEnd w:id="1"/>
          <w:p w14:paraId="3E807D5F" w14:textId="6268BCD7" w:rsidR="00107145" w:rsidRDefault="00107145" w:rsidP="00FB1F76">
            <w:pPr>
              <w:pStyle w:val="a5"/>
              <w:spacing w:before="0" w:after="0" w:line="360" w:lineRule="auto"/>
              <w:ind w:firstLineChars="200" w:firstLine="482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问题1</w:t>
            </w:r>
            <w:r w:rsidR="002C3230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1</w:t>
            </w: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：公司如何看待IVD行业当前的竞争格局以及未来的发展趋势？</w:t>
            </w:r>
          </w:p>
          <w:p w14:paraId="7693BEE8" w14:textId="091D5C0F" w:rsidR="00107145" w:rsidRDefault="00107145" w:rsidP="002E075C">
            <w:pPr>
              <w:spacing w:line="360" w:lineRule="auto"/>
              <w:ind w:firstLineChars="200" w:firstLine="480"/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回复：当前国内IVD行业整体仍处于产能过剩状态，竞争格局尚未完全改善，但已经出现积极变化，部分生产厂商陷入经营困难甚至逐步退出，行业正在经历洗牌，市场集中度将进一步提升。目前行业最困难的阶段已经过去，未来两三年仍会存在内卷竞争，但优质企业将逐步崭露头角，获得更好的发展机遇。从需求端来看，虽然阶段性需求可能有所减弱，但全球IVD行业整体需求呈逐步增长的长期趋势，健康检测需求不会减少，公司将继续坚持以质量、技术创新为导向开展经营。</w:t>
            </w:r>
          </w:p>
        </w:tc>
      </w:tr>
      <w:tr w:rsidR="004D7F18" w14:paraId="5572AE04" w14:textId="77777777">
        <w:tc>
          <w:tcPr>
            <w:tcW w:w="2405" w:type="dxa"/>
            <w:vAlign w:val="center"/>
          </w:tcPr>
          <w:p w14:paraId="029E1FCD" w14:textId="77777777" w:rsidR="004D7F18" w:rsidRDefault="00000000">
            <w:pPr>
              <w:pStyle w:val="NewNew"/>
              <w:spacing w:line="360" w:lineRule="auto"/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lastRenderedPageBreak/>
              <w:t>附件清单（如有）</w:t>
            </w:r>
          </w:p>
        </w:tc>
        <w:tc>
          <w:tcPr>
            <w:tcW w:w="7557" w:type="dxa"/>
          </w:tcPr>
          <w:p w14:paraId="07369EB1" w14:textId="77777777" w:rsidR="004D7F18" w:rsidRDefault="00000000">
            <w:pPr>
              <w:pStyle w:val="NewNew"/>
              <w:spacing w:line="360" w:lineRule="auto"/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无</w:t>
            </w:r>
          </w:p>
        </w:tc>
      </w:tr>
      <w:tr w:rsidR="004D7F18" w14:paraId="368D7442" w14:textId="77777777">
        <w:tc>
          <w:tcPr>
            <w:tcW w:w="2405" w:type="dxa"/>
            <w:vAlign w:val="center"/>
          </w:tcPr>
          <w:p w14:paraId="2B8AA563" w14:textId="77777777" w:rsidR="004D7F18" w:rsidRDefault="00000000">
            <w:pPr>
              <w:pStyle w:val="NewNew"/>
              <w:spacing w:line="360" w:lineRule="auto"/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日期</w:t>
            </w:r>
          </w:p>
        </w:tc>
        <w:tc>
          <w:tcPr>
            <w:tcW w:w="7557" w:type="dxa"/>
          </w:tcPr>
          <w:p w14:paraId="00F79EA3" w14:textId="77777777" w:rsidR="004D7F18" w:rsidRDefault="00000000">
            <w:pPr>
              <w:pStyle w:val="NewNew"/>
              <w:spacing w:line="360" w:lineRule="auto"/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2026年8月27日</w:t>
            </w:r>
          </w:p>
        </w:tc>
      </w:tr>
    </w:tbl>
    <w:p w14:paraId="0CA7CCF5" w14:textId="77777777" w:rsidR="004D7F18" w:rsidRDefault="004D7F18"/>
    <w:sectPr w:rsidR="004D7F18">
      <w:pgSz w:w="11906" w:h="16838"/>
      <w:pgMar w:top="1418" w:right="1021" w:bottom="1418" w:left="102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1A1D5" w14:textId="77777777" w:rsidR="0058278F" w:rsidRDefault="0058278F" w:rsidP="000B4983">
      <w:r>
        <w:separator/>
      </w:r>
    </w:p>
  </w:endnote>
  <w:endnote w:type="continuationSeparator" w:id="0">
    <w:p w14:paraId="19EAA316" w14:textId="77777777" w:rsidR="0058278F" w:rsidRDefault="0058278F" w:rsidP="000B4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000E2" w14:textId="77777777" w:rsidR="0058278F" w:rsidRDefault="0058278F" w:rsidP="000B4983">
      <w:r>
        <w:separator/>
      </w:r>
    </w:p>
  </w:footnote>
  <w:footnote w:type="continuationSeparator" w:id="0">
    <w:p w14:paraId="54F591A6" w14:textId="77777777" w:rsidR="0058278F" w:rsidRDefault="0058278F" w:rsidP="000B49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D85"/>
    <w:rsid w:val="00003DCC"/>
    <w:rsid w:val="00012E2E"/>
    <w:rsid w:val="00035B7C"/>
    <w:rsid w:val="000435A8"/>
    <w:rsid w:val="00046560"/>
    <w:rsid w:val="00047C5C"/>
    <w:rsid w:val="00076859"/>
    <w:rsid w:val="0009697C"/>
    <w:rsid w:val="000B4983"/>
    <w:rsid w:val="000E42CC"/>
    <w:rsid w:val="00107145"/>
    <w:rsid w:val="001124FF"/>
    <w:rsid w:val="0011765A"/>
    <w:rsid w:val="00145C8A"/>
    <w:rsid w:val="001A18F7"/>
    <w:rsid w:val="001D280B"/>
    <w:rsid w:val="001D7686"/>
    <w:rsid w:val="00275105"/>
    <w:rsid w:val="002B55D6"/>
    <w:rsid w:val="002C3230"/>
    <w:rsid w:val="002D14A8"/>
    <w:rsid w:val="002E075C"/>
    <w:rsid w:val="002F4DDD"/>
    <w:rsid w:val="00301179"/>
    <w:rsid w:val="00322BAF"/>
    <w:rsid w:val="00325EDE"/>
    <w:rsid w:val="00331BCA"/>
    <w:rsid w:val="003355AB"/>
    <w:rsid w:val="00357E72"/>
    <w:rsid w:val="0036472F"/>
    <w:rsid w:val="003677BC"/>
    <w:rsid w:val="00382A97"/>
    <w:rsid w:val="003D7981"/>
    <w:rsid w:val="003E138A"/>
    <w:rsid w:val="003E3A6B"/>
    <w:rsid w:val="003F61F6"/>
    <w:rsid w:val="004024FE"/>
    <w:rsid w:val="00437C06"/>
    <w:rsid w:val="00464C55"/>
    <w:rsid w:val="00491F28"/>
    <w:rsid w:val="004D5517"/>
    <w:rsid w:val="004D7F18"/>
    <w:rsid w:val="004E1F1D"/>
    <w:rsid w:val="004E2897"/>
    <w:rsid w:val="0050620B"/>
    <w:rsid w:val="00523F45"/>
    <w:rsid w:val="00563CB0"/>
    <w:rsid w:val="0058278F"/>
    <w:rsid w:val="00585D43"/>
    <w:rsid w:val="005A37F2"/>
    <w:rsid w:val="005B3948"/>
    <w:rsid w:val="005C5D87"/>
    <w:rsid w:val="005F7478"/>
    <w:rsid w:val="005F7EE4"/>
    <w:rsid w:val="006C3E46"/>
    <w:rsid w:val="006E5D85"/>
    <w:rsid w:val="006F06BA"/>
    <w:rsid w:val="00753090"/>
    <w:rsid w:val="00757D1F"/>
    <w:rsid w:val="00760F55"/>
    <w:rsid w:val="00762E52"/>
    <w:rsid w:val="0077655F"/>
    <w:rsid w:val="007A25CE"/>
    <w:rsid w:val="007B3BD2"/>
    <w:rsid w:val="007D117A"/>
    <w:rsid w:val="007D1BC9"/>
    <w:rsid w:val="007E34CD"/>
    <w:rsid w:val="007F2B62"/>
    <w:rsid w:val="007F4E5B"/>
    <w:rsid w:val="008067AF"/>
    <w:rsid w:val="00811586"/>
    <w:rsid w:val="008177B9"/>
    <w:rsid w:val="00843AAC"/>
    <w:rsid w:val="00851248"/>
    <w:rsid w:val="00852402"/>
    <w:rsid w:val="00883274"/>
    <w:rsid w:val="0088342E"/>
    <w:rsid w:val="008A4ACF"/>
    <w:rsid w:val="008D0F99"/>
    <w:rsid w:val="008D6C1D"/>
    <w:rsid w:val="008F607D"/>
    <w:rsid w:val="00947503"/>
    <w:rsid w:val="00960EA7"/>
    <w:rsid w:val="009676F5"/>
    <w:rsid w:val="00973DFE"/>
    <w:rsid w:val="00983D82"/>
    <w:rsid w:val="00990B6C"/>
    <w:rsid w:val="00991C70"/>
    <w:rsid w:val="009A7D41"/>
    <w:rsid w:val="009C22C0"/>
    <w:rsid w:val="00A06313"/>
    <w:rsid w:val="00A14F6A"/>
    <w:rsid w:val="00A16171"/>
    <w:rsid w:val="00A54203"/>
    <w:rsid w:val="00A56853"/>
    <w:rsid w:val="00A8192A"/>
    <w:rsid w:val="00AD5661"/>
    <w:rsid w:val="00AF0DF7"/>
    <w:rsid w:val="00AF28AF"/>
    <w:rsid w:val="00B144D6"/>
    <w:rsid w:val="00B15358"/>
    <w:rsid w:val="00B155D4"/>
    <w:rsid w:val="00B350EB"/>
    <w:rsid w:val="00B81958"/>
    <w:rsid w:val="00B8256A"/>
    <w:rsid w:val="00B8708B"/>
    <w:rsid w:val="00BC2586"/>
    <w:rsid w:val="00BD54B3"/>
    <w:rsid w:val="00C05793"/>
    <w:rsid w:val="00C12194"/>
    <w:rsid w:val="00C12B43"/>
    <w:rsid w:val="00C40545"/>
    <w:rsid w:val="00C762BB"/>
    <w:rsid w:val="00CC08FC"/>
    <w:rsid w:val="00CD429E"/>
    <w:rsid w:val="00CF16B8"/>
    <w:rsid w:val="00CF3DCF"/>
    <w:rsid w:val="00D0038E"/>
    <w:rsid w:val="00D31B12"/>
    <w:rsid w:val="00D31BEF"/>
    <w:rsid w:val="00D35D24"/>
    <w:rsid w:val="00D37B83"/>
    <w:rsid w:val="00D52D0E"/>
    <w:rsid w:val="00D62CB2"/>
    <w:rsid w:val="00D708D1"/>
    <w:rsid w:val="00D7443E"/>
    <w:rsid w:val="00D83C20"/>
    <w:rsid w:val="00D86650"/>
    <w:rsid w:val="00D968A2"/>
    <w:rsid w:val="00DA636C"/>
    <w:rsid w:val="00DD73D2"/>
    <w:rsid w:val="00E1116F"/>
    <w:rsid w:val="00E266CD"/>
    <w:rsid w:val="00E409F6"/>
    <w:rsid w:val="00E44B49"/>
    <w:rsid w:val="00EC5DFD"/>
    <w:rsid w:val="00ED1F05"/>
    <w:rsid w:val="00EE04A2"/>
    <w:rsid w:val="00EF0762"/>
    <w:rsid w:val="00EF6CA1"/>
    <w:rsid w:val="00EF7D50"/>
    <w:rsid w:val="00F021AF"/>
    <w:rsid w:val="00F026EC"/>
    <w:rsid w:val="00F10888"/>
    <w:rsid w:val="00F118DD"/>
    <w:rsid w:val="00F26478"/>
    <w:rsid w:val="00F26832"/>
    <w:rsid w:val="00F344BD"/>
    <w:rsid w:val="00F36594"/>
    <w:rsid w:val="00F971E0"/>
    <w:rsid w:val="00FA2A20"/>
    <w:rsid w:val="00FB1F76"/>
    <w:rsid w:val="00FD51ED"/>
    <w:rsid w:val="00FD7638"/>
    <w:rsid w:val="00FE2769"/>
    <w:rsid w:val="00FF06C2"/>
    <w:rsid w:val="0E470C70"/>
    <w:rsid w:val="498F5457"/>
    <w:rsid w:val="7D787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E0787F"/>
  <w15:docId w15:val="{C1B31985-5C22-4462-BF34-F8CCEACA4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="等线 Light" w:eastAsia="等线 Light" w:hAnsi="等线 Light"/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pPr>
      <w:jc w:val="left"/>
    </w:pPr>
  </w:style>
  <w:style w:type="paragraph" w:styleId="a5">
    <w:name w:val="Body Text"/>
    <w:basedOn w:val="a"/>
    <w:qFormat/>
    <w:pPr>
      <w:spacing w:before="180" w:after="180"/>
    </w:p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qFormat/>
    <w:rPr>
      <w:rFonts w:ascii="等线 Light" w:eastAsia="等线 Light" w:hAnsi="等线 Light" w:cs="Times New Roman"/>
      <w:b/>
      <w:bCs/>
      <w:sz w:val="24"/>
      <w:szCs w:val="32"/>
    </w:rPr>
  </w:style>
  <w:style w:type="paragraph" w:customStyle="1" w:styleId="NewNew">
    <w:name w:val="正文 New New"/>
    <w:qFormat/>
    <w:pPr>
      <w:widowControl w:val="0"/>
      <w:jc w:val="both"/>
    </w:pPr>
    <w:rPr>
      <w:kern w:val="2"/>
      <w:sz w:val="21"/>
      <w:szCs w:val="24"/>
    </w:rPr>
  </w:style>
  <w:style w:type="character" w:customStyle="1" w:styleId="a9">
    <w:name w:val="页眉 字符"/>
    <w:basedOn w:val="a0"/>
    <w:link w:val="a8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7">
    <w:name w:val="页脚 字符"/>
    <w:basedOn w:val="a0"/>
    <w:link w:val="a6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Style6">
    <w:name w:val="_Style 6"/>
    <w:basedOn w:val="a"/>
    <w:uiPriority w:val="34"/>
    <w:qFormat/>
    <w:pPr>
      <w:ind w:firstLineChars="200" w:firstLine="420"/>
    </w:pPr>
    <w:rPr>
      <w:rFonts w:ascii="Calibri" w:hAnsi="Calibri"/>
    </w:rPr>
  </w:style>
  <w:style w:type="paragraph" w:customStyle="1" w:styleId="FirstParagraph">
    <w:name w:val="First Paragraph"/>
    <w:basedOn w:val="a5"/>
    <w:next w:val="a5"/>
    <w:qFormat/>
  </w:style>
  <w:style w:type="character" w:styleId="aa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b">
    <w:name w:val="Revision"/>
    <w:hidden/>
    <w:uiPriority w:val="99"/>
    <w:unhideWhenUsed/>
    <w:rsid w:val="00EF7D50"/>
    <w:rPr>
      <w:kern w:val="2"/>
      <w:sz w:val="21"/>
      <w:szCs w:val="22"/>
    </w:rPr>
  </w:style>
  <w:style w:type="paragraph" w:styleId="ac">
    <w:name w:val="annotation subject"/>
    <w:basedOn w:val="a3"/>
    <w:next w:val="a3"/>
    <w:link w:val="ad"/>
    <w:uiPriority w:val="99"/>
    <w:semiHidden/>
    <w:unhideWhenUsed/>
    <w:rsid w:val="00843AAC"/>
    <w:rPr>
      <w:b/>
      <w:bCs/>
    </w:rPr>
  </w:style>
  <w:style w:type="character" w:customStyle="1" w:styleId="a4">
    <w:name w:val="批注文字 字符"/>
    <w:basedOn w:val="a0"/>
    <w:link w:val="a3"/>
    <w:uiPriority w:val="99"/>
    <w:semiHidden/>
    <w:rsid w:val="00843AAC"/>
    <w:rPr>
      <w:kern w:val="2"/>
      <w:sz w:val="21"/>
      <w:szCs w:val="22"/>
    </w:rPr>
  </w:style>
  <w:style w:type="character" w:customStyle="1" w:styleId="ad">
    <w:name w:val="批注主题 字符"/>
    <w:basedOn w:val="a4"/>
    <w:link w:val="ac"/>
    <w:uiPriority w:val="99"/>
    <w:semiHidden/>
    <w:rsid w:val="00843AAC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B5CDAB-AF42-4968-B145-6CF3D1166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5</Pages>
  <Words>2221</Words>
  <Characters>2444</Characters>
  <Application>Microsoft Office Word</Application>
  <DocSecurity>0</DocSecurity>
  <Lines>81</Lines>
  <Paragraphs>67</Paragraphs>
  <ScaleCrop>false</ScaleCrop>
  <Company/>
  <LinksUpToDate>false</LinksUpToDate>
  <CharactersWithSpaces>4598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GPT-006761</dc:creator>
  <cp:lastModifiedBy>雨雯 张</cp:lastModifiedBy>
  <cp:revision>60</cp:revision>
  <dcterms:created xsi:type="dcterms:W3CDTF">2026-08-28T06:26:00Z</dcterms:created>
  <dcterms:modified xsi:type="dcterms:W3CDTF">2026-08-28T08:07:00Z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eyJoZGlkIjoiZWQwNzNmMGFmZDFmYzIxZGM5ZWNlNTMyNGJlMGYyMDciLCJ1c2VySWQiOiIxODI2NzA5MTM5In0=</vt:lpwstr>
  </property>
  <property fmtid="{D5CDD505-2E9C-101B-9397-08002B2CF9AE}" pid="3" name="KSOProductBuildVer">
    <vt:lpwstr>2052-12.1.0.28043</vt:lpwstr>
  </property>
  <property fmtid="{D5CDD505-2E9C-101B-9397-08002B2CF9AE}" pid="4" name="ICV">
    <vt:lpwstr>A5816476CC8E4D3092D38DD71391512D_12</vt:lpwstr>
  </property>
</Properties>
</file>