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E31CD">
      <w:pPr>
        <w:pStyle w:val="6"/>
        <w:autoSpaceDE/>
        <w:autoSpaceDN/>
        <w:spacing w:before="1" w:line="410" w:lineRule="exact"/>
        <w:ind w:left="0" w:right="453" w:firstLine="240" w:firstLineChars="100"/>
        <w:rPr>
          <w:rFonts w:hint="eastAsia" w:eastAsia="宋体"/>
          <w:b w:val="0"/>
          <w:bCs/>
          <w:highlight w:val="none"/>
          <w:lang w:val="en-US" w:eastAsia="zh-CN"/>
        </w:rPr>
      </w:pPr>
      <w:bookmarkStart w:id="1" w:name="_GoBack"/>
      <w:r>
        <w:rPr>
          <w:b w:val="0"/>
          <w:bCs/>
          <w:highlight w:val="none"/>
        </w:rPr>
        <w:t>证券代码：</w:t>
      </w:r>
      <w:r>
        <w:rPr>
          <w:rFonts w:ascii="Times New Roman" w:eastAsia="Times New Roman"/>
          <w:b w:val="0"/>
          <w:bCs/>
          <w:highlight w:val="none"/>
        </w:rPr>
        <w:t>6</w:t>
      </w:r>
      <w:r>
        <w:rPr>
          <w:rFonts w:hint="eastAsia" w:ascii="Times New Roman"/>
          <w:b w:val="0"/>
          <w:bCs/>
          <w:highlight w:val="none"/>
          <w:lang w:val="en-US"/>
        </w:rPr>
        <w:t>03477</w:t>
      </w:r>
      <w:r>
        <w:rPr>
          <w:rFonts w:ascii="Times New Roman" w:eastAsia="等线"/>
          <w:b w:val="0"/>
          <w:bCs/>
          <w:highlight w:val="none"/>
        </w:rPr>
        <w:t xml:space="preserve">                             </w:t>
      </w:r>
      <w:r>
        <w:rPr>
          <w:b w:val="0"/>
          <w:bCs/>
          <w:highlight w:val="none"/>
        </w:rPr>
        <w:t>证券简称：</w:t>
      </w:r>
      <w:r>
        <w:rPr>
          <w:rFonts w:hint="eastAsia"/>
          <w:b w:val="0"/>
          <w:bCs/>
          <w:highlight w:val="none"/>
          <w:lang w:val="en-US"/>
        </w:rPr>
        <w:t>巨星农牧</w:t>
      </w:r>
    </w:p>
    <w:p w14:paraId="68790492">
      <w:pPr>
        <w:pStyle w:val="6"/>
        <w:autoSpaceDE/>
        <w:autoSpaceDN/>
        <w:spacing w:before="1" w:line="410" w:lineRule="exact"/>
        <w:ind w:left="0" w:right="453" w:firstLine="240" w:firstLineChars="100"/>
        <w:rPr>
          <w:rFonts w:hint="eastAsia"/>
          <w:b w:val="0"/>
          <w:bCs/>
          <w:highlight w:val="none"/>
          <w:lang w:val="en-US"/>
        </w:rPr>
      </w:pPr>
      <w:r>
        <w:rPr>
          <w:rFonts w:hint="eastAsia"/>
          <w:b w:val="0"/>
          <w:bCs/>
          <w:highlight w:val="none"/>
          <w:lang w:val="en-US"/>
        </w:rPr>
        <w:t>债券代码：</w:t>
      </w:r>
      <w:r>
        <w:rPr>
          <w:rFonts w:hint="eastAsia" w:ascii="Times New Roman"/>
          <w:b w:val="0"/>
          <w:bCs/>
          <w:highlight w:val="none"/>
          <w:lang w:val="en-US"/>
        </w:rPr>
        <w:t>113648</w:t>
      </w:r>
      <w:r>
        <w:rPr>
          <w:rFonts w:hint="eastAsia"/>
          <w:b w:val="0"/>
          <w:bCs/>
          <w:highlight w:val="none"/>
          <w:lang w:val="en-US"/>
        </w:rPr>
        <w:t xml:space="preserve">                             债券简称：巨星转债</w:t>
      </w:r>
    </w:p>
    <w:p w14:paraId="0FE832AB">
      <w:pPr>
        <w:pStyle w:val="6"/>
        <w:autoSpaceDE/>
        <w:autoSpaceDN/>
        <w:spacing w:before="1" w:line="410" w:lineRule="exact"/>
        <w:ind w:left="0" w:right="453"/>
        <w:rPr>
          <w:rFonts w:hint="eastAsia"/>
          <w:b/>
          <w:highlight w:val="none"/>
        </w:rPr>
      </w:pPr>
    </w:p>
    <w:p w14:paraId="6D8D412D">
      <w:pPr>
        <w:pStyle w:val="6"/>
        <w:tabs>
          <w:tab w:val="left" w:pos="8360"/>
        </w:tabs>
        <w:autoSpaceDE/>
        <w:autoSpaceDN/>
        <w:spacing w:before="1" w:line="410" w:lineRule="exact"/>
        <w:ind w:left="0" w:right="-54" w:rightChars="0"/>
        <w:jc w:val="center"/>
        <w:rPr>
          <w:rFonts w:hint="eastAsia"/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  <w:lang w:val="en-US"/>
        </w:rPr>
        <w:t>乐山巨星农牧</w:t>
      </w:r>
      <w:r>
        <w:rPr>
          <w:b/>
          <w:bCs/>
          <w:sz w:val="36"/>
          <w:szCs w:val="36"/>
          <w:highlight w:val="none"/>
        </w:rPr>
        <w:t>股份有限公司</w:t>
      </w:r>
    </w:p>
    <w:p w14:paraId="22A394DF">
      <w:pPr>
        <w:pStyle w:val="6"/>
        <w:tabs>
          <w:tab w:val="left" w:pos="8360"/>
        </w:tabs>
        <w:autoSpaceDE/>
        <w:autoSpaceDN/>
        <w:spacing w:before="1" w:line="410" w:lineRule="exact"/>
        <w:ind w:left="0" w:right="-54" w:rightChars="0"/>
        <w:jc w:val="center"/>
        <w:rPr>
          <w:rFonts w:hint="eastAsia"/>
          <w:b/>
          <w:bCs/>
          <w:sz w:val="36"/>
          <w:szCs w:val="36"/>
          <w:highlight w:val="none"/>
        </w:rPr>
      </w:pPr>
      <w:r>
        <w:rPr>
          <w:b/>
          <w:bCs/>
          <w:sz w:val="36"/>
          <w:szCs w:val="36"/>
          <w:highlight w:val="none"/>
        </w:rPr>
        <w:t>投资者关系活动记录表</w:t>
      </w:r>
    </w:p>
    <w:p w14:paraId="682830B8">
      <w:pPr>
        <w:tabs>
          <w:tab w:val="left" w:pos="6306"/>
        </w:tabs>
        <w:autoSpaceDE/>
        <w:autoSpaceDN/>
        <w:spacing w:before="74" w:line="410" w:lineRule="exact"/>
        <w:rPr>
          <w:rFonts w:hint="eastAsia" w:eastAsia="等线"/>
          <w:b/>
          <w:bCs/>
          <w:sz w:val="21"/>
          <w:szCs w:val="21"/>
          <w:highlight w:val="none"/>
        </w:rPr>
      </w:pPr>
    </w:p>
    <w:tbl>
      <w:tblPr>
        <w:tblStyle w:val="11"/>
        <w:tblW w:w="681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5"/>
        <w:gridCol w:w="2541"/>
        <w:gridCol w:w="3625"/>
        <w:gridCol w:w="2703"/>
      </w:tblGrid>
      <w:tr w14:paraId="312E94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  <w:jc w:val="center"/>
        </w:trPr>
        <w:tc>
          <w:tcPr>
            <w:tcW w:w="1094" w:type="pct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0790969D">
            <w:pPr>
              <w:pStyle w:val="17"/>
              <w:autoSpaceDE/>
              <w:autoSpaceDN/>
              <w:spacing w:line="410" w:lineRule="exact"/>
              <w:ind w:firstLine="221" w:firstLineChars="100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投资者关系活动类别</w:t>
            </w:r>
          </w:p>
        </w:tc>
        <w:tc>
          <w:tcPr>
            <w:tcW w:w="1119" w:type="pct"/>
            <w:tcBorders>
              <w:left w:val="single" w:color="000000" w:sz="6" w:space="0"/>
              <w:bottom w:val="single" w:color="000000" w:sz="6" w:space="0"/>
              <w:right w:val="nil"/>
            </w:tcBorders>
          </w:tcPr>
          <w:p w14:paraId="654753DA">
            <w:pPr>
              <w:pStyle w:val="17"/>
              <w:autoSpaceDE/>
              <w:autoSpaceDN/>
              <w:spacing w:line="410" w:lineRule="exact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 xml:space="preserve">□特定对象调研 </w:t>
            </w:r>
          </w:p>
          <w:p w14:paraId="5578A4EA">
            <w:pPr>
              <w:pStyle w:val="17"/>
              <w:autoSpaceDE/>
              <w:autoSpaceDN/>
              <w:spacing w:line="410" w:lineRule="exact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sym w:font="Wingdings 2" w:char="0052"/>
            </w:r>
            <w:r>
              <w:rPr>
                <w:highlight w:val="none"/>
              </w:rPr>
              <w:t xml:space="preserve">业绩说明会 </w:t>
            </w:r>
          </w:p>
          <w:p w14:paraId="1E70725D">
            <w:pPr>
              <w:pStyle w:val="17"/>
              <w:autoSpaceDE/>
              <w:autoSpaceDN/>
              <w:spacing w:line="410" w:lineRule="exact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sym w:font="Wingdings 2" w:char="00A3"/>
            </w:r>
            <w:r>
              <w:rPr>
                <w:highlight w:val="none"/>
              </w:rPr>
              <w:t xml:space="preserve">现场参观 </w:t>
            </w:r>
          </w:p>
        </w:tc>
        <w:tc>
          <w:tcPr>
            <w:tcW w:w="1596" w:type="pct"/>
            <w:tcBorders>
              <w:left w:val="nil"/>
              <w:bottom w:val="single" w:color="000000" w:sz="6" w:space="0"/>
              <w:right w:val="nil"/>
            </w:tcBorders>
          </w:tcPr>
          <w:p w14:paraId="346786E0">
            <w:pPr>
              <w:pStyle w:val="17"/>
              <w:autoSpaceDE/>
              <w:autoSpaceDN/>
              <w:spacing w:line="410" w:lineRule="exact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sym w:font="Wingdings 2" w:char="0052"/>
            </w:r>
            <w:r>
              <w:rPr>
                <w:highlight w:val="none"/>
              </w:rPr>
              <w:t xml:space="preserve">分析师会议 </w:t>
            </w:r>
          </w:p>
          <w:p w14:paraId="68E71A69">
            <w:pPr>
              <w:pStyle w:val="17"/>
              <w:autoSpaceDE/>
              <w:autoSpaceDN/>
              <w:spacing w:line="410" w:lineRule="exact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 xml:space="preserve">□新闻发布会 </w:t>
            </w:r>
          </w:p>
          <w:p w14:paraId="5DAA253D">
            <w:pPr>
              <w:pStyle w:val="17"/>
              <w:autoSpaceDE/>
              <w:autoSpaceDN/>
              <w:spacing w:line="410" w:lineRule="exact"/>
              <w:rPr>
                <w:rFonts w:hint="eastAsia"/>
                <w:highlight w:val="none"/>
                <w:lang w:val="en-US"/>
              </w:rPr>
            </w:pPr>
            <w:r>
              <w:rPr>
                <w:highlight w:val="none"/>
              </w:rPr>
              <w:sym w:font="Wingdings 2" w:char="0052"/>
            </w:r>
            <w:r>
              <w:rPr>
                <w:highlight w:val="none"/>
              </w:rPr>
              <w:t>其他</w:t>
            </w:r>
            <w:r>
              <w:rPr>
                <w:rFonts w:hint="eastAsia"/>
                <w:highlight w:val="none"/>
              </w:rPr>
              <w:t>（</w:t>
            </w:r>
            <w:r>
              <w:rPr>
                <w:rFonts w:hint="eastAsia"/>
                <w:highlight w:val="none"/>
                <w:lang w:val="en-US"/>
              </w:rPr>
              <w:t>通讯会议：2026年</w:t>
            </w:r>
            <w:r>
              <w:rPr>
                <w:rFonts w:hint="eastAsia"/>
                <w:highlight w:val="none"/>
                <w:lang w:val="en-US" w:eastAsia="zh-CN"/>
              </w:rPr>
              <w:t>半年度</w:t>
            </w:r>
            <w:r>
              <w:rPr>
                <w:rFonts w:hint="eastAsia"/>
                <w:highlight w:val="none"/>
                <w:lang w:val="en-US"/>
              </w:rPr>
              <w:t>报告业绩交流会</w:t>
            </w:r>
            <w:r>
              <w:rPr>
                <w:rFonts w:hint="eastAsia"/>
                <w:highlight w:val="none"/>
              </w:rPr>
              <w:t>）</w:t>
            </w:r>
            <w:r>
              <w:rPr>
                <w:rFonts w:hint="eastAsia"/>
                <w:highlight w:val="none"/>
                <w:lang w:val="en-US"/>
              </w:rPr>
              <w:t xml:space="preserve">       </w:t>
            </w:r>
          </w:p>
        </w:tc>
        <w:tc>
          <w:tcPr>
            <w:tcW w:w="1189" w:type="pct"/>
            <w:tcBorders>
              <w:left w:val="nil"/>
              <w:bottom w:val="single" w:color="000000" w:sz="6" w:space="0"/>
            </w:tcBorders>
          </w:tcPr>
          <w:p w14:paraId="6459BA76">
            <w:pPr>
              <w:pStyle w:val="17"/>
              <w:autoSpaceDE/>
              <w:autoSpaceDN/>
              <w:spacing w:line="410" w:lineRule="exact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sym w:font="Wingdings 2" w:char="00A3"/>
            </w:r>
            <w:r>
              <w:rPr>
                <w:highlight w:val="none"/>
              </w:rPr>
              <w:t>媒</w:t>
            </w:r>
            <w:r>
              <w:rPr>
                <w:rFonts w:hint="eastAsia"/>
                <w:highlight w:val="none"/>
              </w:rPr>
              <w:t>体采访</w:t>
            </w:r>
          </w:p>
          <w:p w14:paraId="07BF97A9">
            <w:pPr>
              <w:pStyle w:val="17"/>
              <w:autoSpaceDE/>
              <w:autoSpaceDN/>
              <w:spacing w:line="410" w:lineRule="exact"/>
              <w:rPr>
                <w:rFonts w:hint="eastAsia"/>
                <w:highlight w:val="none"/>
                <w:lang w:val="en-US"/>
              </w:rPr>
            </w:pPr>
            <w:r>
              <w:rPr>
                <w:highlight w:val="none"/>
              </w:rPr>
              <w:sym w:font="Wingdings 2" w:char="00A3"/>
            </w:r>
            <w:r>
              <w:rPr>
                <w:highlight w:val="none"/>
              </w:rPr>
              <w:t>路</w:t>
            </w:r>
            <w:r>
              <w:rPr>
                <w:rFonts w:hint="eastAsia"/>
                <w:highlight w:val="none"/>
              </w:rPr>
              <w:t>演</w:t>
            </w:r>
            <w:r>
              <w:rPr>
                <w:highlight w:val="none"/>
              </w:rPr>
              <w:t xml:space="preserve">活动 </w:t>
            </w:r>
          </w:p>
          <w:p w14:paraId="75474706">
            <w:pPr>
              <w:pStyle w:val="17"/>
              <w:autoSpaceDE/>
              <w:autoSpaceDN/>
              <w:spacing w:line="410" w:lineRule="exact"/>
              <w:rPr>
                <w:rFonts w:hint="eastAsia"/>
                <w:highlight w:val="none"/>
              </w:rPr>
            </w:pPr>
          </w:p>
        </w:tc>
      </w:tr>
      <w:tr w14:paraId="1B2D05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094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70B8F8">
            <w:pPr>
              <w:pStyle w:val="17"/>
              <w:autoSpaceDE/>
              <w:autoSpaceDN/>
              <w:spacing w:line="410" w:lineRule="exact"/>
              <w:ind w:firstLine="221" w:firstLineChars="100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参与单位</w:t>
            </w:r>
          </w:p>
        </w:tc>
        <w:tc>
          <w:tcPr>
            <w:tcW w:w="3905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10B3828E">
            <w:pPr>
              <w:pStyle w:val="17"/>
              <w:autoSpaceDE/>
              <w:autoSpaceDN/>
              <w:spacing w:line="410" w:lineRule="exact"/>
              <w:ind w:right="227"/>
              <w:jc w:val="both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/>
              </w:rPr>
              <w:t>中信证券、中金公司、长江证券、广发证券、华鑫证券、天风证券、东方证券、兴业证券、华福证券、国泰海通、国信证券、华源证券、申万宏源证券、浙商证券、华西证券、</w:t>
            </w:r>
          </w:p>
          <w:p w14:paraId="4E9F11FA">
            <w:pPr>
              <w:pStyle w:val="17"/>
              <w:autoSpaceDE/>
              <w:autoSpaceDN/>
              <w:spacing w:line="410" w:lineRule="exact"/>
              <w:ind w:right="227"/>
              <w:jc w:val="both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/>
              </w:rPr>
              <w:t>招商证券、国泰君安证券、国盛证券、开源证券、华创证券、方正证券、国海证券、</w:t>
            </w:r>
          </w:p>
          <w:p w14:paraId="636B4279">
            <w:pPr>
              <w:pStyle w:val="17"/>
              <w:autoSpaceDE/>
              <w:autoSpaceDN/>
              <w:spacing w:line="410" w:lineRule="exact"/>
              <w:ind w:right="227"/>
              <w:jc w:val="both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财通证券、光大证券、东方财富、华安证券、</w:t>
            </w:r>
            <w:r>
              <w:rPr>
                <w:rFonts w:hint="eastAsia"/>
                <w:highlight w:val="none"/>
                <w:lang w:val="en-US"/>
              </w:rPr>
              <w:t>西部证券、</w:t>
            </w:r>
            <w:r>
              <w:rPr>
                <w:rFonts w:hint="eastAsia"/>
                <w:highlight w:val="none"/>
                <w:lang w:val="en-US" w:eastAsia="zh-CN"/>
              </w:rPr>
              <w:t>禾川科技、南昌产投基金、</w:t>
            </w:r>
          </w:p>
          <w:p w14:paraId="641CD0B7">
            <w:pPr>
              <w:pStyle w:val="17"/>
              <w:autoSpaceDE/>
              <w:autoSpaceDN/>
              <w:spacing w:line="410" w:lineRule="exact"/>
              <w:ind w:right="227"/>
              <w:jc w:val="both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怀新投资、杭州热联、中银基金、宽行基金、重阳投资、诚盛投资、合众易晟投资、</w:t>
            </w:r>
          </w:p>
          <w:p w14:paraId="566DD7CB">
            <w:pPr>
              <w:pStyle w:val="17"/>
              <w:autoSpaceDE/>
              <w:autoSpaceDN/>
              <w:spacing w:line="410" w:lineRule="exact"/>
              <w:ind w:right="227"/>
              <w:jc w:val="both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高熵资管、嘉合基金、JP Morgan、Yuanhao Greater China Fund</w:t>
            </w:r>
          </w:p>
          <w:p w14:paraId="0686C3AF">
            <w:pPr>
              <w:pStyle w:val="17"/>
              <w:autoSpaceDE/>
              <w:autoSpaceDN/>
              <w:spacing w:line="410" w:lineRule="exact"/>
              <w:ind w:right="227"/>
              <w:jc w:val="both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/>
              </w:rPr>
              <w:t>（以上排名不分先后）</w:t>
            </w:r>
          </w:p>
        </w:tc>
      </w:tr>
      <w:tr w14:paraId="7BBCFE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1094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AD2C5F">
            <w:pPr>
              <w:pStyle w:val="17"/>
              <w:autoSpaceDE/>
              <w:autoSpaceDN/>
              <w:spacing w:line="410" w:lineRule="exact"/>
              <w:ind w:right="227" w:firstLine="221" w:firstLineChars="100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时间</w:t>
            </w:r>
          </w:p>
        </w:tc>
        <w:tc>
          <w:tcPr>
            <w:tcW w:w="3905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50FFA0B8">
            <w:pPr>
              <w:pStyle w:val="17"/>
              <w:autoSpaceDE/>
              <w:autoSpaceDN/>
              <w:spacing w:line="410" w:lineRule="exact"/>
              <w:ind w:right="227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/>
              </w:rPr>
              <w:t>2026年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highlight w:val="none"/>
                <w:lang w:val="en-US"/>
              </w:rPr>
              <w:t>月2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highlight w:val="none"/>
                <w:lang w:val="en-US"/>
              </w:rPr>
              <w:t>日 15:30-16:30</w:t>
            </w:r>
          </w:p>
        </w:tc>
      </w:tr>
      <w:tr w14:paraId="3905EA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1094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8C7E7B">
            <w:pPr>
              <w:pStyle w:val="17"/>
              <w:autoSpaceDE/>
              <w:autoSpaceDN/>
              <w:spacing w:line="410" w:lineRule="exact"/>
              <w:ind w:right="227" w:firstLine="221" w:firstLineChars="100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地点</w:t>
            </w:r>
          </w:p>
        </w:tc>
        <w:tc>
          <w:tcPr>
            <w:tcW w:w="3905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1A0E40D2">
            <w:pPr>
              <w:pStyle w:val="17"/>
              <w:autoSpaceDE/>
              <w:autoSpaceDN/>
              <w:spacing w:line="410" w:lineRule="exact"/>
              <w:ind w:right="227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/>
              </w:rPr>
              <w:t>成都·公司总部会议室</w:t>
            </w:r>
          </w:p>
        </w:tc>
      </w:tr>
      <w:tr w14:paraId="7C36F4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jc w:val="center"/>
        </w:trPr>
        <w:tc>
          <w:tcPr>
            <w:tcW w:w="1094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B40B71">
            <w:pPr>
              <w:pStyle w:val="17"/>
              <w:autoSpaceDE/>
              <w:autoSpaceDN/>
              <w:spacing w:line="410" w:lineRule="exact"/>
              <w:ind w:firstLine="221" w:firstLineChars="100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  <w:lang w:val="en-US"/>
              </w:rPr>
              <w:t>上市</w:t>
            </w:r>
            <w:r>
              <w:rPr>
                <w:rFonts w:hint="eastAsia"/>
                <w:b/>
                <w:bCs/>
                <w:highlight w:val="none"/>
              </w:rPr>
              <w:t>公司</w:t>
            </w:r>
          </w:p>
          <w:p w14:paraId="34BD383F">
            <w:pPr>
              <w:pStyle w:val="17"/>
              <w:autoSpaceDE/>
              <w:autoSpaceDN/>
              <w:spacing w:line="410" w:lineRule="exact"/>
              <w:ind w:firstLine="221" w:firstLineChars="100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接待人员姓名</w:t>
            </w:r>
          </w:p>
        </w:tc>
        <w:tc>
          <w:tcPr>
            <w:tcW w:w="3905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2EF6647F">
            <w:pPr>
              <w:pStyle w:val="17"/>
              <w:autoSpaceDE/>
              <w:autoSpaceDN/>
              <w:spacing w:line="410" w:lineRule="exact"/>
              <w:ind w:right="227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</w:rPr>
              <w:t>董事会秘书：</w:t>
            </w:r>
            <w:r>
              <w:rPr>
                <w:rFonts w:hint="eastAsia"/>
                <w:highlight w:val="none"/>
                <w:lang w:val="en-US"/>
              </w:rPr>
              <w:t>张耕</w:t>
            </w:r>
          </w:p>
          <w:p w14:paraId="6C9B3DBC">
            <w:pPr>
              <w:pStyle w:val="17"/>
              <w:autoSpaceDE/>
              <w:autoSpaceDN/>
              <w:spacing w:line="410" w:lineRule="exact"/>
              <w:ind w:right="227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/>
              </w:rPr>
              <w:t>副总经理：徐成聪</w:t>
            </w:r>
          </w:p>
          <w:p w14:paraId="33F39550">
            <w:pPr>
              <w:pStyle w:val="17"/>
              <w:autoSpaceDE/>
              <w:autoSpaceDN/>
              <w:spacing w:line="410" w:lineRule="exact"/>
              <w:ind w:right="227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/>
              </w:rPr>
              <w:t>财务总监：陈丽青</w:t>
            </w:r>
          </w:p>
          <w:p w14:paraId="721FEB6A">
            <w:pPr>
              <w:pStyle w:val="17"/>
              <w:autoSpaceDE/>
              <w:autoSpaceDN/>
              <w:spacing w:line="410" w:lineRule="exact"/>
              <w:ind w:right="227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/>
              </w:rPr>
              <w:t>证券事务代表：张诗琪</w:t>
            </w:r>
          </w:p>
        </w:tc>
      </w:tr>
      <w:tr w14:paraId="0E0E64C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094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B1331F">
            <w:pPr>
              <w:pStyle w:val="17"/>
              <w:autoSpaceDE/>
              <w:autoSpaceDN/>
              <w:spacing w:line="410" w:lineRule="exact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  <w:lang w:val="en-US"/>
              </w:rPr>
              <w:t xml:space="preserve">  </w:t>
            </w:r>
            <w:r>
              <w:rPr>
                <w:rFonts w:hint="eastAsia"/>
                <w:b/>
                <w:bCs/>
                <w:highlight w:val="none"/>
              </w:rPr>
              <w:t>投资者关系活动</w:t>
            </w:r>
          </w:p>
          <w:p w14:paraId="47F32A3C">
            <w:pPr>
              <w:pStyle w:val="17"/>
              <w:autoSpaceDE/>
              <w:autoSpaceDN/>
              <w:spacing w:line="410" w:lineRule="exact"/>
              <w:ind w:firstLine="221" w:firstLineChars="100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主要内容介绍</w:t>
            </w:r>
          </w:p>
        </w:tc>
        <w:tc>
          <w:tcPr>
            <w:tcW w:w="3905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7F388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0" w:firstLineChars="0"/>
              <w:jc w:val="both"/>
              <w:textAlignment w:val="auto"/>
              <w:rPr>
                <w:rFonts w:hint="eastAsia"/>
                <w:highlight w:val="none"/>
                <w:lang w:val="en-US"/>
              </w:rPr>
            </w:pPr>
            <w:bookmarkStart w:id="0" w:name="7182-1592134663918"/>
            <w:bookmarkEnd w:id="0"/>
            <w:r>
              <w:rPr>
                <w:rFonts w:hint="eastAsia"/>
                <w:b/>
                <w:bCs/>
                <w:highlight w:val="none"/>
              </w:rPr>
              <w:t>一、公司业绩回顾与发展展望</w:t>
            </w:r>
          </w:p>
          <w:p w14:paraId="3CF76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2" w:firstLineChars="200"/>
              <w:jc w:val="both"/>
              <w:textAlignment w:val="auto"/>
              <w:rPr>
                <w:rFonts w:hint="eastAsia"/>
                <w:b/>
                <w:bCs/>
                <w:highlight w:val="none"/>
                <w:lang w:val="en-US"/>
              </w:rPr>
            </w:pPr>
            <w:r>
              <w:rPr>
                <w:rFonts w:hint="eastAsia"/>
                <w:b/>
                <w:bCs/>
                <w:highlight w:val="none"/>
                <w:lang w:val="en-US"/>
              </w:rPr>
              <w:t>1、业绩回顾</w:t>
            </w:r>
          </w:p>
          <w:p w14:paraId="5389A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0" w:firstLineChars="200"/>
              <w:jc w:val="both"/>
              <w:textAlignment w:val="auto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/>
              </w:rPr>
              <w:t>2026年</w:t>
            </w:r>
            <w:r>
              <w:rPr>
                <w:rFonts w:hint="eastAsia"/>
                <w:highlight w:val="none"/>
                <w:lang w:val="en-US" w:eastAsia="zh-CN"/>
              </w:rPr>
              <w:t>上半年</w:t>
            </w:r>
            <w:r>
              <w:rPr>
                <w:rFonts w:hint="eastAsia"/>
                <w:highlight w:val="none"/>
                <w:lang w:val="en-US"/>
              </w:rPr>
              <w:t>，</w:t>
            </w:r>
            <w:r>
              <w:rPr>
                <w:rFonts w:hint="eastAsia"/>
                <w:highlight w:val="none"/>
                <w:lang w:val="en-US" w:eastAsia="zh-CN"/>
              </w:rPr>
              <w:t>国内生猪市场价格处于历史低位，生猪行业处于周期性磨底阶段。面对行业“寒冬”，公司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积极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响应国家号召坚持高质量发展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主动淘汰低效母猪产能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向内求索持续推动生猪养殖增效降本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但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因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生猪养殖业务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受到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生猪市场价格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较大降幅影响，同时公司基于谨慎性原则对消耗性生物资产计提存货跌价减值准备，公司业绩在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生猪行业周期性波动影响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下出现阶段性亏损。</w:t>
            </w:r>
            <w:r>
              <w:rPr>
                <w:rFonts w:hint="eastAsia"/>
                <w:highlight w:val="none"/>
                <w:lang w:val="en-US"/>
              </w:rPr>
              <w:t>2026年</w:t>
            </w:r>
            <w:r>
              <w:rPr>
                <w:rFonts w:hint="eastAsia"/>
                <w:highlight w:val="none"/>
                <w:lang w:val="en-US" w:eastAsia="zh-CN"/>
              </w:rPr>
              <w:t>上半年</w:t>
            </w:r>
            <w:r>
              <w:rPr>
                <w:rFonts w:hint="eastAsia"/>
                <w:highlight w:val="none"/>
                <w:lang w:val="en-US"/>
              </w:rPr>
              <w:t>，公司生猪出栏280.77万头</w:t>
            </w:r>
            <w:r>
              <w:rPr>
                <w:rFonts w:hint="eastAsia"/>
                <w:highlight w:val="none"/>
                <w:lang w:val="en-US" w:eastAsia="zh-CN"/>
              </w:rPr>
              <w:t>，</w:t>
            </w:r>
            <w:r>
              <w:rPr>
                <w:rFonts w:hint="eastAsia"/>
                <w:highlight w:val="none"/>
                <w:lang w:val="en-US"/>
              </w:rPr>
              <w:t>公司实现营业收入35</w:t>
            </w:r>
            <w:r>
              <w:rPr>
                <w:rFonts w:hint="eastAsia"/>
                <w:highlight w:val="none"/>
                <w:lang w:val="en-US" w:eastAsia="zh-CN"/>
              </w:rPr>
              <w:t>.</w:t>
            </w:r>
            <w:r>
              <w:rPr>
                <w:rFonts w:hint="eastAsia"/>
                <w:highlight w:val="none"/>
                <w:lang w:val="en-US"/>
              </w:rPr>
              <w:t>5</w:t>
            </w:r>
            <w:r>
              <w:rPr>
                <w:rFonts w:hint="eastAsia"/>
                <w:highlight w:val="none"/>
                <w:lang w:val="en-US" w:eastAsia="zh-CN"/>
              </w:rPr>
              <w:t>7亿元</w:t>
            </w:r>
            <w:r>
              <w:rPr>
                <w:rFonts w:hint="eastAsia"/>
                <w:highlight w:val="none"/>
                <w:lang w:val="en-US"/>
              </w:rPr>
              <w:t>，</w:t>
            </w:r>
            <w:r>
              <w:rPr>
                <w:rFonts w:hint="eastAsia"/>
                <w:highlight w:val="none"/>
                <w:lang w:val="en-US" w:eastAsia="zh-CN"/>
              </w:rPr>
              <w:t>实现归母</w:t>
            </w:r>
            <w:r>
              <w:rPr>
                <w:rFonts w:hint="eastAsia"/>
                <w:highlight w:val="none"/>
                <w:lang w:val="en-US"/>
              </w:rPr>
              <w:t>净利润-8</w:t>
            </w:r>
            <w:r>
              <w:rPr>
                <w:rFonts w:hint="eastAsia"/>
                <w:highlight w:val="none"/>
                <w:lang w:val="en-US" w:eastAsia="zh-CN"/>
              </w:rPr>
              <w:t>.</w:t>
            </w:r>
            <w:r>
              <w:rPr>
                <w:rFonts w:hint="eastAsia"/>
                <w:highlight w:val="none"/>
                <w:lang w:val="en-US"/>
              </w:rPr>
              <w:t>3</w:t>
            </w:r>
            <w:r>
              <w:rPr>
                <w:rFonts w:hint="eastAsia"/>
                <w:highlight w:val="none"/>
                <w:lang w:val="en-US" w:eastAsia="zh-CN"/>
              </w:rPr>
              <w:t>8亿元</w:t>
            </w:r>
            <w:r>
              <w:rPr>
                <w:rFonts w:hint="eastAsia"/>
                <w:highlight w:val="none"/>
                <w:lang w:val="en-US"/>
              </w:rPr>
              <w:t>。</w:t>
            </w:r>
          </w:p>
          <w:p w14:paraId="6A921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2" w:firstLineChars="200"/>
              <w:jc w:val="both"/>
              <w:textAlignment w:val="auto"/>
              <w:rPr>
                <w:rFonts w:hint="eastAsia"/>
                <w:b/>
                <w:bCs/>
                <w:highlight w:val="none"/>
                <w:lang w:val="en-US"/>
              </w:rPr>
            </w:pPr>
            <w:r>
              <w:rPr>
                <w:rFonts w:hint="eastAsia"/>
                <w:b/>
                <w:bCs/>
                <w:highlight w:val="none"/>
                <w:lang w:val="en-US"/>
              </w:rPr>
              <w:t>2、</w:t>
            </w:r>
            <w:r>
              <w:rPr>
                <w:rFonts w:hint="eastAsia"/>
                <w:b/>
                <w:bCs/>
                <w:highlight w:val="none"/>
              </w:rPr>
              <w:t>发展展望</w:t>
            </w:r>
          </w:p>
          <w:p w14:paraId="522FC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0" w:firstLineChars="0"/>
              <w:jc w:val="both"/>
              <w:textAlignment w:val="auto"/>
              <w:rPr>
                <w:rFonts w:hint="eastAsia" w:cs="宋体"/>
                <w:i w:val="0"/>
                <w:iCs w:val="0"/>
                <w:caps w:val="0"/>
                <w:spacing w:val="0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highlight w:val="none"/>
                <w:shd w:val="clear" w:fill="auto"/>
                <w:lang w:val="en-US" w:eastAsia="zh-CN"/>
              </w:rPr>
              <w:t>国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highlight w:val="none"/>
                <w:shd w:val="clear" w:fill="auto"/>
                <w:lang w:val="en-US"/>
              </w:rPr>
              <w:t>家“十五五”规划将农业新质生产力提升至前所未有的高度，生猪行业正在经历从“周期博弈”转向“内生性增长”深刻转折，行业已然迈向高质量发展阶段</w:t>
            </w:r>
            <w:r>
              <w:rPr>
                <w:rFonts w:hint="eastAsia" w:cs="宋体"/>
                <w:i w:val="0"/>
                <w:iCs w:val="0"/>
                <w:caps w:val="0"/>
                <w:spacing w:val="0"/>
                <w:sz w:val="22"/>
                <w:szCs w:val="22"/>
                <w:highlight w:val="none"/>
                <w:shd w:val="clear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highlight w:val="none"/>
                <w:shd w:val="clear" w:fill="auto"/>
                <w:lang w:val="en-US"/>
              </w:rPr>
              <w:t>在国家“十五五”规划强调高质量发展的开局之年，巨星农牧积极响应国家生猪产能调控政策号召，毅然将战略重心从“规模扩张”升级为“高质量发展”，确立“科技驱动、数智赋能、可持续发展”的核心发展方略</w:t>
            </w:r>
            <w:r>
              <w:rPr>
                <w:rFonts w:hint="eastAsia" w:cs="宋体"/>
                <w:i w:val="0"/>
                <w:iCs w:val="0"/>
                <w:caps w:val="0"/>
                <w:spacing w:val="0"/>
                <w:sz w:val="22"/>
                <w:szCs w:val="22"/>
                <w:highlight w:val="none"/>
                <w:shd w:val="clear"/>
                <w:lang w:val="en-US" w:eastAsia="zh-CN"/>
              </w:rPr>
              <w:t>。</w:t>
            </w:r>
          </w:p>
          <w:p w14:paraId="0FE78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highlight w:val="none"/>
                <w:shd w:val="clear" w:fill="auto"/>
                <w:lang w:val="en-US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周期不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可知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，但成本可控；市场不可测，但效率可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期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。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在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周期低谷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时修炼内功，在行业寒冬中锻造肌肉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向内求索，把每一分钱都花在刀刃上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向下扎根，把每一头猪都养到极致处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highlight w:val="none"/>
                <w:shd w:val="clear" w:fill="auto"/>
                <w:lang w:val="en-US"/>
              </w:rPr>
              <w:t>未来</w:t>
            </w:r>
            <w:r>
              <w:rPr>
                <w:rFonts w:hint="eastAsia" w:cs="宋体"/>
                <w:i w:val="0"/>
                <w:iCs w:val="0"/>
                <w:caps w:val="0"/>
                <w:spacing w:val="0"/>
                <w:sz w:val="22"/>
                <w:szCs w:val="22"/>
                <w:highlight w:val="none"/>
                <w:shd w:val="clear"/>
                <w:lang w:val="en-US" w:eastAsia="zh-CN"/>
              </w:rPr>
              <w:t>巨星农牧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highlight w:val="none"/>
                <w:shd w:val="clear" w:fill="auto"/>
                <w:lang w:val="en-US"/>
              </w:rPr>
              <w:t>将向“33头PSY、5.5元/斤完全成本”挑战目标坚定迈进。</w:t>
            </w:r>
          </w:p>
          <w:p w14:paraId="29E2F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0" w:firstLineChars="20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2"/>
                <w:szCs w:val="22"/>
                <w:highlight w:val="none"/>
                <w:shd w:val="clear"/>
                <w:lang w:val="en-US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寒冬终将过去，春天必会到来。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2"/>
                <w:szCs w:val="22"/>
                <w:highlight w:val="none"/>
                <w:shd w:val="clear"/>
                <w:lang w:val="en-US"/>
              </w:rPr>
              <w:t>在产能调控政策引导和市场自发调节机制的共同作用下，生猪市场供需关系正在重构和改善，有望促进猪价回升稳定至合理水平。公司在行业前进的逻辑中进步并在时代发展的潮流中变革，以提高生产水平与产品质量赋能提升经营业绩，推动公司高质量发展和可持续健康成长。</w:t>
            </w:r>
          </w:p>
          <w:p w14:paraId="1AD05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0" w:firstLineChars="0"/>
              <w:jc w:val="both"/>
              <w:textAlignment w:val="auto"/>
              <w:rPr>
                <w:rFonts w:hint="eastAsia"/>
                <w:b/>
                <w:bCs/>
                <w:highlight w:val="none"/>
                <w:lang w:val="en-US"/>
              </w:rPr>
            </w:pPr>
          </w:p>
          <w:p w14:paraId="13D94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0" w:firstLineChars="0"/>
              <w:jc w:val="both"/>
              <w:textAlignment w:val="auto"/>
              <w:rPr>
                <w:rFonts w:hint="eastAsia"/>
                <w:b/>
                <w:bCs/>
                <w:highlight w:val="none"/>
                <w:lang w:val="en-US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二</w:t>
            </w:r>
            <w:r>
              <w:rPr>
                <w:rFonts w:hint="eastAsia"/>
                <w:b/>
                <w:bCs/>
                <w:highlight w:val="none"/>
                <w:lang w:val="en-US"/>
              </w:rPr>
              <w:t>、公司生猪养殖生产指标</w:t>
            </w: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与完全成本</w:t>
            </w:r>
            <w:r>
              <w:rPr>
                <w:rFonts w:hint="eastAsia"/>
                <w:b/>
                <w:bCs/>
                <w:highlight w:val="none"/>
                <w:lang w:val="en-US"/>
              </w:rPr>
              <w:t>情况？</w:t>
            </w:r>
          </w:p>
          <w:p w14:paraId="14C6B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0" w:firstLineChars="200"/>
              <w:jc w:val="both"/>
              <w:textAlignment w:val="auto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/>
              </w:rPr>
              <w:t>公司以</w:t>
            </w:r>
            <w:r>
              <w:rPr>
                <w:rFonts w:hint="eastAsia"/>
                <w:highlight w:val="none"/>
                <w:lang w:val="en-US" w:eastAsia="zh-CN"/>
              </w:rPr>
              <w:t>世界</w:t>
            </w:r>
            <w:r>
              <w:rPr>
                <w:rFonts w:hint="eastAsia"/>
                <w:highlight w:val="none"/>
                <w:lang w:val="en-US"/>
              </w:rPr>
              <w:t>先进育种企业为标杆，</w:t>
            </w:r>
            <w:r>
              <w:rPr>
                <w:rFonts w:hint="eastAsia"/>
                <w:highlight w:val="none"/>
                <w:lang w:val="en-US" w:eastAsia="zh-CN"/>
              </w:rPr>
              <w:t>整合</w:t>
            </w:r>
            <w:r>
              <w:rPr>
                <w:rFonts w:hint="eastAsia"/>
                <w:highlight w:val="none"/>
                <w:lang w:val="en-US"/>
              </w:rPr>
              <w:t>构建并</w:t>
            </w:r>
            <w:r>
              <w:rPr>
                <w:rFonts w:hint="eastAsia"/>
                <w:highlight w:val="none"/>
                <w:lang w:val="en-US" w:eastAsia="zh-CN"/>
              </w:rPr>
              <w:t>改进</w:t>
            </w:r>
            <w:r>
              <w:rPr>
                <w:rFonts w:hint="eastAsia"/>
                <w:highlight w:val="none"/>
                <w:lang w:val="en-US"/>
              </w:rPr>
              <w:t>完善基因育种改良体系，持续提升种猪群体生产性能。2026年上半年，公司生猪养殖业务的标杆种场PSY突破35</w:t>
            </w:r>
            <w:r>
              <w:rPr>
                <w:rFonts w:hint="eastAsia"/>
                <w:highlight w:val="none"/>
                <w:lang w:val="en-US" w:eastAsia="zh-CN"/>
              </w:rPr>
              <w:t>，</w:t>
            </w:r>
            <w:r>
              <w:rPr>
                <w:rFonts w:hint="eastAsia"/>
                <w:highlight w:val="none"/>
                <w:lang w:val="en-US"/>
              </w:rPr>
              <w:t>种群PSY达到30以上</w:t>
            </w:r>
            <w:r>
              <w:rPr>
                <w:rFonts w:hint="eastAsia"/>
                <w:highlight w:val="none"/>
                <w:lang w:val="en-US" w:eastAsia="zh-CN"/>
              </w:rPr>
              <w:t>；2026年7月，公司</w:t>
            </w:r>
            <w:r>
              <w:rPr>
                <w:rFonts w:hint="eastAsia"/>
                <w:highlight w:val="none"/>
                <w:lang w:val="en-US"/>
              </w:rPr>
              <w:t>生猪养殖业务的</w:t>
            </w:r>
            <w:r>
              <w:rPr>
                <w:rFonts w:hint="eastAsia"/>
                <w:highlight w:val="none"/>
                <w:lang w:val="en-US" w:eastAsia="zh-CN"/>
              </w:rPr>
              <w:t>种群PSY达到31以上，公司的</w:t>
            </w:r>
            <w:r>
              <w:rPr>
                <w:rFonts w:hint="eastAsia"/>
                <w:highlight w:val="none"/>
                <w:lang w:val="en-US"/>
              </w:rPr>
              <w:t>种猪</w:t>
            </w:r>
            <w:r>
              <w:rPr>
                <w:rFonts w:hint="eastAsia"/>
                <w:highlight w:val="none"/>
                <w:lang w:val="en-US" w:eastAsia="zh-CN"/>
              </w:rPr>
              <w:t>效能</w:t>
            </w:r>
            <w:r>
              <w:rPr>
                <w:rFonts w:hint="eastAsia"/>
                <w:highlight w:val="none"/>
                <w:lang w:val="en-US"/>
              </w:rPr>
              <w:t>持续引领国内行业领先水平。</w:t>
            </w:r>
          </w:p>
          <w:p w14:paraId="428C0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0" w:firstLineChars="200"/>
              <w:jc w:val="both"/>
              <w:textAlignment w:val="auto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/>
              </w:rPr>
              <w:t>基于种场生产效率与健康度等核心优势的持续提升与充分释放，公司重点聚焦提升生猪育肥环节效率，通过降低育肥料肉比、提高日增重与育肥存活率，实现种场优势向育肥全流程价值的高效转化。2026年上半年，</w:t>
            </w:r>
            <w:r>
              <w:rPr>
                <w:rFonts w:hint="eastAsia"/>
                <w:highlight w:val="none"/>
                <w:lang w:val="en-US" w:eastAsia="zh-CN"/>
              </w:rPr>
              <w:t>公司的</w:t>
            </w:r>
            <w:r>
              <w:rPr>
                <w:rFonts w:hint="eastAsia"/>
                <w:highlight w:val="none"/>
                <w:lang w:val="en-US"/>
              </w:rPr>
              <w:t>育肥成活率</w:t>
            </w:r>
            <w:r>
              <w:rPr>
                <w:rFonts w:hint="eastAsia"/>
                <w:highlight w:val="none"/>
                <w:lang w:val="en-US" w:eastAsia="zh-CN"/>
              </w:rPr>
              <w:t>约</w:t>
            </w:r>
            <w:r>
              <w:rPr>
                <w:rFonts w:hint="eastAsia"/>
                <w:highlight w:val="none"/>
                <w:lang w:val="en-US"/>
              </w:rPr>
              <w:t>为</w:t>
            </w:r>
            <w:r>
              <w:rPr>
                <w:rFonts w:hint="eastAsia"/>
                <w:highlight w:val="none"/>
                <w:lang w:val="en-US" w:eastAsia="zh-CN"/>
              </w:rPr>
              <w:t>95</w:t>
            </w:r>
            <w:r>
              <w:rPr>
                <w:rFonts w:hint="eastAsia"/>
                <w:highlight w:val="none"/>
                <w:lang w:val="en-US"/>
              </w:rPr>
              <w:t>%，标准商品肥猪料肉比约为</w:t>
            </w:r>
            <w:r>
              <w:rPr>
                <w:rFonts w:hint="eastAsia"/>
                <w:highlight w:val="none"/>
                <w:lang w:val="en-US" w:eastAsia="zh-CN"/>
              </w:rPr>
              <w:t>2.5；2026年7月，公司的</w:t>
            </w:r>
            <w:r>
              <w:rPr>
                <w:rFonts w:hint="eastAsia"/>
                <w:highlight w:val="none"/>
                <w:lang w:val="en-US"/>
              </w:rPr>
              <w:t>育肥成活率</w:t>
            </w:r>
            <w:r>
              <w:rPr>
                <w:rFonts w:hint="eastAsia"/>
                <w:highlight w:val="none"/>
                <w:lang w:val="en-US" w:eastAsia="zh-CN"/>
              </w:rPr>
              <w:t>保持稳定</w:t>
            </w:r>
            <w:r>
              <w:rPr>
                <w:rFonts w:hint="eastAsia"/>
                <w:highlight w:val="none"/>
                <w:lang w:val="en-US"/>
              </w:rPr>
              <w:t>为</w:t>
            </w:r>
            <w:r>
              <w:rPr>
                <w:rFonts w:hint="eastAsia"/>
                <w:highlight w:val="none"/>
                <w:lang w:val="en-US" w:eastAsia="zh-CN"/>
              </w:rPr>
              <w:t>95</w:t>
            </w:r>
            <w:r>
              <w:rPr>
                <w:rFonts w:hint="eastAsia"/>
                <w:highlight w:val="none"/>
                <w:lang w:val="en-US"/>
              </w:rPr>
              <w:t>%，标准商品肥猪料肉比</w:t>
            </w:r>
            <w:r>
              <w:rPr>
                <w:rFonts w:hint="eastAsia"/>
                <w:highlight w:val="none"/>
                <w:lang w:val="en-US" w:eastAsia="zh-CN"/>
              </w:rPr>
              <w:t>降至2.44</w:t>
            </w:r>
            <w:r>
              <w:rPr>
                <w:rFonts w:hint="eastAsia"/>
                <w:highlight w:val="none"/>
                <w:lang w:val="en-US"/>
              </w:rPr>
              <w:t>。</w:t>
            </w:r>
          </w:p>
          <w:p w14:paraId="5D70A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0" w:firstLineChars="200"/>
              <w:jc w:val="both"/>
              <w:textAlignment w:val="auto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公司积极响应国家生猪产能调控政策号召，坚定落实生猪产能调控责任，公司能繁母猪数量位于生猪产能合理目标区间。2026年上半年，因持续淘汰低效种猪产能导致资产处置损失影响，公司的商品肥猪完全成本为6.3元/斤以内。</w:t>
            </w:r>
            <w:r>
              <w:rPr>
                <w:rFonts w:hint="eastAsia"/>
                <w:highlight w:val="none"/>
                <w:lang w:val="en-US"/>
              </w:rPr>
              <w:t>得益于种场优势的持续提升和育肥效率的不断优化，公司商品肥猪完全成本呈现出持续改进态势。</w:t>
            </w:r>
            <w:r>
              <w:rPr>
                <w:rFonts w:hint="eastAsia"/>
                <w:highlight w:val="none"/>
                <w:lang w:val="en-US" w:eastAsia="zh-CN"/>
              </w:rPr>
              <w:t>2026年7月，公司的商品肥猪完全成本降至6.2元/斤以内</w:t>
            </w:r>
            <w:r>
              <w:rPr>
                <w:rFonts w:hint="eastAsia"/>
                <w:highlight w:val="none"/>
                <w:lang w:val="en-US"/>
              </w:rPr>
              <w:t>。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随着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低效种猪产能资产处置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因素影响减弱和公司生产指标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养殖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效率持续改进，公司</w:t>
            </w:r>
            <w:r>
              <w:rPr>
                <w:rFonts w:hint="eastAsia"/>
                <w:highlight w:val="none"/>
                <w:lang w:val="en-US"/>
              </w:rPr>
              <w:t>商品肥猪完全成本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预计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在2026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四季度降至6.0元/斤以内。</w:t>
            </w:r>
          </w:p>
          <w:p w14:paraId="760E5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0" w:firstLineChars="200"/>
              <w:jc w:val="both"/>
              <w:textAlignment w:val="auto"/>
              <w:rPr>
                <w:rFonts w:hint="eastAsia"/>
                <w:highlight w:val="none"/>
                <w:lang w:val="en-US"/>
              </w:rPr>
            </w:pPr>
          </w:p>
          <w:p w14:paraId="015E3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0" w:firstLineChars="0"/>
              <w:jc w:val="both"/>
              <w:textAlignment w:val="auto"/>
              <w:rPr>
                <w:rFonts w:hint="eastAsia"/>
                <w:b/>
                <w:bCs/>
                <w:highlight w:val="none"/>
                <w:lang w:val="en-US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三</w:t>
            </w:r>
            <w:r>
              <w:rPr>
                <w:rFonts w:hint="eastAsia"/>
                <w:b/>
                <w:bCs/>
                <w:highlight w:val="none"/>
                <w:lang w:val="en-US"/>
              </w:rPr>
              <w:t>、公司安全经营与可持续发展情况？</w:t>
            </w:r>
          </w:p>
          <w:p w14:paraId="613B0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0" w:firstLineChars="200"/>
              <w:jc w:val="both"/>
              <w:textAlignment w:val="auto"/>
              <w:rPr>
                <w:rFonts w:hint="default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于1994年创立饲料业务，2005年进军养猪行业。经过多年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现代化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、规模化、标准化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生猪养殖实践与创新，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公司已经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积累了丰富的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企业经营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经验和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先进的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养殖管理技术，具备连续穿越多轮猪周期的成功经验和关键能力。在经营方面，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通过加强生产管理促进增效降本，以提高生产水平赋能提升经营业绩，积极提升回报投资者能力和水平，推动公司高质量发展和可持续健康成长。在管理方面，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高度重视企业安全经营和稳健发展，已建立覆盖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财务、生产、资产、品牌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核心风险防线作为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企业安全经营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根本保障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，为企业可持续发展构筑了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“成本、产业链、金融、品牌”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多维度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/>
              </w:rPr>
              <w:t>护城河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。2026年上半年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，公司经营稳健管理有序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highlight w:val="none"/>
                <w:shd w:val="clear" w:fill="auto"/>
                <w:lang w:val="en-US"/>
              </w:rPr>
              <w:t>财务状况</w:t>
            </w:r>
            <w:r>
              <w:rPr>
                <w:rFonts w:hint="eastAsia" w:cs="宋体"/>
                <w:i w:val="0"/>
                <w:iCs w:val="0"/>
                <w:caps w:val="0"/>
                <w:spacing w:val="0"/>
                <w:sz w:val="22"/>
                <w:szCs w:val="22"/>
                <w:highlight w:val="none"/>
                <w:shd w:val="clear"/>
                <w:lang w:val="en-US" w:eastAsia="zh-CN"/>
              </w:rPr>
              <w:t>良好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，融资渠道畅通现金流稳定健康，企业资产负债率稳中有降，经营韧性在周期底部得以充分验证，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公司</w:t>
            </w:r>
            <w:r>
              <w:rPr>
                <w:rFonts w:hint="eastAsia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未来的高质量发展和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可持续健康成长</w:t>
            </w:r>
            <w:r>
              <w:rPr>
                <w:rFonts w:hint="eastAsia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将得到坚实保障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。</w:t>
            </w:r>
          </w:p>
          <w:p w14:paraId="21BA6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0" w:firstLineChars="2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2026年上半年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，公司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已依法实施完成向特定对象发行股票相关事项，公司投资价值得到资本市场的积极反馈与广大投资者的高度认可，基于对公司发展前景的坚定信心以及对公司长期投资价值的认可，公司控股股东四川巨星企业集团有限公司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本次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已认购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增持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公司股票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本次募投项目“公猪站建设项目、养殖技术研究基地建设项目、数字智能化建设项目”符合国家加快建设农业强国战略要求及生猪产业高质量发展方向，通过优质基因高效利用、先进技术研发推广、数智化升级改造等多个维度，致力于提高公司的养殖效率和经营质量，有利于增强</w:t>
            </w: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的行业竞争力和推动实现高质量发展，以“提质增效、研发创新、数智赋能”等领域的投入实践为生猪养殖行业打造高质量发展范本。</w:t>
            </w:r>
          </w:p>
          <w:p w14:paraId="0DA47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ind w:firstLine="440" w:firstLineChars="200"/>
              <w:jc w:val="both"/>
              <w:textAlignment w:val="auto"/>
              <w:rPr>
                <w:rFonts w:hint="default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highlight w:val="none"/>
                <w:lang w:val="en-US" w:eastAsia="zh-CN"/>
              </w:rPr>
              <w:t>公司高度重视股东回报工作并多维度开展市值管理，</w:t>
            </w:r>
            <w:r>
              <w:rPr>
                <w:rFonts w:hint="eastAsia"/>
                <w:highlight w:val="none"/>
                <w:lang w:val="en-US"/>
              </w:rPr>
              <w:t>2026年上半年，</w:t>
            </w:r>
            <w:r>
              <w:rPr>
                <w:rFonts w:hint="eastAsia"/>
                <w:highlight w:val="none"/>
                <w:lang w:val="en-US" w:eastAsia="zh-CN"/>
              </w:rPr>
              <w:t>公司披露了《2026年度“提质增效重回报”行动方案》，并从“深耕主营业务夯实经营质效、完善公司治理规范决策运作、提升投资价值持续回报股东”多个方面开展践行落实并按计划完成股东分红，努力提升公司经营质量和投资价值。为了健全公司长效激励机制并充分调动公司管理者和员工的积极性，</w:t>
            </w:r>
            <w:r>
              <w:rPr>
                <w:rFonts w:hint="eastAsia"/>
                <w:highlight w:val="none"/>
                <w:lang w:val="en-US"/>
              </w:rPr>
              <w:t>2026年上半年</w:t>
            </w:r>
            <w:r>
              <w:rPr>
                <w:rFonts w:hint="eastAsia"/>
                <w:highlight w:val="none"/>
                <w:lang w:val="en-US" w:eastAsia="zh-CN"/>
              </w:rPr>
              <w:t>公司推出“乐山巨星农牧股份有限公司第一期员工持股计划”，持股计划的考核指标与激励方式符合行业未来发展趋势，得到了公司员工的充分认可和积极参与，有利于加强公司员工的责任心、凝聚力，提高公司的综合竞争力。</w:t>
            </w:r>
          </w:p>
        </w:tc>
      </w:tr>
      <w:tr w14:paraId="607A06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94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603D08">
            <w:pPr>
              <w:pStyle w:val="17"/>
              <w:autoSpaceDE/>
              <w:autoSpaceDN/>
              <w:spacing w:line="410" w:lineRule="exact"/>
              <w:ind w:firstLine="221" w:firstLineChars="100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附件清单（如有）</w:t>
            </w:r>
          </w:p>
        </w:tc>
        <w:tc>
          <w:tcPr>
            <w:tcW w:w="3905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2D417945">
            <w:pPr>
              <w:pStyle w:val="17"/>
              <w:autoSpaceDE/>
              <w:autoSpaceDN/>
              <w:spacing w:line="410" w:lineRule="exact"/>
              <w:jc w:val="both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</w:rPr>
              <w:t>无</w:t>
            </w:r>
          </w:p>
        </w:tc>
      </w:tr>
      <w:tr w14:paraId="4572C8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094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202EBB">
            <w:pPr>
              <w:pStyle w:val="17"/>
              <w:autoSpaceDE/>
              <w:autoSpaceDN/>
              <w:spacing w:line="410" w:lineRule="exact"/>
              <w:ind w:firstLine="221" w:firstLineChars="100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  <w:lang w:val="en-US"/>
              </w:rPr>
              <w:t>日期</w:t>
            </w:r>
          </w:p>
        </w:tc>
        <w:tc>
          <w:tcPr>
            <w:tcW w:w="3905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6C252084">
            <w:pPr>
              <w:pStyle w:val="17"/>
              <w:autoSpaceDE/>
              <w:autoSpaceDN/>
              <w:spacing w:line="410" w:lineRule="exact"/>
              <w:jc w:val="both"/>
              <w:rPr>
                <w:rFonts w:hint="eastAsia"/>
                <w:highlight w:val="none"/>
                <w:lang w:val="en-US"/>
              </w:rPr>
            </w:pPr>
            <w:r>
              <w:rPr>
                <w:rFonts w:hint="eastAsia"/>
                <w:highlight w:val="none"/>
                <w:lang w:val="en-US"/>
              </w:rPr>
              <w:t>2026年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highlight w:val="none"/>
                <w:lang w:val="en-US"/>
              </w:rPr>
              <w:t>月2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highlight w:val="none"/>
                <w:lang w:val="en-US"/>
              </w:rPr>
              <w:t>日</w:t>
            </w:r>
          </w:p>
        </w:tc>
      </w:tr>
      <w:tr w14:paraId="5D8B62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  <w:jc w:val="center"/>
        </w:trPr>
        <w:tc>
          <w:tcPr>
            <w:tcW w:w="1094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80AED7">
            <w:pPr>
              <w:pStyle w:val="17"/>
              <w:autoSpaceDE/>
              <w:autoSpaceDN/>
              <w:spacing w:line="410" w:lineRule="exact"/>
              <w:ind w:firstLine="221" w:firstLineChars="100"/>
              <w:rPr>
                <w:rFonts w:hint="eastAsia"/>
                <w:b/>
                <w:bCs/>
                <w:highlight w:val="none"/>
                <w:lang w:val="en-US"/>
              </w:rPr>
            </w:pPr>
            <w:r>
              <w:rPr>
                <w:rFonts w:hint="eastAsia"/>
                <w:b/>
                <w:bCs/>
                <w:highlight w:val="none"/>
                <w:lang w:val="en-US"/>
              </w:rPr>
              <w:t>重要提示</w:t>
            </w:r>
          </w:p>
        </w:tc>
        <w:tc>
          <w:tcPr>
            <w:tcW w:w="3905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6BB85D86">
            <w:pPr>
              <w:pStyle w:val="17"/>
              <w:autoSpaceDE/>
              <w:autoSpaceDN/>
              <w:spacing w:line="410" w:lineRule="exact"/>
              <w:ind w:right="227"/>
              <w:jc w:val="both"/>
              <w:rPr>
                <w:rFonts w:hint="eastAsia"/>
                <w:b/>
                <w:bCs/>
                <w:highlight w:val="none"/>
                <w:lang w:val="en-US"/>
              </w:rPr>
            </w:pPr>
            <w:r>
              <w:rPr>
                <w:rFonts w:hint="eastAsia"/>
                <w:b/>
                <w:bCs/>
                <w:highlight w:val="none"/>
                <w:lang w:val="en-US"/>
              </w:rPr>
              <w:t>公司郑重提醒如下：</w:t>
            </w:r>
          </w:p>
          <w:p w14:paraId="412BE317">
            <w:pPr>
              <w:pStyle w:val="17"/>
              <w:autoSpaceDE/>
              <w:autoSpaceDN/>
              <w:spacing w:line="410" w:lineRule="exact"/>
              <w:ind w:right="227" w:firstLine="442" w:firstLineChars="200"/>
              <w:jc w:val="both"/>
              <w:rPr>
                <w:rFonts w:hint="eastAsia"/>
                <w:b/>
                <w:bCs/>
                <w:highlight w:val="none"/>
                <w:lang w:val="en-US"/>
              </w:rPr>
            </w:pPr>
            <w:r>
              <w:rPr>
                <w:rFonts w:hint="eastAsia"/>
                <w:b/>
                <w:bCs/>
                <w:highlight w:val="none"/>
                <w:lang w:val="en-US"/>
              </w:rPr>
              <w:t>参与单位和人员由组织机构整理提供，鉴于参与单位和人员的数量较多，公司无法完全保证参与单位和人员的完整性、准确性，敬请投资者特别注意。</w:t>
            </w:r>
          </w:p>
          <w:p w14:paraId="62701288">
            <w:pPr>
              <w:pStyle w:val="17"/>
              <w:autoSpaceDE/>
              <w:autoSpaceDN/>
              <w:spacing w:line="410" w:lineRule="exact"/>
              <w:ind w:right="227" w:firstLine="442" w:firstLineChars="200"/>
              <w:jc w:val="both"/>
              <w:rPr>
                <w:rFonts w:hint="eastAsia"/>
                <w:b/>
                <w:bCs/>
                <w:highlight w:val="none"/>
                <w:lang w:val="en-US"/>
              </w:rPr>
            </w:pPr>
            <w:r>
              <w:rPr>
                <w:rFonts w:hint="eastAsia"/>
                <w:b/>
                <w:bCs/>
                <w:highlight w:val="none"/>
                <w:lang w:val="en-US"/>
              </w:rPr>
              <w:t>以上内容如涉及行业预测研判、公司发展战略、公司经营计划等相关内容，均不构成公司的实质性承诺和保证，敬请广大投资者审慎决策，理性投资，注意风险。</w:t>
            </w:r>
          </w:p>
        </w:tc>
      </w:tr>
    </w:tbl>
    <w:p w14:paraId="2C3A3B09">
      <w:pPr>
        <w:autoSpaceDE/>
        <w:autoSpaceDN/>
        <w:spacing w:line="410" w:lineRule="exact"/>
        <w:rPr>
          <w:rFonts w:hint="eastAsia"/>
          <w:highlight w:val="none"/>
        </w:rPr>
      </w:pPr>
    </w:p>
    <w:bookmarkEnd w:id="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wMmExZDZmNDI3YTI0ZTA3YTlkODY1MDIyMDY1YmQifQ=="/>
  </w:docVars>
  <w:rsids>
    <w:rsidRoot w:val="00172A27"/>
    <w:rsid w:val="00003A23"/>
    <w:rsid w:val="00012C3C"/>
    <w:rsid w:val="00021A23"/>
    <w:rsid w:val="00043144"/>
    <w:rsid w:val="00051ACB"/>
    <w:rsid w:val="0005797E"/>
    <w:rsid w:val="00066B41"/>
    <w:rsid w:val="000A5FF0"/>
    <w:rsid w:val="000D401A"/>
    <w:rsid w:val="001027CE"/>
    <w:rsid w:val="00172A27"/>
    <w:rsid w:val="00172E78"/>
    <w:rsid w:val="001777D7"/>
    <w:rsid w:val="001D6B58"/>
    <w:rsid w:val="001E1559"/>
    <w:rsid w:val="001E6FA8"/>
    <w:rsid w:val="00212EE9"/>
    <w:rsid w:val="00222182"/>
    <w:rsid w:val="00237FD3"/>
    <w:rsid w:val="00267242"/>
    <w:rsid w:val="002771C1"/>
    <w:rsid w:val="002772C9"/>
    <w:rsid w:val="00281466"/>
    <w:rsid w:val="00297859"/>
    <w:rsid w:val="002A2845"/>
    <w:rsid w:val="002B06D1"/>
    <w:rsid w:val="002C20BC"/>
    <w:rsid w:val="002C5FED"/>
    <w:rsid w:val="002F239D"/>
    <w:rsid w:val="003016D7"/>
    <w:rsid w:val="00325770"/>
    <w:rsid w:val="00382DEE"/>
    <w:rsid w:val="00393382"/>
    <w:rsid w:val="003A0D3D"/>
    <w:rsid w:val="003B0AC4"/>
    <w:rsid w:val="00427279"/>
    <w:rsid w:val="00451F63"/>
    <w:rsid w:val="00454B1E"/>
    <w:rsid w:val="00484D5D"/>
    <w:rsid w:val="004D3A8C"/>
    <w:rsid w:val="004F3CD1"/>
    <w:rsid w:val="00504925"/>
    <w:rsid w:val="00523918"/>
    <w:rsid w:val="00535CFB"/>
    <w:rsid w:val="005539A0"/>
    <w:rsid w:val="00584537"/>
    <w:rsid w:val="005B2C6A"/>
    <w:rsid w:val="005E3F93"/>
    <w:rsid w:val="005E6EE3"/>
    <w:rsid w:val="00621968"/>
    <w:rsid w:val="00623D63"/>
    <w:rsid w:val="00630ED4"/>
    <w:rsid w:val="00632DFC"/>
    <w:rsid w:val="00680DF4"/>
    <w:rsid w:val="00690C0F"/>
    <w:rsid w:val="00694EA3"/>
    <w:rsid w:val="006A1001"/>
    <w:rsid w:val="006A325B"/>
    <w:rsid w:val="006D0ECA"/>
    <w:rsid w:val="006E50D8"/>
    <w:rsid w:val="006F0F69"/>
    <w:rsid w:val="006F3C3A"/>
    <w:rsid w:val="00706238"/>
    <w:rsid w:val="00716F9E"/>
    <w:rsid w:val="0071754D"/>
    <w:rsid w:val="0072278D"/>
    <w:rsid w:val="00741EC4"/>
    <w:rsid w:val="007538DE"/>
    <w:rsid w:val="00761751"/>
    <w:rsid w:val="00771863"/>
    <w:rsid w:val="007740DC"/>
    <w:rsid w:val="007A179B"/>
    <w:rsid w:val="007C7866"/>
    <w:rsid w:val="007D5E4C"/>
    <w:rsid w:val="007E773D"/>
    <w:rsid w:val="00805BB0"/>
    <w:rsid w:val="008076C4"/>
    <w:rsid w:val="008173A4"/>
    <w:rsid w:val="0083050D"/>
    <w:rsid w:val="00832179"/>
    <w:rsid w:val="00837083"/>
    <w:rsid w:val="008435C7"/>
    <w:rsid w:val="00865AAD"/>
    <w:rsid w:val="00867ED8"/>
    <w:rsid w:val="00872FDA"/>
    <w:rsid w:val="00887EEF"/>
    <w:rsid w:val="008A5769"/>
    <w:rsid w:val="008A593D"/>
    <w:rsid w:val="008B0EB1"/>
    <w:rsid w:val="008C7824"/>
    <w:rsid w:val="00953938"/>
    <w:rsid w:val="009C1ED4"/>
    <w:rsid w:val="00A662B0"/>
    <w:rsid w:val="00A775A7"/>
    <w:rsid w:val="00AE0D36"/>
    <w:rsid w:val="00B35DFB"/>
    <w:rsid w:val="00B40388"/>
    <w:rsid w:val="00B65A43"/>
    <w:rsid w:val="00B706B1"/>
    <w:rsid w:val="00B71531"/>
    <w:rsid w:val="00B74C38"/>
    <w:rsid w:val="00BC261E"/>
    <w:rsid w:val="00BC7084"/>
    <w:rsid w:val="00BD3F5F"/>
    <w:rsid w:val="00C124B4"/>
    <w:rsid w:val="00C162F0"/>
    <w:rsid w:val="00C21BEF"/>
    <w:rsid w:val="00C22BFF"/>
    <w:rsid w:val="00C24231"/>
    <w:rsid w:val="00C3689D"/>
    <w:rsid w:val="00C55837"/>
    <w:rsid w:val="00C62EF2"/>
    <w:rsid w:val="00C75AD5"/>
    <w:rsid w:val="00C92C7A"/>
    <w:rsid w:val="00C93833"/>
    <w:rsid w:val="00CA613C"/>
    <w:rsid w:val="00CB3418"/>
    <w:rsid w:val="00CB66CC"/>
    <w:rsid w:val="00CC29BF"/>
    <w:rsid w:val="00CD7A61"/>
    <w:rsid w:val="00CE6E5D"/>
    <w:rsid w:val="00CF599A"/>
    <w:rsid w:val="00D24451"/>
    <w:rsid w:val="00D51161"/>
    <w:rsid w:val="00D53792"/>
    <w:rsid w:val="00D73DF2"/>
    <w:rsid w:val="00DB4DD3"/>
    <w:rsid w:val="00DC140D"/>
    <w:rsid w:val="00DD6BA7"/>
    <w:rsid w:val="00E26C16"/>
    <w:rsid w:val="00E354B5"/>
    <w:rsid w:val="00E733E4"/>
    <w:rsid w:val="00E86D43"/>
    <w:rsid w:val="00EA2F91"/>
    <w:rsid w:val="00EC0B09"/>
    <w:rsid w:val="00EF5382"/>
    <w:rsid w:val="00F01814"/>
    <w:rsid w:val="00F039D0"/>
    <w:rsid w:val="00F52695"/>
    <w:rsid w:val="00F802A5"/>
    <w:rsid w:val="00F80918"/>
    <w:rsid w:val="00FA1388"/>
    <w:rsid w:val="00FB5A77"/>
    <w:rsid w:val="00FC46A8"/>
    <w:rsid w:val="00FF0827"/>
    <w:rsid w:val="00FF749E"/>
    <w:rsid w:val="01172A03"/>
    <w:rsid w:val="012078EB"/>
    <w:rsid w:val="01396E1E"/>
    <w:rsid w:val="015F5965"/>
    <w:rsid w:val="017B7436"/>
    <w:rsid w:val="01A52705"/>
    <w:rsid w:val="01B464A4"/>
    <w:rsid w:val="01BB5A85"/>
    <w:rsid w:val="01C26E13"/>
    <w:rsid w:val="020E02AA"/>
    <w:rsid w:val="02203B3A"/>
    <w:rsid w:val="022C24DE"/>
    <w:rsid w:val="02346ABB"/>
    <w:rsid w:val="024C18BD"/>
    <w:rsid w:val="02714395"/>
    <w:rsid w:val="02910C29"/>
    <w:rsid w:val="02C75822"/>
    <w:rsid w:val="02CE17E8"/>
    <w:rsid w:val="02D05560"/>
    <w:rsid w:val="02F92D08"/>
    <w:rsid w:val="03023B12"/>
    <w:rsid w:val="033E071B"/>
    <w:rsid w:val="03433F84"/>
    <w:rsid w:val="034A5312"/>
    <w:rsid w:val="034F46D6"/>
    <w:rsid w:val="03667C72"/>
    <w:rsid w:val="03A534BE"/>
    <w:rsid w:val="03B60BF9"/>
    <w:rsid w:val="0405748B"/>
    <w:rsid w:val="04073203"/>
    <w:rsid w:val="04365896"/>
    <w:rsid w:val="04453B3A"/>
    <w:rsid w:val="045035FE"/>
    <w:rsid w:val="045C354F"/>
    <w:rsid w:val="048E6375"/>
    <w:rsid w:val="04A76B24"/>
    <w:rsid w:val="04D8694E"/>
    <w:rsid w:val="04F012CE"/>
    <w:rsid w:val="050E4DFB"/>
    <w:rsid w:val="05151950"/>
    <w:rsid w:val="05387E70"/>
    <w:rsid w:val="054D733B"/>
    <w:rsid w:val="055A53DC"/>
    <w:rsid w:val="055D6392"/>
    <w:rsid w:val="056A3A4A"/>
    <w:rsid w:val="05777F14"/>
    <w:rsid w:val="059005EC"/>
    <w:rsid w:val="05A607FA"/>
    <w:rsid w:val="05B169EF"/>
    <w:rsid w:val="05C80770"/>
    <w:rsid w:val="062F6A41"/>
    <w:rsid w:val="064A7E58"/>
    <w:rsid w:val="06606C84"/>
    <w:rsid w:val="06652463"/>
    <w:rsid w:val="068943A3"/>
    <w:rsid w:val="06930D7E"/>
    <w:rsid w:val="069517C3"/>
    <w:rsid w:val="0696261C"/>
    <w:rsid w:val="06A66D03"/>
    <w:rsid w:val="06C87A51"/>
    <w:rsid w:val="070954E4"/>
    <w:rsid w:val="07230354"/>
    <w:rsid w:val="073D0CEA"/>
    <w:rsid w:val="074B1659"/>
    <w:rsid w:val="07577FFE"/>
    <w:rsid w:val="076444C8"/>
    <w:rsid w:val="0790350F"/>
    <w:rsid w:val="07953C33"/>
    <w:rsid w:val="0797489E"/>
    <w:rsid w:val="07DB082D"/>
    <w:rsid w:val="07FE66CB"/>
    <w:rsid w:val="080A1514"/>
    <w:rsid w:val="081C23EE"/>
    <w:rsid w:val="08314658"/>
    <w:rsid w:val="086A722B"/>
    <w:rsid w:val="0874698D"/>
    <w:rsid w:val="08D13DE0"/>
    <w:rsid w:val="094767FF"/>
    <w:rsid w:val="095523FA"/>
    <w:rsid w:val="09AB4631"/>
    <w:rsid w:val="09CB00D1"/>
    <w:rsid w:val="09D02FE3"/>
    <w:rsid w:val="0A38348D"/>
    <w:rsid w:val="0A3C34DB"/>
    <w:rsid w:val="0A6842D0"/>
    <w:rsid w:val="0A6A68E8"/>
    <w:rsid w:val="0A7E1D45"/>
    <w:rsid w:val="0AB1211B"/>
    <w:rsid w:val="0AD019C3"/>
    <w:rsid w:val="0B143E90"/>
    <w:rsid w:val="0B372620"/>
    <w:rsid w:val="0B3F3282"/>
    <w:rsid w:val="0B7373D0"/>
    <w:rsid w:val="0BC74EA6"/>
    <w:rsid w:val="0BCB2D68"/>
    <w:rsid w:val="0BCB667F"/>
    <w:rsid w:val="0C2C33CB"/>
    <w:rsid w:val="0C3721AC"/>
    <w:rsid w:val="0C48085D"/>
    <w:rsid w:val="0C54227B"/>
    <w:rsid w:val="0C6D1CE1"/>
    <w:rsid w:val="0C7358DA"/>
    <w:rsid w:val="0C767F6B"/>
    <w:rsid w:val="0C7B653C"/>
    <w:rsid w:val="0C8D626F"/>
    <w:rsid w:val="0CC7352F"/>
    <w:rsid w:val="0D044784"/>
    <w:rsid w:val="0D0D37A8"/>
    <w:rsid w:val="0D295F98"/>
    <w:rsid w:val="0D35493D"/>
    <w:rsid w:val="0D436730"/>
    <w:rsid w:val="0D5200C9"/>
    <w:rsid w:val="0D88200D"/>
    <w:rsid w:val="0D9553DC"/>
    <w:rsid w:val="0D9F625A"/>
    <w:rsid w:val="0E107158"/>
    <w:rsid w:val="0E26529F"/>
    <w:rsid w:val="0E4F36CC"/>
    <w:rsid w:val="0EA578A0"/>
    <w:rsid w:val="0EA77ABC"/>
    <w:rsid w:val="0EB16245"/>
    <w:rsid w:val="0EC3241C"/>
    <w:rsid w:val="0EC95C85"/>
    <w:rsid w:val="0EDC703A"/>
    <w:rsid w:val="0EF44384"/>
    <w:rsid w:val="0F0A1DF9"/>
    <w:rsid w:val="0F29227F"/>
    <w:rsid w:val="0F2E7C9C"/>
    <w:rsid w:val="0F3A0791"/>
    <w:rsid w:val="0F451083"/>
    <w:rsid w:val="0F56503F"/>
    <w:rsid w:val="0F6E05DA"/>
    <w:rsid w:val="0F953184"/>
    <w:rsid w:val="0FC621C4"/>
    <w:rsid w:val="0FC65D20"/>
    <w:rsid w:val="0FF01911"/>
    <w:rsid w:val="0FFF1232"/>
    <w:rsid w:val="10003D03"/>
    <w:rsid w:val="100D394F"/>
    <w:rsid w:val="1013348F"/>
    <w:rsid w:val="1027004B"/>
    <w:rsid w:val="10305890"/>
    <w:rsid w:val="105B0B5E"/>
    <w:rsid w:val="105C6685"/>
    <w:rsid w:val="105E064F"/>
    <w:rsid w:val="108005C5"/>
    <w:rsid w:val="10817E99"/>
    <w:rsid w:val="108C7316"/>
    <w:rsid w:val="1090632E"/>
    <w:rsid w:val="109B53FF"/>
    <w:rsid w:val="10B262A5"/>
    <w:rsid w:val="10B4026F"/>
    <w:rsid w:val="10D47958"/>
    <w:rsid w:val="10D73F5D"/>
    <w:rsid w:val="10EC7A09"/>
    <w:rsid w:val="10F863AD"/>
    <w:rsid w:val="11034D52"/>
    <w:rsid w:val="11263022"/>
    <w:rsid w:val="11365128"/>
    <w:rsid w:val="11487842"/>
    <w:rsid w:val="11496C09"/>
    <w:rsid w:val="114A2981"/>
    <w:rsid w:val="1158509E"/>
    <w:rsid w:val="115E01DA"/>
    <w:rsid w:val="118714DF"/>
    <w:rsid w:val="118E0AC0"/>
    <w:rsid w:val="11A42091"/>
    <w:rsid w:val="11BF511D"/>
    <w:rsid w:val="11C354DA"/>
    <w:rsid w:val="125E5E40"/>
    <w:rsid w:val="12745F08"/>
    <w:rsid w:val="12D509AD"/>
    <w:rsid w:val="12EC2D08"/>
    <w:rsid w:val="1300779B"/>
    <w:rsid w:val="134753CA"/>
    <w:rsid w:val="13830CE4"/>
    <w:rsid w:val="13B30CB1"/>
    <w:rsid w:val="13D11138"/>
    <w:rsid w:val="13DD5D2E"/>
    <w:rsid w:val="13E0137B"/>
    <w:rsid w:val="13E642B7"/>
    <w:rsid w:val="14074B59"/>
    <w:rsid w:val="140E413A"/>
    <w:rsid w:val="14101C60"/>
    <w:rsid w:val="14223741"/>
    <w:rsid w:val="147E306D"/>
    <w:rsid w:val="148F7029"/>
    <w:rsid w:val="149A59CD"/>
    <w:rsid w:val="14AE3227"/>
    <w:rsid w:val="14C747AB"/>
    <w:rsid w:val="14D25167"/>
    <w:rsid w:val="14F74BCE"/>
    <w:rsid w:val="15001CD4"/>
    <w:rsid w:val="15192D96"/>
    <w:rsid w:val="153E0A4F"/>
    <w:rsid w:val="159A3ED7"/>
    <w:rsid w:val="159D0CC2"/>
    <w:rsid w:val="15AE34DE"/>
    <w:rsid w:val="161E0045"/>
    <w:rsid w:val="16210154"/>
    <w:rsid w:val="162437A1"/>
    <w:rsid w:val="16810BF3"/>
    <w:rsid w:val="169A1CB5"/>
    <w:rsid w:val="169E79F7"/>
    <w:rsid w:val="169F376F"/>
    <w:rsid w:val="16B03286"/>
    <w:rsid w:val="16F05D79"/>
    <w:rsid w:val="16F16793"/>
    <w:rsid w:val="1700420E"/>
    <w:rsid w:val="171001C9"/>
    <w:rsid w:val="173E0892"/>
    <w:rsid w:val="17442096"/>
    <w:rsid w:val="17710C68"/>
    <w:rsid w:val="1771220A"/>
    <w:rsid w:val="177D51E7"/>
    <w:rsid w:val="178D35C8"/>
    <w:rsid w:val="17B15508"/>
    <w:rsid w:val="17C76AD9"/>
    <w:rsid w:val="17C902F5"/>
    <w:rsid w:val="17CD1C16"/>
    <w:rsid w:val="17DD00AB"/>
    <w:rsid w:val="17E21B65"/>
    <w:rsid w:val="17E51656"/>
    <w:rsid w:val="17F3167D"/>
    <w:rsid w:val="18187335"/>
    <w:rsid w:val="182A7068"/>
    <w:rsid w:val="183879D7"/>
    <w:rsid w:val="183D6D9C"/>
    <w:rsid w:val="183E3F37"/>
    <w:rsid w:val="1866298A"/>
    <w:rsid w:val="1869193F"/>
    <w:rsid w:val="18824AD6"/>
    <w:rsid w:val="188C387F"/>
    <w:rsid w:val="18B62EA4"/>
    <w:rsid w:val="18D15DBA"/>
    <w:rsid w:val="18F03E0E"/>
    <w:rsid w:val="18FF22A3"/>
    <w:rsid w:val="191872B6"/>
    <w:rsid w:val="191A0E8B"/>
    <w:rsid w:val="19273169"/>
    <w:rsid w:val="19466E27"/>
    <w:rsid w:val="196D545F"/>
    <w:rsid w:val="197C1B46"/>
    <w:rsid w:val="199450E1"/>
    <w:rsid w:val="19B65058"/>
    <w:rsid w:val="1A0318E8"/>
    <w:rsid w:val="1A0F29BA"/>
    <w:rsid w:val="1A3146DE"/>
    <w:rsid w:val="1A3B555D"/>
    <w:rsid w:val="1A566023"/>
    <w:rsid w:val="1A807414"/>
    <w:rsid w:val="1AC11F06"/>
    <w:rsid w:val="1ACE4623"/>
    <w:rsid w:val="1B2915DB"/>
    <w:rsid w:val="1B43291B"/>
    <w:rsid w:val="1B46065D"/>
    <w:rsid w:val="1B5667A8"/>
    <w:rsid w:val="1B796AD5"/>
    <w:rsid w:val="1B9B4505"/>
    <w:rsid w:val="1BCA303C"/>
    <w:rsid w:val="1BD23C9F"/>
    <w:rsid w:val="1C041FBD"/>
    <w:rsid w:val="1C080DA8"/>
    <w:rsid w:val="1C0A3439"/>
    <w:rsid w:val="1C2F4C4D"/>
    <w:rsid w:val="1C5823F6"/>
    <w:rsid w:val="1CA1729E"/>
    <w:rsid w:val="1CB82E95"/>
    <w:rsid w:val="1D0D1432"/>
    <w:rsid w:val="1D2422D8"/>
    <w:rsid w:val="1D295B40"/>
    <w:rsid w:val="1D3139D9"/>
    <w:rsid w:val="1D4D7A81"/>
    <w:rsid w:val="1D9751A0"/>
    <w:rsid w:val="1DD737EE"/>
    <w:rsid w:val="1DEF28E6"/>
    <w:rsid w:val="1DF86605"/>
    <w:rsid w:val="1DF919B7"/>
    <w:rsid w:val="1E0D7210"/>
    <w:rsid w:val="1E214681"/>
    <w:rsid w:val="1E2527AC"/>
    <w:rsid w:val="1E2E78B2"/>
    <w:rsid w:val="1E470974"/>
    <w:rsid w:val="1E8F1635"/>
    <w:rsid w:val="1EB15DEE"/>
    <w:rsid w:val="1EFF124F"/>
    <w:rsid w:val="1F091B1C"/>
    <w:rsid w:val="1F4153C3"/>
    <w:rsid w:val="1F417171"/>
    <w:rsid w:val="1F520C33"/>
    <w:rsid w:val="1F7D440A"/>
    <w:rsid w:val="1F8030EA"/>
    <w:rsid w:val="1FC436EF"/>
    <w:rsid w:val="201C373B"/>
    <w:rsid w:val="20280331"/>
    <w:rsid w:val="20360D2B"/>
    <w:rsid w:val="204A474C"/>
    <w:rsid w:val="20607ACB"/>
    <w:rsid w:val="20692C6F"/>
    <w:rsid w:val="209634ED"/>
    <w:rsid w:val="20B47E17"/>
    <w:rsid w:val="20D12777"/>
    <w:rsid w:val="20DB35F6"/>
    <w:rsid w:val="20E00C0C"/>
    <w:rsid w:val="20FB63A1"/>
    <w:rsid w:val="21076199"/>
    <w:rsid w:val="21260D15"/>
    <w:rsid w:val="214271D1"/>
    <w:rsid w:val="218358F0"/>
    <w:rsid w:val="219C0FD7"/>
    <w:rsid w:val="21AE3541"/>
    <w:rsid w:val="222608A0"/>
    <w:rsid w:val="222A213F"/>
    <w:rsid w:val="22433200"/>
    <w:rsid w:val="224A27E1"/>
    <w:rsid w:val="225278E7"/>
    <w:rsid w:val="22850ED9"/>
    <w:rsid w:val="228641B0"/>
    <w:rsid w:val="22941CAE"/>
    <w:rsid w:val="22BD3143"/>
    <w:rsid w:val="22D14C8F"/>
    <w:rsid w:val="22D4654E"/>
    <w:rsid w:val="22EA7B20"/>
    <w:rsid w:val="233314C7"/>
    <w:rsid w:val="23353491"/>
    <w:rsid w:val="2351194D"/>
    <w:rsid w:val="2369313B"/>
    <w:rsid w:val="238241FC"/>
    <w:rsid w:val="23AE6D9F"/>
    <w:rsid w:val="23C325CA"/>
    <w:rsid w:val="23C860B3"/>
    <w:rsid w:val="23DA6CA9"/>
    <w:rsid w:val="240C2350"/>
    <w:rsid w:val="24155071"/>
    <w:rsid w:val="241C01AD"/>
    <w:rsid w:val="24340AE1"/>
    <w:rsid w:val="243F3E9B"/>
    <w:rsid w:val="246649A5"/>
    <w:rsid w:val="246C2EE2"/>
    <w:rsid w:val="247D50F0"/>
    <w:rsid w:val="24945F95"/>
    <w:rsid w:val="249E6E14"/>
    <w:rsid w:val="24A51F50"/>
    <w:rsid w:val="24BC729A"/>
    <w:rsid w:val="24C77D7F"/>
    <w:rsid w:val="24CF3471"/>
    <w:rsid w:val="24D64800"/>
    <w:rsid w:val="24F609FE"/>
    <w:rsid w:val="24FD7FDE"/>
    <w:rsid w:val="25145328"/>
    <w:rsid w:val="25181F7F"/>
    <w:rsid w:val="25445C0D"/>
    <w:rsid w:val="25506360"/>
    <w:rsid w:val="25584F97"/>
    <w:rsid w:val="25826736"/>
    <w:rsid w:val="258C4EBE"/>
    <w:rsid w:val="25CB3C39"/>
    <w:rsid w:val="25CE3729"/>
    <w:rsid w:val="25D36F91"/>
    <w:rsid w:val="25EB42DB"/>
    <w:rsid w:val="25F5515A"/>
    <w:rsid w:val="25F767DC"/>
    <w:rsid w:val="2604539D"/>
    <w:rsid w:val="262670C1"/>
    <w:rsid w:val="26296BB1"/>
    <w:rsid w:val="265256F1"/>
    <w:rsid w:val="267B565F"/>
    <w:rsid w:val="26BE554B"/>
    <w:rsid w:val="26D134D1"/>
    <w:rsid w:val="26EB3E67"/>
    <w:rsid w:val="26ED4885"/>
    <w:rsid w:val="26F45411"/>
    <w:rsid w:val="273121C1"/>
    <w:rsid w:val="27402404"/>
    <w:rsid w:val="27444F6D"/>
    <w:rsid w:val="27473793"/>
    <w:rsid w:val="274E68CF"/>
    <w:rsid w:val="275A389E"/>
    <w:rsid w:val="27677991"/>
    <w:rsid w:val="277545A1"/>
    <w:rsid w:val="278B7B24"/>
    <w:rsid w:val="279F35CF"/>
    <w:rsid w:val="27BE2928"/>
    <w:rsid w:val="280F389E"/>
    <w:rsid w:val="282633A8"/>
    <w:rsid w:val="283E6C8E"/>
    <w:rsid w:val="28724840"/>
    <w:rsid w:val="287E4F92"/>
    <w:rsid w:val="28DF4F39"/>
    <w:rsid w:val="28F45255"/>
    <w:rsid w:val="292024ED"/>
    <w:rsid w:val="292F425E"/>
    <w:rsid w:val="294E0E09"/>
    <w:rsid w:val="298A6873"/>
    <w:rsid w:val="29A46172"/>
    <w:rsid w:val="29F00112"/>
    <w:rsid w:val="2A043BBD"/>
    <w:rsid w:val="2A24600D"/>
    <w:rsid w:val="2A6704CF"/>
    <w:rsid w:val="2A732C8B"/>
    <w:rsid w:val="2AA902C1"/>
    <w:rsid w:val="2ACA0BCA"/>
    <w:rsid w:val="2ADC2444"/>
    <w:rsid w:val="2AE00186"/>
    <w:rsid w:val="2B0100FD"/>
    <w:rsid w:val="2B027480"/>
    <w:rsid w:val="2B2D7144"/>
    <w:rsid w:val="2B3B360F"/>
    <w:rsid w:val="2B517236"/>
    <w:rsid w:val="2B9E76FA"/>
    <w:rsid w:val="2BA2368E"/>
    <w:rsid w:val="2BCE6231"/>
    <w:rsid w:val="2BD001FB"/>
    <w:rsid w:val="2BFB66F7"/>
    <w:rsid w:val="2C581F9E"/>
    <w:rsid w:val="2C7548FE"/>
    <w:rsid w:val="2C8608B9"/>
    <w:rsid w:val="2C8B71C7"/>
    <w:rsid w:val="2C8C39F6"/>
    <w:rsid w:val="2CA945A8"/>
    <w:rsid w:val="2CB27900"/>
    <w:rsid w:val="2CC97E56"/>
    <w:rsid w:val="2CE30BDD"/>
    <w:rsid w:val="2D0F6B01"/>
    <w:rsid w:val="2D2307FE"/>
    <w:rsid w:val="2D3C366E"/>
    <w:rsid w:val="2D574004"/>
    <w:rsid w:val="2D72626E"/>
    <w:rsid w:val="2DB63420"/>
    <w:rsid w:val="2DB75880"/>
    <w:rsid w:val="2DCD42C6"/>
    <w:rsid w:val="2DD438A6"/>
    <w:rsid w:val="2DF13201"/>
    <w:rsid w:val="2DF87595"/>
    <w:rsid w:val="2E093550"/>
    <w:rsid w:val="2E224612"/>
    <w:rsid w:val="2E255EB0"/>
    <w:rsid w:val="2E25631E"/>
    <w:rsid w:val="2E7E623A"/>
    <w:rsid w:val="2E84707B"/>
    <w:rsid w:val="2E89643F"/>
    <w:rsid w:val="2E8C5F2F"/>
    <w:rsid w:val="2E903C71"/>
    <w:rsid w:val="2EA96AE1"/>
    <w:rsid w:val="2EAE2349"/>
    <w:rsid w:val="2EB15996"/>
    <w:rsid w:val="2EDE49DD"/>
    <w:rsid w:val="2EE14754"/>
    <w:rsid w:val="2EE621D6"/>
    <w:rsid w:val="2EE87529"/>
    <w:rsid w:val="2EF22236"/>
    <w:rsid w:val="2F2B1BEC"/>
    <w:rsid w:val="2F542EF1"/>
    <w:rsid w:val="2F601896"/>
    <w:rsid w:val="2F884949"/>
    <w:rsid w:val="2FBE03B0"/>
    <w:rsid w:val="2FC736C3"/>
    <w:rsid w:val="2FDD4C94"/>
    <w:rsid w:val="2FF53BE5"/>
    <w:rsid w:val="30032221"/>
    <w:rsid w:val="30332C85"/>
    <w:rsid w:val="3046098A"/>
    <w:rsid w:val="306233EC"/>
    <w:rsid w:val="3086532C"/>
    <w:rsid w:val="30A77050"/>
    <w:rsid w:val="30AE4883"/>
    <w:rsid w:val="30B023A9"/>
    <w:rsid w:val="30BA6F50"/>
    <w:rsid w:val="30C61BCC"/>
    <w:rsid w:val="30EC0F07"/>
    <w:rsid w:val="30EF74E3"/>
    <w:rsid w:val="31324B8F"/>
    <w:rsid w:val="313F7C11"/>
    <w:rsid w:val="31593667"/>
    <w:rsid w:val="31A31F0E"/>
    <w:rsid w:val="31CD6F8B"/>
    <w:rsid w:val="31DF0848"/>
    <w:rsid w:val="31E84557"/>
    <w:rsid w:val="31F14A27"/>
    <w:rsid w:val="31F2254D"/>
    <w:rsid w:val="322841C1"/>
    <w:rsid w:val="326F1DF0"/>
    <w:rsid w:val="32832EEF"/>
    <w:rsid w:val="329A50BF"/>
    <w:rsid w:val="329D070B"/>
    <w:rsid w:val="32A51E25"/>
    <w:rsid w:val="32B617CD"/>
    <w:rsid w:val="32D06D32"/>
    <w:rsid w:val="32E4633A"/>
    <w:rsid w:val="32F21E69"/>
    <w:rsid w:val="32FE389F"/>
    <w:rsid w:val="330259E4"/>
    <w:rsid w:val="330861DE"/>
    <w:rsid w:val="33122EA7"/>
    <w:rsid w:val="33264BA4"/>
    <w:rsid w:val="332B3F69"/>
    <w:rsid w:val="333A41AC"/>
    <w:rsid w:val="333E2504"/>
    <w:rsid w:val="3342038E"/>
    <w:rsid w:val="33492641"/>
    <w:rsid w:val="339F3E6E"/>
    <w:rsid w:val="33A352A1"/>
    <w:rsid w:val="33A37FA3"/>
    <w:rsid w:val="33E25064"/>
    <w:rsid w:val="34060532"/>
    <w:rsid w:val="340628FA"/>
    <w:rsid w:val="340C3D9A"/>
    <w:rsid w:val="341669C7"/>
    <w:rsid w:val="34897674"/>
    <w:rsid w:val="349F69BC"/>
    <w:rsid w:val="34A22009"/>
    <w:rsid w:val="34AE4E51"/>
    <w:rsid w:val="34C44675"/>
    <w:rsid w:val="34E24AFB"/>
    <w:rsid w:val="350B22A4"/>
    <w:rsid w:val="3511718E"/>
    <w:rsid w:val="35584DBD"/>
    <w:rsid w:val="356674DA"/>
    <w:rsid w:val="35867B7C"/>
    <w:rsid w:val="35E16362"/>
    <w:rsid w:val="3608233F"/>
    <w:rsid w:val="361E7DB5"/>
    <w:rsid w:val="363C648D"/>
    <w:rsid w:val="36525CB0"/>
    <w:rsid w:val="36B44275"/>
    <w:rsid w:val="36BD6A42"/>
    <w:rsid w:val="36E83F1F"/>
    <w:rsid w:val="36F86858"/>
    <w:rsid w:val="37135440"/>
    <w:rsid w:val="371511B8"/>
    <w:rsid w:val="371C3443"/>
    <w:rsid w:val="371D1E1A"/>
    <w:rsid w:val="374455F9"/>
    <w:rsid w:val="37476E97"/>
    <w:rsid w:val="377A726D"/>
    <w:rsid w:val="37891752"/>
    <w:rsid w:val="37F80253"/>
    <w:rsid w:val="380D00E1"/>
    <w:rsid w:val="380F3E59"/>
    <w:rsid w:val="381B3983"/>
    <w:rsid w:val="381D4CA5"/>
    <w:rsid w:val="3836588A"/>
    <w:rsid w:val="38376F0C"/>
    <w:rsid w:val="38593326"/>
    <w:rsid w:val="38602837"/>
    <w:rsid w:val="389B56ED"/>
    <w:rsid w:val="38AF73EA"/>
    <w:rsid w:val="38D26A82"/>
    <w:rsid w:val="38E726E0"/>
    <w:rsid w:val="38EF5A38"/>
    <w:rsid w:val="390037A2"/>
    <w:rsid w:val="39180AEB"/>
    <w:rsid w:val="39264B2C"/>
    <w:rsid w:val="393D286A"/>
    <w:rsid w:val="394C4C39"/>
    <w:rsid w:val="394F0285"/>
    <w:rsid w:val="3951224F"/>
    <w:rsid w:val="39551D3F"/>
    <w:rsid w:val="399C796E"/>
    <w:rsid w:val="39B527DE"/>
    <w:rsid w:val="39C173D5"/>
    <w:rsid w:val="3A005299"/>
    <w:rsid w:val="3A03182B"/>
    <w:rsid w:val="3A0A4C3A"/>
    <w:rsid w:val="3A371445"/>
    <w:rsid w:val="3A43603C"/>
    <w:rsid w:val="3A60099C"/>
    <w:rsid w:val="3A620996"/>
    <w:rsid w:val="3A8A3C6B"/>
    <w:rsid w:val="3A8B383B"/>
    <w:rsid w:val="3AB26D1E"/>
    <w:rsid w:val="3ABA2F1F"/>
    <w:rsid w:val="3AC46CFD"/>
    <w:rsid w:val="3AE0388B"/>
    <w:rsid w:val="3AF1337E"/>
    <w:rsid w:val="3B141786"/>
    <w:rsid w:val="3B2220F5"/>
    <w:rsid w:val="3B273268"/>
    <w:rsid w:val="3B871F58"/>
    <w:rsid w:val="3B8A37F6"/>
    <w:rsid w:val="3BB32D4D"/>
    <w:rsid w:val="3BC27434"/>
    <w:rsid w:val="3BFDD941"/>
    <w:rsid w:val="3C2505B3"/>
    <w:rsid w:val="3C3245BA"/>
    <w:rsid w:val="3C3A521C"/>
    <w:rsid w:val="3C494D52"/>
    <w:rsid w:val="3C552025"/>
    <w:rsid w:val="3C5A141B"/>
    <w:rsid w:val="3C862210"/>
    <w:rsid w:val="3CB52AF5"/>
    <w:rsid w:val="3CB60D47"/>
    <w:rsid w:val="3CB70371"/>
    <w:rsid w:val="3CC52D38"/>
    <w:rsid w:val="3CD967E3"/>
    <w:rsid w:val="3CF96E86"/>
    <w:rsid w:val="3D15341C"/>
    <w:rsid w:val="3D2C1326"/>
    <w:rsid w:val="3D536596"/>
    <w:rsid w:val="3D5369F8"/>
    <w:rsid w:val="3D5B18EE"/>
    <w:rsid w:val="3D7F382F"/>
    <w:rsid w:val="3D7F55DD"/>
    <w:rsid w:val="3D89645B"/>
    <w:rsid w:val="3D9A41C5"/>
    <w:rsid w:val="3D9D3CB5"/>
    <w:rsid w:val="3DCE0312"/>
    <w:rsid w:val="3E14487B"/>
    <w:rsid w:val="3E151A9D"/>
    <w:rsid w:val="3E304B29"/>
    <w:rsid w:val="3E4D72C5"/>
    <w:rsid w:val="3E5D60F8"/>
    <w:rsid w:val="3E5E1696"/>
    <w:rsid w:val="3E770C94"/>
    <w:rsid w:val="3E7964D0"/>
    <w:rsid w:val="3E8E35FE"/>
    <w:rsid w:val="3EB017C6"/>
    <w:rsid w:val="3EBA2645"/>
    <w:rsid w:val="3F514D57"/>
    <w:rsid w:val="3F6D0AAA"/>
    <w:rsid w:val="3F746C97"/>
    <w:rsid w:val="3F8F762D"/>
    <w:rsid w:val="3FA27361"/>
    <w:rsid w:val="3FC27A03"/>
    <w:rsid w:val="403D352D"/>
    <w:rsid w:val="40550877"/>
    <w:rsid w:val="405D094D"/>
    <w:rsid w:val="407F3B46"/>
    <w:rsid w:val="408F1FDB"/>
    <w:rsid w:val="40DB783A"/>
    <w:rsid w:val="40ED4F53"/>
    <w:rsid w:val="410F31A3"/>
    <w:rsid w:val="4114603C"/>
    <w:rsid w:val="413E7700"/>
    <w:rsid w:val="41456B3D"/>
    <w:rsid w:val="41517290"/>
    <w:rsid w:val="41526BD7"/>
    <w:rsid w:val="418E780E"/>
    <w:rsid w:val="41D028AB"/>
    <w:rsid w:val="41E9571B"/>
    <w:rsid w:val="41E974C9"/>
    <w:rsid w:val="41F540C0"/>
    <w:rsid w:val="41FA0169"/>
    <w:rsid w:val="420460B1"/>
    <w:rsid w:val="42091919"/>
    <w:rsid w:val="420F2749"/>
    <w:rsid w:val="423A5F76"/>
    <w:rsid w:val="425E26AE"/>
    <w:rsid w:val="426D00FA"/>
    <w:rsid w:val="4273540D"/>
    <w:rsid w:val="42BD2703"/>
    <w:rsid w:val="42C615B8"/>
    <w:rsid w:val="42F154A6"/>
    <w:rsid w:val="42FE6FA4"/>
    <w:rsid w:val="430F7403"/>
    <w:rsid w:val="43122A4F"/>
    <w:rsid w:val="431237F5"/>
    <w:rsid w:val="43234C5C"/>
    <w:rsid w:val="433C7ACC"/>
    <w:rsid w:val="435117C9"/>
    <w:rsid w:val="435272F0"/>
    <w:rsid w:val="435B2648"/>
    <w:rsid w:val="43713C1A"/>
    <w:rsid w:val="43827BD5"/>
    <w:rsid w:val="439416B6"/>
    <w:rsid w:val="43972F54"/>
    <w:rsid w:val="43A833B4"/>
    <w:rsid w:val="43E4263E"/>
    <w:rsid w:val="4419328C"/>
    <w:rsid w:val="441B5933"/>
    <w:rsid w:val="442944F4"/>
    <w:rsid w:val="443E41B9"/>
    <w:rsid w:val="445636E9"/>
    <w:rsid w:val="44780FD8"/>
    <w:rsid w:val="447D039C"/>
    <w:rsid w:val="44AA4E01"/>
    <w:rsid w:val="44B87280"/>
    <w:rsid w:val="44DA134B"/>
    <w:rsid w:val="44E623E5"/>
    <w:rsid w:val="45012D7B"/>
    <w:rsid w:val="45101210"/>
    <w:rsid w:val="45362EF5"/>
    <w:rsid w:val="455410FD"/>
    <w:rsid w:val="45724BB3"/>
    <w:rsid w:val="45800144"/>
    <w:rsid w:val="45863281"/>
    <w:rsid w:val="4594599D"/>
    <w:rsid w:val="45B222C8"/>
    <w:rsid w:val="45BA7CEA"/>
    <w:rsid w:val="45C142B9"/>
    <w:rsid w:val="45C83899"/>
    <w:rsid w:val="45D43FEC"/>
    <w:rsid w:val="46114F0F"/>
    <w:rsid w:val="462F3918"/>
    <w:rsid w:val="465B64BB"/>
    <w:rsid w:val="465B75A2"/>
    <w:rsid w:val="46960531"/>
    <w:rsid w:val="46D63D94"/>
    <w:rsid w:val="46D83FB0"/>
    <w:rsid w:val="46ED5319"/>
    <w:rsid w:val="46FF32EA"/>
    <w:rsid w:val="470F29F7"/>
    <w:rsid w:val="471E5E67"/>
    <w:rsid w:val="47507FEA"/>
    <w:rsid w:val="47590C4D"/>
    <w:rsid w:val="477414D3"/>
    <w:rsid w:val="47874069"/>
    <w:rsid w:val="47897ABA"/>
    <w:rsid w:val="478A706C"/>
    <w:rsid w:val="479F44F5"/>
    <w:rsid w:val="47A15B48"/>
    <w:rsid w:val="47AD0F98"/>
    <w:rsid w:val="47CE2C39"/>
    <w:rsid w:val="47EF7803"/>
    <w:rsid w:val="48256D81"/>
    <w:rsid w:val="482A083B"/>
    <w:rsid w:val="482F5E51"/>
    <w:rsid w:val="483D231C"/>
    <w:rsid w:val="48600223"/>
    <w:rsid w:val="486615C5"/>
    <w:rsid w:val="48671147"/>
    <w:rsid w:val="486D24D6"/>
    <w:rsid w:val="48763A80"/>
    <w:rsid w:val="48F16866"/>
    <w:rsid w:val="49331971"/>
    <w:rsid w:val="49506441"/>
    <w:rsid w:val="49584F34"/>
    <w:rsid w:val="495950DE"/>
    <w:rsid w:val="496D4E83"/>
    <w:rsid w:val="49A92C07"/>
    <w:rsid w:val="49ED38CE"/>
    <w:rsid w:val="49EF5898"/>
    <w:rsid w:val="49FB248F"/>
    <w:rsid w:val="4A121587"/>
    <w:rsid w:val="4A143551"/>
    <w:rsid w:val="4A3B6586"/>
    <w:rsid w:val="4A4756D4"/>
    <w:rsid w:val="4A4C2CEB"/>
    <w:rsid w:val="4A7B2916"/>
    <w:rsid w:val="4A90104A"/>
    <w:rsid w:val="4AC22FAD"/>
    <w:rsid w:val="4ADD3943"/>
    <w:rsid w:val="4B0E61F2"/>
    <w:rsid w:val="4B1B446B"/>
    <w:rsid w:val="4B3E127F"/>
    <w:rsid w:val="4B460B4B"/>
    <w:rsid w:val="4B475260"/>
    <w:rsid w:val="4B78366B"/>
    <w:rsid w:val="4B7F0E9E"/>
    <w:rsid w:val="4BBD5522"/>
    <w:rsid w:val="4BD10EBA"/>
    <w:rsid w:val="4BE56F53"/>
    <w:rsid w:val="4BE62CCB"/>
    <w:rsid w:val="4C207C04"/>
    <w:rsid w:val="4C2630C7"/>
    <w:rsid w:val="4C343A36"/>
    <w:rsid w:val="4CA46E0E"/>
    <w:rsid w:val="4CA54934"/>
    <w:rsid w:val="4CAD7FC7"/>
    <w:rsid w:val="4CFB27A6"/>
    <w:rsid w:val="4D292E6F"/>
    <w:rsid w:val="4D3B2BA3"/>
    <w:rsid w:val="4D502AF2"/>
    <w:rsid w:val="4D875DE8"/>
    <w:rsid w:val="4DA9212D"/>
    <w:rsid w:val="4DB36BDD"/>
    <w:rsid w:val="4DF96CE5"/>
    <w:rsid w:val="4E10402F"/>
    <w:rsid w:val="4E111574"/>
    <w:rsid w:val="4E263853"/>
    <w:rsid w:val="4E437F61"/>
    <w:rsid w:val="4E516B22"/>
    <w:rsid w:val="4E5B79A0"/>
    <w:rsid w:val="4E5C7274"/>
    <w:rsid w:val="4E6D373C"/>
    <w:rsid w:val="4E775E5C"/>
    <w:rsid w:val="4E796078"/>
    <w:rsid w:val="4ED220E5"/>
    <w:rsid w:val="4EDD2544"/>
    <w:rsid w:val="4F043B94"/>
    <w:rsid w:val="4F133DD7"/>
    <w:rsid w:val="4F42290E"/>
    <w:rsid w:val="4F4421E2"/>
    <w:rsid w:val="4F675ED1"/>
    <w:rsid w:val="4F836DF7"/>
    <w:rsid w:val="4F894099"/>
    <w:rsid w:val="4F912F4E"/>
    <w:rsid w:val="4FCB46B2"/>
    <w:rsid w:val="50137E07"/>
    <w:rsid w:val="50213BAF"/>
    <w:rsid w:val="50327B53"/>
    <w:rsid w:val="5039786D"/>
    <w:rsid w:val="503F0BFC"/>
    <w:rsid w:val="50402A01"/>
    <w:rsid w:val="504A7CCC"/>
    <w:rsid w:val="505B3C87"/>
    <w:rsid w:val="50666188"/>
    <w:rsid w:val="506D5BA1"/>
    <w:rsid w:val="5086682B"/>
    <w:rsid w:val="5099655E"/>
    <w:rsid w:val="509B2D47"/>
    <w:rsid w:val="50B0042A"/>
    <w:rsid w:val="50F96FFC"/>
    <w:rsid w:val="5124051D"/>
    <w:rsid w:val="513E0CF0"/>
    <w:rsid w:val="514048B2"/>
    <w:rsid w:val="514E559A"/>
    <w:rsid w:val="515B7795"/>
    <w:rsid w:val="51694182"/>
    <w:rsid w:val="516E1798"/>
    <w:rsid w:val="518C60C3"/>
    <w:rsid w:val="51B55619"/>
    <w:rsid w:val="51B80C66"/>
    <w:rsid w:val="51C30BDC"/>
    <w:rsid w:val="51C35D1F"/>
    <w:rsid w:val="51C55131"/>
    <w:rsid w:val="51E56C3E"/>
    <w:rsid w:val="52036385"/>
    <w:rsid w:val="52100AA2"/>
    <w:rsid w:val="52224331"/>
    <w:rsid w:val="52315008"/>
    <w:rsid w:val="525766D1"/>
    <w:rsid w:val="5264494A"/>
    <w:rsid w:val="52750905"/>
    <w:rsid w:val="528374C6"/>
    <w:rsid w:val="529424D7"/>
    <w:rsid w:val="5294522F"/>
    <w:rsid w:val="529C40E3"/>
    <w:rsid w:val="529E6C75"/>
    <w:rsid w:val="52AB1C77"/>
    <w:rsid w:val="52AB5B97"/>
    <w:rsid w:val="52B23907"/>
    <w:rsid w:val="52E57838"/>
    <w:rsid w:val="52EB26AA"/>
    <w:rsid w:val="53000B16"/>
    <w:rsid w:val="530A54F1"/>
    <w:rsid w:val="53166E86"/>
    <w:rsid w:val="5326258A"/>
    <w:rsid w:val="533243C3"/>
    <w:rsid w:val="53346A12"/>
    <w:rsid w:val="533A546C"/>
    <w:rsid w:val="53871B38"/>
    <w:rsid w:val="538F3C48"/>
    <w:rsid w:val="53BF3E5F"/>
    <w:rsid w:val="53DF766E"/>
    <w:rsid w:val="53EC4BF7"/>
    <w:rsid w:val="54085ED4"/>
    <w:rsid w:val="541E4EFC"/>
    <w:rsid w:val="542720D3"/>
    <w:rsid w:val="54414F42"/>
    <w:rsid w:val="54426960"/>
    <w:rsid w:val="548A4B3B"/>
    <w:rsid w:val="54B55930"/>
    <w:rsid w:val="54BE2A37"/>
    <w:rsid w:val="54C01DC9"/>
    <w:rsid w:val="54C94F38"/>
    <w:rsid w:val="54CE42D8"/>
    <w:rsid w:val="54D538DD"/>
    <w:rsid w:val="54E83610"/>
    <w:rsid w:val="54F226E1"/>
    <w:rsid w:val="55320D2F"/>
    <w:rsid w:val="55563D32"/>
    <w:rsid w:val="557355CF"/>
    <w:rsid w:val="5583158B"/>
    <w:rsid w:val="55A56229"/>
    <w:rsid w:val="55A57753"/>
    <w:rsid w:val="55B61960"/>
    <w:rsid w:val="55B65FCD"/>
    <w:rsid w:val="55F54236"/>
    <w:rsid w:val="55F935FB"/>
    <w:rsid w:val="56187F25"/>
    <w:rsid w:val="563F02AF"/>
    <w:rsid w:val="564451BE"/>
    <w:rsid w:val="566E223B"/>
    <w:rsid w:val="56835CE6"/>
    <w:rsid w:val="569C0F0C"/>
    <w:rsid w:val="56B7773E"/>
    <w:rsid w:val="56D94B0E"/>
    <w:rsid w:val="570C7AE2"/>
    <w:rsid w:val="572A6162"/>
    <w:rsid w:val="574D3BFE"/>
    <w:rsid w:val="5765363E"/>
    <w:rsid w:val="57802226"/>
    <w:rsid w:val="57BE68AA"/>
    <w:rsid w:val="57E207EA"/>
    <w:rsid w:val="57EE3633"/>
    <w:rsid w:val="58405511"/>
    <w:rsid w:val="586E207E"/>
    <w:rsid w:val="587D5C68"/>
    <w:rsid w:val="58880E3F"/>
    <w:rsid w:val="58B77EC9"/>
    <w:rsid w:val="58C17724"/>
    <w:rsid w:val="58C3686E"/>
    <w:rsid w:val="58D00F8B"/>
    <w:rsid w:val="58D04124"/>
    <w:rsid w:val="58D75E75"/>
    <w:rsid w:val="58D77C23"/>
    <w:rsid w:val="58E660B8"/>
    <w:rsid w:val="59084281"/>
    <w:rsid w:val="592326DD"/>
    <w:rsid w:val="592D018B"/>
    <w:rsid w:val="59305585"/>
    <w:rsid w:val="59374B66"/>
    <w:rsid w:val="5943350B"/>
    <w:rsid w:val="597A4A53"/>
    <w:rsid w:val="598853C1"/>
    <w:rsid w:val="59947635"/>
    <w:rsid w:val="59C208D3"/>
    <w:rsid w:val="59DB3FF6"/>
    <w:rsid w:val="5A0233C6"/>
    <w:rsid w:val="5A0A04CC"/>
    <w:rsid w:val="5A132EDD"/>
    <w:rsid w:val="5A366BCB"/>
    <w:rsid w:val="5A655703"/>
    <w:rsid w:val="5A737A83"/>
    <w:rsid w:val="5A955E00"/>
    <w:rsid w:val="5A971D60"/>
    <w:rsid w:val="5AA771A2"/>
    <w:rsid w:val="5ACE32A8"/>
    <w:rsid w:val="5AD20FEA"/>
    <w:rsid w:val="5AD25392"/>
    <w:rsid w:val="5B157290"/>
    <w:rsid w:val="5B1F3B03"/>
    <w:rsid w:val="5B6F45F7"/>
    <w:rsid w:val="5B70435F"/>
    <w:rsid w:val="5B767BC7"/>
    <w:rsid w:val="5B844C9A"/>
    <w:rsid w:val="5B962018"/>
    <w:rsid w:val="5BA74225"/>
    <w:rsid w:val="5BC326E1"/>
    <w:rsid w:val="5BD5FD07"/>
    <w:rsid w:val="5C231D38"/>
    <w:rsid w:val="5C245875"/>
    <w:rsid w:val="5C2C2D5F"/>
    <w:rsid w:val="5C337866"/>
    <w:rsid w:val="5C531CB7"/>
    <w:rsid w:val="5C594DF3"/>
    <w:rsid w:val="5C62014C"/>
    <w:rsid w:val="5C891B7C"/>
    <w:rsid w:val="5CA50038"/>
    <w:rsid w:val="5CCB7615"/>
    <w:rsid w:val="5CD5729F"/>
    <w:rsid w:val="5D170F36"/>
    <w:rsid w:val="5D437F7D"/>
    <w:rsid w:val="5DB1138B"/>
    <w:rsid w:val="5DC53CD5"/>
    <w:rsid w:val="5DDC7654"/>
    <w:rsid w:val="5DF272AD"/>
    <w:rsid w:val="5DF942ED"/>
    <w:rsid w:val="5DFA2580"/>
    <w:rsid w:val="5E0E058B"/>
    <w:rsid w:val="5E116ACE"/>
    <w:rsid w:val="5E194573"/>
    <w:rsid w:val="5E213975"/>
    <w:rsid w:val="5E395D33"/>
    <w:rsid w:val="5E48511F"/>
    <w:rsid w:val="5E5341F0"/>
    <w:rsid w:val="5E534A3A"/>
    <w:rsid w:val="5E563CE0"/>
    <w:rsid w:val="5E5835B4"/>
    <w:rsid w:val="5E6E2DD8"/>
    <w:rsid w:val="5E7E05A8"/>
    <w:rsid w:val="5E8E6FD6"/>
    <w:rsid w:val="5EA63795"/>
    <w:rsid w:val="5EBD5B0D"/>
    <w:rsid w:val="5ED05841"/>
    <w:rsid w:val="5ED74E21"/>
    <w:rsid w:val="5F090D52"/>
    <w:rsid w:val="5F092B01"/>
    <w:rsid w:val="5F0B70B2"/>
    <w:rsid w:val="5F2C67EF"/>
    <w:rsid w:val="5F753000"/>
    <w:rsid w:val="5F7E529D"/>
    <w:rsid w:val="5F8959EF"/>
    <w:rsid w:val="5F9F3D14"/>
    <w:rsid w:val="5FBA204D"/>
    <w:rsid w:val="602A5424"/>
    <w:rsid w:val="603A0079"/>
    <w:rsid w:val="60522285"/>
    <w:rsid w:val="60563B24"/>
    <w:rsid w:val="60620BA5"/>
    <w:rsid w:val="608B4120"/>
    <w:rsid w:val="609B1E7E"/>
    <w:rsid w:val="60A01243"/>
    <w:rsid w:val="60B60A66"/>
    <w:rsid w:val="61073070"/>
    <w:rsid w:val="6139510F"/>
    <w:rsid w:val="613C71BD"/>
    <w:rsid w:val="614178AC"/>
    <w:rsid w:val="61534507"/>
    <w:rsid w:val="61717818"/>
    <w:rsid w:val="61860438"/>
    <w:rsid w:val="61926DDD"/>
    <w:rsid w:val="61A92379"/>
    <w:rsid w:val="61AB7E9F"/>
    <w:rsid w:val="61BE64EE"/>
    <w:rsid w:val="61C471B3"/>
    <w:rsid w:val="61D07906"/>
    <w:rsid w:val="61DA0784"/>
    <w:rsid w:val="61DE0274"/>
    <w:rsid w:val="61FC4B9F"/>
    <w:rsid w:val="620923F0"/>
    <w:rsid w:val="624B51DE"/>
    <w:rsid w:val="627064A9"/>
    <w:rsid w:val="62791D4B"/>
    <w:rsid w:val="627A34A6"/>
    <w:rsid w:val="628A21AA"/>
    <w:rsid w:val="62A35D2B"/>
    <w:rsid w:val="62C51434"/>
    <w:rsid w:val="631D301E"/>
    <w:rsid w:val="637048BF"/>
    <w:rsid w:val="637462DF"/>
    <w:rsid w:val="63870498"/>
    <w:rsid w:val="639A01CB"/>
    <w:rsid w:val="639A641D"/>
    <w:rsid w:val="63B374DF"/>
    <w:rsid w:val="63D538F9"/>
    <w:rsid w:val="63F21DB5"/>
    <w:rsid w:val="640104D5"/>
    <w:rsid w:val="64061D04"/>
    <w:rsid w:val="64485E79"/>
    <w:rsid w:val="644D7933"/>
    <w:rsid w:val="64841E7A"/>
    <w:rsid w:val="6492024A"/>
    <w:rsid w:val="64AF5EF8"/>
    <w:rsid w:val="64BF43E4"/>
    <w:rsid w:val="65164AD9"/>
    <w:rsid w:val="652A37D1"/>
    <w:rsid w:val="65444892"/>
    <w:rsid w:val="65654809"/>
    <w:rsid w:val="65905D2A"/>
    <w:rsid w:val="65AE7F5E"/>
    <w:rsid w:val="65C77271"/>
    <w:rsid w:val="65DC2D1D"/>
    <w:rsid w:val="66326ED8"/>
    <w:rsid w:val="66833198"/>
    <w:rsid w:val="66B6356E"/>
    <w:rsid w:val="66C022F9"/>
    <w:rsid w:val="66D103A8"/>
    <w:rsid w:val="66D6776C"/>
    <w:rsid w:val="66DB2FD4"/>
    <w:rsid w:val="671F5780"/>
    <w:rsid w:val="674072DB"/>
    <w:rsid w:val="6744501E"/>
    <w:rsid w:val="674D37A6"/>
    <w:rsid w:val="676F7BC1"/>
    <w:rsid w:val="6780592A"/>
    <w:rsid w:val="678B49FB"/>
    <w:rsid w:val="67980EC5"/>
    <w:rsid w:val="67DB7004"/>
    <w:rsid w:val="6804655B"/>
    <w:rsid w:val="68262975"/>
    <w:rsid w:val="683E3F52"/>
    <w:rsid w:val="6855196A"/>
    <w:rsid w:val="6863109A"/>
    <w:rsid w:val="68A51AEC"/>
    <w:rsid w:val="68AD274F"/>
    <w:rsid w:val="68C77CB4"/>
    <w:rsid w:val="68DB3760"/>
    <w:rsid w:val="68EF0FB9"/>
    <w:rsid w:val="69112CDD"/>
    <w:rsid w:val="69196036"/>
    <w:rsid w:val="692429E9"/>
    <w:rsid w:val="69455B2B"/>
    <w:rsid w:val="696E0B50"/>
    <w:rsid w:val="69794D27"/>
    <w:rsid w:val="69943A2E"/>
    <w:rsid w:val="6A002D52"/>
    <w:rsid w:val="6A4A2640"/>
    <w:rsid w:val="6A511FBB"/>
    <w:rsid w:val="6A745C1A"/>
    <w:rsid w:val="6A7774B8"/>
    <w:rsid w:val="6A8E65B0"/>
    <w:rsid w:val="6B19231D"/>
    <w:rsid w:val="6B2A0DA4"/>
    <w:rsid w:val="6B2A277C"/>
    <w:rsid w:val="6B412B59"/>
    <w:rsid w:val="6B6F1F3D"/>
    <w:rsid w:val="6B822A89"/>
    <w:rsid w:val="6B826114"/>
    <w:rsid w:val="6B851187"/>
    <w:rsid w:val="6BA20565"/>
    <w:rsid w:val="6BB65DBE"/>
    <w:rsid w:val="6BC71D79"/>
    <w:rsid w:val="6BDC4C20"/>
    <w:rsid w:val="6BEC7A32"/>
    <w:rsid w:val="6C046B2A"/>
    <w:rsid w:val="6C2373DC"/>
    <w:rsid w:val="6C450EF0"/>
    <w:rsid w:val="6C506213"/>
    <w:rsid w:val="6C552A2E"/>
    <w:rsid w:val="6C8D4D71"/>
    <w:rsid w:val="6C983716"/>
    <w:rsid w:val="6CE8644B"/>
    <w:rsid w:val="6D231231"/>
    <w:rsid w:val="6D264D81"/>
    <w:rsid w:val="6D521B17"/>
    <w:rsid w:val="6D8048D6"/>
    <w:rsid w:val="6D9640F9"/>
    <w:rsid w:val="6D9D0E07"/>
    <w:rsid w:val="6D9E2FAE"/>
    <w:rsid w:val="6DBE71AC"/>
    <w:rsid w:val="6DE62094"/>
    <w:rsid w:val="6DEA61F3"/>
    <w:rsid w:val="6E5A6ED5"/>
    <w:rsid w:val="6E5D0773"/>
    <w:rsid w:val="6E6179B3"/>
    <w:rsid w:val="6E7A7577"/>
    <w:rsid w:val="6E9A5523"/>
    <w:rsid w:val="6EA77C40"/>
    <w:rsid w:val="6EAB5982"/>
    <w:rsid w:val="6EAC5256"/>
    <w:rsid w:val="6EAE0FCF"/>
    <w:rsid w:val="6EC3083A"/>
    <w:rsid w:val="6ECF78C3"/>
    <w:rsid w:val="6EF235B1"/>
    <w:rsid w:val="6F0532E4"/>
    <w:rsid w:val="6F215C44"/>
    <w:rsid w:val="6F305E87"/>
    <w:rsid w:val="6F413BF1"/>
    <w:rsid w:val="6F4F630E"/>
    <w:rsid w:val="6F63000B"/>
    <w:rsid w:val="6F66024C"/>
    <w:rsid w:val="6F997ED1"/>
    <w:rsid w:val="6FA0300D"/>
    <w:rsid w:val="6FA128E1"/>
    <w:rsid w:val="6FC00FB9"/>
    <w:rsid w:val="6FC84312"/>
    <w:rsid w:val="6FD20CED"/>
    <w:rsid w:val="6FE56C72"/>
    <w:rsid w:val="700A0487"/>
    <w:rsid w:val="703419A7"/>
    <w:rsid w:val="70357BF9"/>
    <w:rsid w:val="7073427E"/>
    <w:rsid w:val="707D6EAA"/>
    <w:rsid w:val="70856732"/>
    <w:rsid w:val="70BC3E77"/>
    <w:rsid w:val="70C33179"/>
    <w:rsid w:val="70C76378"/>
    <w:rsid w:val="70E4517B"/>
    <w:rsid w:val="70E76A1A"/>
    <w:rsid w:val="711D243B"/>
    <w:rsid w:val="713B6A1E"/>
    <w:rsid w:val="713C4FB8"/>
    <w:rsid w:val="713D7BC8"/>
    <w:rsid w:val="714B6FA9"/>
    <w:rsid w:val="715E1D8D"/>
    <w:rsid w:val="71674675"/>
    <w:rsid w:val="717E037B"/>
    <w:rsid w:val="71970440"/>
    <w:rsid w:val="71C07997"/>
    <w:rsid w:val="71DC0FEA"/>
    <w:rsid w:val="71F80EDE"/>
    <w:rsid w:val="721D0945"/>
    <w:rsid w:val="722F2426"/>
    <w:rsid w:val="724266DE"/>
    <w:rsid w:val="72534367"/>
    <w:rsid w:val="725B321B"/>
    <w:rsid w:val="72671BC0"/>
    <w:rsid w:val="72D134DE"/>
    <w:rsid w:val="7315786E"/>
    <w:rsid w:val="73223D39"/>
    <w:rsid w:val="734F0FD2"/>
    <w:rsid w:val="735008A6"/>
    <w:rsid w:val="736F13E8"/>
    <w:rsid w:val="73905147"/>
    <w:rsid w:val="73B726D3"/>
    <w:rsid w:val="73BA21C4"/>
    <w:rsid w:val="73E55492"/>
    <w:rsid w:val="73E84F83"/>
    <w:rsid w:val="74AB1A1D"/>
    <w:rsid w:val="74C61EAA"/>
    <w:rsid w:val="74C975FB"/>
    <w:rsid w:val="74CC0400"/>
    <w:rsid w:val="74E33F2B"/>
    <w:rsid w:val="750E6C6B"/>
    <w:rsid w:val="753A0A69"/>
    <w:rsid w:val="753F6E24"/>
    <w:rsid w:val="75581C94"/>
    <w:rsid w:val="75814171"/>
    <w:rsid w:val="75976C60"/>
    <w:rsid w:val="759D26FD"/>
    <w:rsid w:val="75CE7B37"/>
    <w:rsid w:val="75CF63FA"/>
    <w:rsid w:val="75D92DD5"/>
    <w:rsid w:val="75E654F2"/>
    <w:rsid w:val="761D2E3A"/>
    <w:rsid w:val="76424E14"/>
    <w:rsid w:val="76830F93"/>
    <w:rsid w:val="76A74C81"/>
    <w:rsid w:val="76D147CB"/>
    <w:rsid w:val="76D8312E"/>
    <w:rsid w:val="76E63007"/>
    <w:rsid w:val="76EE28B0"/>
    <w:rsid w:val="76F51E90"/>
    <w:rsid w:val="76F8372F"/>
    <w:rsid w:val="76FD3C10"/>
    <w:rsid w:val="770E4D00"/>
    <w:rsid w:val="771A36A5"/>
    <w:rsid w:val="771A48E1"/>
    <w:rsid w:val="772C33D8"/>
    <w:rsid w:val="77427712"/>
    <w:rsid w:val="775F7911"/>
    <w:rsid w:val="77672662"/>
    <w:rsid w:val="777A7CD5"/>
    <w:rsid w:val="778356EE"/>
    <w:rsid w:val="7795690D"/>
    <w:rsid w:val="77A168FF"/>
    <w:rsid w:val="784D1858"/>
    <w:rsid w:val="78572F3F"/>
    <w:rsid w:val="78654DF4"/>
    <w:rsid w:val="7871743B"/>
    <w:rsid w:val="78A51694"/>
    <w:rsid w:val="78AC52A2"/>
    <w:rsid w:val="78C22246"/>
    <w:rsid w:val="78D37FAF"/>
    <w:rsid w:val="78EA354B"/>
    <w:rsid w:val="79435FC4"/>
    <w:rsid w:val="79505FD9"/>
    <w:rsid w:val="79567BC4"/>
    <w:rsid w:val="795F7A95"/>
    <w:rsid w:val="796A01BC"/>
    <w:rsid w:val="796E5F2A"/>
    <w:rsid w:val="79703A50"/>
    <w:rsid w:val="79826CFE"/>
    <w:rsid w:val="798D2B1A"/>
    <w:rsid w:val="79A846F9"/>
    <w:rsid w:val="79AC2001"/>
    <w:rsid w:val="79BB1CDC"/>
    <w:rsid w:val="79C333C8"/>
    <w:rsid w:val="79F20909"/>
    <w:rsid w:val="7A020420"/>
    <w:rsid w:val="7A301431"/>
    <w:rsid w:val="7A546ECE"/>
    <w:rsid w:val="7A57076C"/>
    <w:rsid w:val="7A592C72"/>
    <w:rsid w:val="7A813A3B"/>
    <w:rsid w:val="7A94376E"/>
    <w:rsid w:val="7AA64929"/>
    <w:rsid w:val="7AB21E46"/>
    <w:rsid w:val="7ABE4C8F"/>
    <w:rsid w:val="7AE069B4"/>
    <w:rsid w:val="7AF20495"/>
    <w:rsid w:val="7AFC3A89"/>
    <w:rsid w:val="7B095400"/>
    <w:rsid w:val="7B1844AE"/>
    <w:rsid w:val="7B6E2211"/>
    <w:rsid w:val="7B75534E"/>
    <w:rsid w:val="7B767318"/>
    <w:rsid w:val="7B8657AD"/>
    <w:rsid w:val="7BBA5457"/>
    <w:rsid w:val="7BDC0A6A"/>
    <w:rsid w:val="7BE95D3C"/>
    <w:rsid w:val="7BFA3AA5"/>
    <w:rsid w:val="7C136915"/>
    <w:rsid w:val="7C15268D"/>
    <w:rsid w:val="7C1A5EF5"/>
    <w:rsid w:val="7C350F81"/>
    <w:rsid w:val="7C6A0C2B"/>
    <w:rsid w:val="7C833A9B"/>
    <w:rsid w:val="7C8B294F"/>
    <w:rsid w:val="7C8E41ED"/>
    <w:rsid w:val="7CAD20F4"/>
    <w:rsid w:val="7CB5158A"/>
    <w:rsid w:val="7CCF4F32"/>
    <w:rsid w:val="7CE56503"/>
    <w:rsid w:val="7D126BCC"/>
    <w:rsid w:val="7D197F5B"/>
    <w:rsid w:val="7D782ED3"/>
    <w:rsid w:val="7D80447E"/>
    <w:rsid w:val="7D9925BD"/>
    <w:rsid w:val="7E250F14"/>
    <w:rsid w:val="7E266DD3"/>
    <w:rsid w:val="7E2766A8"/>
    <w:rsid w:val="7E355268"/>
    <w:rsid w:val="7E3E411D"/>
    <w:rsid w:val="7E5413FF"/>
    <w:rsid w:val="7E61605D"/>
    <w:rsid w:val="7E6D67B0"/>
    <w:rsid w:val="7E7C2E97"/>
    <w:rsid w:val="7E9A331D"/>
    <w:rsid w:val="7E9C7095"/>
    <w:rsid w:val="7EBF2DF7"/>
    <w:rsid w:val="7ECD724F"/>
    <w:rsid w:val="7EDC7492"/>
    <w:rsid w:val="7EDE6D6F"/>
    <w:rsid w:val="7EE06F82"/>
    <w:rsid w:val="7F086582"/>
    <w:rsid w:val="7F4D213E"/>
    <w:rsid w:val="7F637BB3"/>
    <w:rsid w:val="7F842003"/>
    <w:rsid w:val="7FD0349B"/>
    <w:rsid w:val="7FDFBA6D"/>
    <w:rsid w:val="7F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4">
    <w:name w:val="heading 2"/>
    <w:basedOn w:val="1"/>
    <w:next w:val="1"/>
    <w:qFormat/>
    <w:uiPriority w:val="9"/>
    <w:pPr>
      <w:spacing w:before="160"/>
      <w:ind w:left="540"/>
      <w:outlineLvl w:val="1"/>
    </w:pPr>
    <w:rPr>
      <w:b/>
      <w:bCs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3"/>
    <w:next w:val="1"/>
    <w:qFormat/>
    <w:uiPriority w:val="0"/>
    <w:pPr>
      <w:autoSpaceDE w:val="0"/>
      <w:autoSpaceDN w:val="0"/>
      <w:adjustRightInd w:val="0"/>
      <w:ind w:firstLine="200" w:firstLineChars="200"/>
      <w:jc w:val="left"/>
    </w:pPr>
    <w:rPr>
      <w:rFonts w:cs="宋体"/>
      <w:kern w:val="0"/>
      <w:sz w:val="24"/>
    </w:rPr>
  </w:style>
  <w:style w:type="paragraph" w:customStyle="1" w:styleId="3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annotation text"/>
    <w:basedOn w:val="1"/>
    <w:semiHidden/>
    <w:unhideWhenUsed/>
    <w:qFormat/>
    <w:uiPriority w:val="0"/>
  </w:style>
  <w:style w:type="paragraph" w:styleId="6">
    <w:name w:val="Body Text"/>
    <w:basedOn w:val="1"/>
    <w:qFormat/>
    <w:uiPriority w:val="1"/>
    <w:pPr>
      <w:ind w:left="319"/>
    </w:pPr>
    <w:rPr>
      <w:sz w:val="24"/>
      <w:szCs w:val="24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9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cs="Times New Roman"/>
      <w:sz w:val="24"/>
      <w:szCs w:val="24"/>
      <w:lang w:val="en-US" w:bidi="ar-SA"/>
    </w:rPr>
  </w:style>
  <w:style w:type="paragraph" w:styleId="10">
    <w:name w:val="Normal (Web)"/>
    <w:basedOn w:val="1"/>
    <w:semiHidden/>
    <w:unhideWhenUsed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annotation reference"/>
    <w:basedOn w:val="13"/>
    <w:semiHidden/>
    <w:unhideWhenUsed/>
    <w:qFormat/>
    <w:uiPriority w:val="0"/>
    <w:rPr>
      <w:sz w:val="21"/>
      <w:szCs w:val="21"/>
    </w:rPr>
  </w:style>
  <w:style w:type="paragraph" w:customStyle="1" w:styleId="17">
    <w:name w:val="Table Paragraph"/>
    <w:basedOn w:val="1"/>
    <w:qFormat/>
    <w:uiPriority w:val="1"/>
    <w:pPr>
      <w:spacing w:line="520" w:lineRule="exact"/>
      <w:ind w:right="226"/>
    </w:pPr>
  </w:style>
  <w:style w:type="table" w:customStyle="1" w:styleId="18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HTML 预设格式 字符"/>
    <w:link w:val="9"/>
    <w:qFormat/>
    <w:uiPriority w:val="99"/>
    <w:rPr>
      <w:rFonts w:ascii="宋体" w:hAnsi="宋体"/>
      <w:sz w:val="24"/>
      <w:szCs w:val="24"/>
    </w:rPr>
  </w:style>
  <w:style w:type="paragraph" w:customStyle="1" w:styleId="20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21">
    <w:name w:val="修订1"/>
    <w:hidden/>
    <w:unhideWhenUsed/>
    <w:qFormat/>
    <w:uiPriority w:val="99"/>
    <w:rPr>
      <w:rFonts w:ascii="宋体" w:hAnsi="宋体" w:eastAsia="宋体" w:cs="宋体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HBSC</Company>
  <Pages>3</Pages>
  <Words>2610</Words>
  <Characters>2731</Characters>
  <Lines>58</Lines>
  <Paragraphs>58</Paragraphs>
  <TotalTime>5</TotalTime>
  <ScaleCrop>false</ScaleCrop>
  <LinksUpToDate>false</LinksUpToDate>
  <CharactersWithSpaces>2805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2024-01-05T18:18:00Z</dcterms:created>
  <dc:creator>默沫1414148202</dc:creator>
  <cp:lastModifiedBy>张诗琪</cp:lastModifiedBy>
  <cp:lastPrinted>2025-10-27T01:08:00Z</cp:lastPrinted>
  <dcterms:modified xsi:type="dcterms:W3CDTF">2026-08-28T08:55:08Z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DC5D1BDE50F84A68A4B268F78EC879B4_13</vt:lpwstr>
  </property>
  <property fmtid="{D5CDD505-2E9C-101B-9397-08002B2CF9AE}" pid="4" name="KSOTemplateDocerSaveRecord">
    <vt:lpwstr>eyJoZGlkIjoiYTcwMmExZDZmNDI3YTI0ZTA3YTlkODY1MDIyMDY1YmQiLCJ1c2VySWQiOiIxMTgxNzg2NTk3In0=</vt:lpwstr>
  </property>
</Properties>
</file>