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56EA6">
      <w:pPr>
        <w:pStyle w:val="20"/>
        <w:jc w:val="center"/>
        <w:rPr>
          <w:rFonts w:ascii="宋体" w:hAnsi="宋体" w:eastAsia="宋体" w:cs="宋体"/>
          <w:b/>
          <w:bCs/>
          <w:color w:val="auto"/>
          <w:szCs w:val="28"/>
        </w:rPr>
      </w:pPr>
      <w:r>
        <w:rPr>
          <w:rFonts w:hint="eastAsia" w:ascii="宋体" w:hAnsi="宋体" w:eastAsia="宋体" w:cs="宋体"/>
          <w:b/>
          <w:bCs/>
          <w:color w:val="auto"/>
          <w:szCs w:val="28"/>
          <w:lang w:eastAsia="zh-Hans"/>
        </w:rPr>
        <w:t>金科环境</w:t>
      </w:r>
      <w:r>
        <w:rPr>
          <w:rFonts w:hint="eastAsia" w:ascii="宋体" w:hAnsi="宋体" w:eastAsia="宋体" w:cs="宋体"/>
          <w:b/>
          <w:bCs/>
          <w:color w:val="auto"/>
          <w:szCs w:val="28"/>
        </w:rPr>
        <w:t>股份有限公司</w:t>
      </w:r>
    </w:p>
    <w:p w14:paraId="29E2CA38">
      <w:pPr>
        <w:pStyle w:val="20"/>
        <w:jc w:val="center"/>
        <w:rPr>
          <w:rFonts w:ascii="宋体" w:hAnsi="宋体" w:eastAsia="宋体" w:cs="宋体"/>
          <w:b/>
          <w:bCs/>
          <w:color w:val="auto"/>
          <w:szCs w:val="28"/>
        </w:rPr>
      </w:pPr>
      <w:r>
        <w:rPr>
          <w:rFonts w:hint="eastAsia" w:ascii="宋体" w:hAnsi="宋体" w:eastAsia="宋体" w:cs="宋体"/>
          <w:b/>
          <w:bCs/>
          <w:color w:val="auto"/>
          <w:szCs w:val="28"/>
        </w:rPr>
        <w:t>投资者关系活动记录表</w:t>
      </w:r>
    </w:p>
    <w:p w14:paraId="7C74A02E">
      <w:pPr>
        <w:wordWrap w:val="0"/>
        <w:jc w:val="right"/>
        <w:rPr>
          <w:rFonts w:hint="default" w:ascii="宋体" w:hAnsi="宋体" w:eastAsia="宋体" w:cs="Times New Roman"/>
          <w:sz w:val="24"/>
          <w:lang w:val="en-US" w:eastAsia="zh-CN"/>
        </w:rPr>
      </w:pPr>
      <w:r>
        <w:rPr>
          <w:rFonts w:hint="eastAsia" w:ascii="宋体" w:hAnsi="宋体" w:eastAsia="宋体" w:cs="Times New Roman"/>
        </w:rPr>
        <w:t>编号</w:t>
      </w:r>
      <w:r>
        <w:rPr>
          <w:rFonts w:ascii="宋体" w:hAnsi="宋体" w:eastAsia="宋体" w:cs="Times New Roman"/>
        </w:rPr>
        <w:t>：</w:t>
      </w:r>
      <w:r>
        <w:rPr>
          <w:rFonts w:hint="eastAsia" w:ascii="宋体" w:hAnsi="宋体" w:eastAsia="宋体" w:cs="Times New Roman"/>
        </w:rPr>
        <w:t>2</w:t>
      </w:r>
      <w:r>
        <w:rPr>
          <w:rFonts w:ascii="宋体" w:hAnsi="宋体" w:eastAsia="宋体" w:cs="Times New Roman"/>
        </w:rPr>
        <w:t>02</w:t>
      </w:r>
      <w:r>
        <w:rPr>
          <w:rFonts w:hint="eastAsia" w:ascii="宋体" w:hAnsi="宋体" w:eastAsia="宋体" w:cs="Times New Roman"/>
          <w:lang w:val="en-US" w:eastAsia="zh-CN"/>
        </w:rPr>
        <w:t>6</w:t>
      </w:r>
      <w:r>
        <w:rPr>
          <w:rFonts w:hint="eastAsia" w:ascii="宋体" w:hAnsi="宋体" w:eastAsia="宋体" w:cs="Times New Roman"/>
        </w:rPr>
        <w:t>-0</w:t>
      </w:r>
      <w:r>
        <w:rPr>
          <w:rFonts w:hint="eastAsia" w:ascii="宋体" w:hAnsi="宋体" w:eastAsia="宋体" w:cs="Times New Roman"/>
          <w:lang w:val="en-US" w:eastAsia="zh-CN"/>
        </w:rPr>
        <w:t>4</w:t>
      </w:r>
    </w:p>
    <w:tbl>
      <w:tblPr>
        <w:tblStyle w:val="21"/>
        <w:tblW w:w="907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7229"/>
      </w:tblGrid>
      <w:tr w14:paraId="3C3C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trPr>
        <w:tc>
          <w:tcPr>
            <w:tcW w:w="1844" w:type="dxa"/>
            <w:vAlign w:val="center"/>
          </w:tcPr>
          <w:p w14:paraId="2131FCC0">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Cs w:val="21"/>
                <w:u w:val="none"/>
              </w:rPr>
            </w:pPr>
            <w:r>
              <w:rPr>
                <w:rFonts w:hint="eastAsia" w:ascii="宋体" w:hAnsi="宋体" w:eastAsia="宋体" w:cs="宋体"/>
                <w:b/>
                <w:bCs/>
                <w:color w:val="auto"/>
                <w:szCs w:val="21"/>
                <w:u w:val="none"/>
              </w:rPr>
              <w:t>投资者关系活动类别</w:t>
            </w:r>
          </w:p>
        </w:tc>
        <w:tc>
          <w:tcPr>
            <w:tcW w:w="7229" w:type="dxa"/>
            <w:vAlign w:val="center"/>
          </w:tcPr>
          <w:p w14:paraId="15BA04EE">
            <w:pPr>
              <w:keepNext w:val="0"/>
              <w:keepLines w:val="0"/>
              <w:suppressLineNumbers w:val="0"/>
              <w:spacing w:before="0" w:beforeAutospacing="0" w:after="0" w:afterAutospacing="0" w:line="240" w:lineRule="auto"/>
              <w:ind w:left="0" w:right="0"/>
              <w:rPr>
                <w:rFonts w:hint="eastAsia" w:ascii="宋体" w:hAnsi="宋体" w:eastAsia="宋体" w:cs="宋体"/>
                <w:color w:val="auto"/>
                <w:szCs w:val="21"/>
                <w:u w:val="none"/>
              </w:rPr>
            </w:pP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特定对象调研</w:t>
            </w:r>
            <w:r>
              <w:rPr>
                <w:rFonts w:hint="eastAsia" w:ascii="宋体" w:hAnsi="宋体" w:eastAsia="宋体" w:cs="宋体"/>
                <w:color w:val="auto"/>
                <w:szCs w:val="21"/>
                <w:u w:val="none"/>
                <w:lang w:val="en-US" w:eastAsia="zh-CN"/>
              </w:rPr>
              <w:t xml:space="preserve">      </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分析师会议</w:t>
            </w:r>
          </w:p>
          <w:p w14:paraId="1C5BD443">
            <w:pPr>
              <w:keepNext w:val="0"/>
              <w:keepLines w:val="0"/>
              <w:suppressLineNumbers w:val="0"/>
              <w:autoSpaceDE w:val="0"/>
              <w:autoSpaceDN w:val="0"/>
              <w:spacing w:before="0" w:beforeAutospacing="0" w:after="0" w:afterAutospacing="0" w:line="240" w:lineRule="auto"/>
              <w:ind w:left="0" w:right="0"/>
              <w:rPr>
                <w:rFonts w:hint="eastAsia" w:ascii="宋体" w:hAnsi="宋体" w:eastAsia="宋体" w:cs="宋体"/>
                <w:color w:val="auto"/>
                <w:kern w:val="0"/>
                <w:szCs w:val="21"/>
                <w:u w:val="none"/>
              </w:rPr>
            </w:pPr>
            <w:r>
              <w:rPr>
                <w:rFonts w:hint="eastAsia" w:ascii="宋体" w:hAnsi="宋体" w:eastAsia="宋体" w:cs="宋体"/>
                <w:color w:val="auto"/>
                <w:szCs w:val="21"/>
                <w:u w:val="none"/>
              </w:rPr>
              <w:t>□</w:t>
            </w:r>
            <w:r>
              <w:rPr>
                <w:rFonts w:hint="eastAsia" w:ascii="宋体" w:hAnsi="宋体" w:eastAsia="宋体" w:cs="宋体"/>
                <w:color w:val="auto"/>
                <w:kern w:val="0"/>
                <w:szCs w:val="21"/>
                <w:u w:val="none"/>
              </w:rPr>
              <w:t>媒体采访</w:t>
            </w:r>
            <w:r>
              <w:rPr>
                <w:rFonts w:hint="eastAsia" w:ascii="宋体" w:hAnsi="宋体" w:eastAsia="宋体" w:cs="宋体"/>
                <w:color w:val="auto"/>
                <w:kern w:val="0"/>
                <w:szCs w:val="21"/>
                <w:u w:val="none"/>
                <w:lang w:val="en-US" w:eastAsia="zh-CN"/>
              </w:rPr>
              <w:t xml:space="preserve">          </w:t>
            </w:r>
            <w:r>
              <w:rPr>
                <w:rFonts w:hint="eastAsia" w:ascii="宋体" w:hAnsi="宋体" w:eastAsia="宋体" w:cs="宋体"/>
                <w:color w:val="auto"/>
                <w:szCs w:val="21"/>
                <w:u w:val="none"/>
                <w:lang w:eastAsia="zh-CN"/>
              </w:rPr>
              <w:t>□</w:t>
            </w:r>
            <w:r>
              <w:rPr>
                <w:rFonts w:hint="eastAsia" w:ascii="宋体" w:hAnsi="宋体" w:eastAsia="宋体" w:cs="宋体"/>
                <w:color w:val="auto"/>
                <w:kern w:val="0"/>
                <w:szCs w:val="21"/>
                <w:u w:val="none"/>
              </w:rPr>
              <w:t>业绩说明会</w:t>
            </w:r>
          </w:p>
          <w:p w14:paraId="09EAD1DB">
            <w:pPr>
              <w:keepNext w:val="0"/>
              <w:keepLines w:val="0"/>
              <w:suppressLineNumbers w:val="0"/>
              <w:autoSpaceDE w:val="0"/>
              <w:autoSpaceDN w:val="0"/>
              <w:spacing w:before="0" w:beforeAutospacing="0" w:after="0" w:afterAutospacing="0" w:line="240" w:lineRule="auto"/>
              <w:ind w:left="0" w:right="0"/>
              <w:rPr>
                <w:rFonts w:hint="eastAsia" w:ascii="宋体" w:hAnsi="宋体" w:eastAsia="宋体" w:cs="宋体"/>
                <w:color w:val="auto"/>
                <w:kern w:val="0"/>
                <w:szCs w:val="21"/>
                <w:u w:val="none"/>
              </w:rPr>
            </w:pPr>
            <w:r>
              <w:rPr>
                <w:rFonts w:hint="eastAsia" w:ascii="宋体" w:hAnsi="宋体" w:eastAsia="宋体" w:cs="宋体"/>
                <w:color w:val="auto"/>
                <w:kern w:val="0"/>
                <w:szCs w:val="21"/>
                <w:u w:val="none"/>
              </w:rPr>
              <w:t>□新闻发布会</w:t>
            </w:r>
            <w:r>
              <w:rPr>
                <w:rFonts w:hint="eastAsia" w:ascii="宋体" w:hAnsi="宋体" w:eastAsia="宋体" w:cs="宋体"/>
                <w:color w:val="auto"/>
                <w:kern w:val="0"/>
                <w:szCs w:val="21"/>
                <w:u w:val="none"/>
                <w:lang w:val="en-US" w:eastAsia="zh-CN"/>
              </w:rPr>
              <w:t xml:space="preserve">        </w:t>
            </w:r>
            <w:r>
              <w:rPr>
                <w:rFonts w:hint="eastAsia" w:ascii="宋体" w:hAnsi="宋体" w:eastAsia="宋体" w:cs="宋体"/>
                <w:color w:val="auto"/>
                <w:szCs w:val="21"/>
                <w:u w:val="none"/>
                <w:lang w:eastAsia="zh-CN"/>
              </w:rPr>
              <w:t>□</w:t>
            </w:r>
            <w:r>
              <w:rPr>
                <w:rFonts w:hint="eastAsia" w:ascii="宋体" w:hAnsi="宋体" w:eastAsia="宋体" w:cs="宋体"/>
                <w:color w:val="auto"/>
                <w:kern w:val="0"/>
                <w:szCs w:val="21"/>
                <w:u w:val="none"/>
              </w:rPr>
              <w:t>路演活动</w:t>
            </w:r>
          </w:p>
          <w:p w14:paraId="108164ED">
            <w:pPr>
              <w:keepNext w:val="0"/>
              <w:keepLines w:val="0"/>
              <w:suppressLineNumbers w:val="0"/>
              <w:spacing w:before="0" w:beforeAutospacing="0" w:after="0" w:afterAutospacing="0" w:line="240" w:lineRule="auto"/>
              <w:ind w:left="0" w:right="0"/>
              <w:rPr>
                <w:rFonts w:hint="eastAsia" w:ascii="宋体" w:hAnsi="宋体" w:eastAsia="宋体" w:cs="宋体"/>
                <w:color w:val="auto"/>
                <w:szCs w:val="21"/>
                <w:u w:val="none"/>
              </w:rPr>
            </w:pP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现场参观</w:t>
            </w:r>
          </w:p>
          <w:p w14:paraId="5905D1FC">
            <w:pPr>
              <w:keepNext w:val="0"/>
              <w:keepLines w:val="0"/>
              <w:suppressLineNumbers w:val="0"/>
              <w:spacing w:before="0" w:beforeAutospacing="0" w:after="0" w:afterAutospacing="0" w:line="240" w:lineRule="auto"/>
              <w:ind w:left="0" w:right="0"/>
              <w:rPr>
                <w:rFonts w:hint="default" w:ascii="宋体" w:hAnsi="宋体" w:eastAsia="宋体" w:cs="宋体"/>
                <w:color w:val="auto"/>
                <w:szCs w:val="21"/>
                <w:u w:val="none"/>
                <w:lang w:val="en-US" w:eastAsia="zh-CN"/>
              </w:rPr>
            </w:pP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其他</w:t>
            </w:r>
            <w:r>
              <w:rPr>
                <w:rFonts w:hint="eastAsia" w:ascii="宋体" w:hAnsi="宋体" w:eastAsia="宋体" w:cs="宋体"/>
                <w:color w:val="auto"/>
                <w:szCs w:val="21"/>
                <w:u w:val="none"/>
                <w:lang w:val="en-US" w:eastAsia="zh-CN"/>
              </w:rPr>
              <w:t xml:space="preserve"> 进门财经线上会议：2026年半年报投资者交流会</w:t>
            </w:r>
          </w:p>
        </w:tc>
      </w:tr>
      <w:tr w14:paraId="0227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trPr>
        <w:tc>
          <w:tcPr>
            <w:tcW w:w="1844" w:type="dxa"/>
            <w:vAlign w:val="center"/>
          </w:tcPr>
          <w:p w14:paraId="720BAA4A">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Cs w:val="21"/>
                <w:u w:val="none"/>
              </w:rPr>
            </w:pPr>
            <w:r>
              <w:rPr>
                <w:rFonts w:hint="eastAsia" w:ascii="宋体" w:hAnsi="宋体" w:eastAsia="宋体" w:cs="宋体"/>
                <w:b/>
                <w:bCs/>
                <w:color w:val="auto"/>
                <w:szCs w:val="21"/>
                <w:u w:val="none"/>
              </w:rPr>
              <w:t>参与单位</w:t>
            </w:r>
          </w:p>
        </w:tc>
        <w:tc>
          <w:tcPr>
            <w:tcW w:w="7229" w:type="dxa"/>
            <w:vAlign w:val="center"/>
          </w:tcPr>
          <w:p w14:paraId="20BC8BE8">
            <w:pPr>
              <w:keepNext w:val="0"/>
              <w:keepLines w:val="0"/>
              <w:suppressLineNumbers w:val="0"/>
              <w:spacing w:before="0" w:beforeAutospacing="0" w:after="0" w:afterAutospacing="0"/>
              <w:ind w:left="0" w:right="0"/>
              <w:rPr>
                <w:rFonts w:hint="eastAsia" w:ascii="宋体" w:hAnsi="宋体" w:eastAsia="宋体" w:cs="宋体"/>
                <w:color w:val="auto"/>
                <w:szCs w:val="21"/>
                <w:u w:val="none"/>
                <w:lang w:eastAsia="zh-CN"/>
              </w:rPr>
            </w:pPr>
            <w:r>
              <w:rPr>
                <w:rFonts w:hint="eastAsia" w:ascii="宋体" w:hAnsi="宋体" w:eastAsia="宋体"/>
                <w:sz w:val="20"/>
              </w:rPr>
              <w:t>广发证券股份有限公司</w:t>
            </w:r>
            <w:r>
              <w:rPr>
                <w:rFonts w:hint="eastAsia" w:ascii="宋体" w:hAnsi="宋体" w:eastAsia="宋体"/>
                <w:sz w:val="20"/>
                <w:lang w:eastAsia="zh-CN"/>
              </w:rPr>
              <w:t>、</w:t>
            </w:r>
            <w:r>
              <w:rPr>
                <w:rFonts w:hint="eastAsia" w:ascii="宋体" w:hAnsi="宋体" w:eastAsia="宋体"/>
                <w:sz w:val="20"/>
              </w:rPr>
              <w:t>华泰证券股份有限公司</w:t>
            </w:r>
            <w:r>
              <w:rPr>
                <w:rFonts w:hint="eastAsia" w:ascii="宋体" w:hAnsi="宋体" w:eastAsia="宋体"/>
                <w:sz w:val="20"/>
                <w:lang w:eastAsia="zh-CN"/>
              </w:rPr>
              <w:t>、</w:t>
            </w:r>
            <w:r>
              <w:rPr>
                <w:rFonts w:hint="eastAsia" w:ascii="宋体" w:hAnsi="宋体" w:eastAsia="宋体"/>
                <w:sz w:val="20"/>
              </w:rPr>
              <w:t>东方证券股份有限公司</w:t>
            </w:r>
            <w:r>
              <w:rPr>
                <w:rFonts w:hint="eastAsia" w:ascii="宋体" w:hAnsi="宋体" w:eastAsia="宋体"/>
                <w:sz w:val="20"/>
                <w:lang w:eastAsia="zh-CN"/>
              </w:rPr>
              <w:t>、</w:t>
            </w:r>
            <w:r>
              <w:rPr>
                <w:rFonts w:hint="eastAsia" w:ascii="宋体" w:hAnsi="宋体" w:eastAsia="宋体"/>
                <w:sz w:val="20"/>
              </w:rPr>
              <w:t>东吴证券股份有限公司</w:t>
            </w:r>
            <w:r>
              <w:rPr>
                <w:rFonts w:hint="eastAsia" w:ascii="宋体" w:hAnsi="宋体" w:eastAsia="宋体"/>
                <w:sz w:val="20"/>
                <w:lang w:eastAsia="zh-CN"/>
              </w:rPr>
              <w:t>、</w:t>
            </w:r>
            <w:r>
              <w:rPr>
                <w:rFonts w:hint="eastAsia" w:ascii="宋体" w:hAnsi="宋体" w:eastAsia="宋体"/>
                <w:sz w:val="20"/>
              </w:rPr>
              <w:t>方正证券股份有限公司</w:t>
            </w:r>
            <w:r>
              <w:rPr>
                <w:rFonts w:hint="eastAsia" w:ascii="宋体" w:hAnsi="宋体" w:eastAsia="宋体"/>
                <w:sz w:val="20"/>
                <w:lang w:eastAsia="zh-CN"/>
              </w:rPr>
              <w:t>、</w:t>
            </w:r>
            <w:r>
              <w:rPr>
                <w:rFonts w:hint="eastAsia" w:ascii="宋体" w:hAnsi="宋体" w:eastAsia="宋体"/>
                <w:sz w:val="20"/>
              </w:rPr>
              <w:t>国泰海通证券股份有限公司</w:t>
            </w:r>
            <w:r>
              <w:rPr>
                <w:rFonts w:hint="eastAsia" w:ascii="宋体" w:hAnsi="宋体" w:eastAsia="宋体"/>
                <w:sz w:val="20"/>
                <w:lang w:eastAsia="zh-CN"/>
              </w:rPr>
              <w:t>、</w:t>
            </w:r>
            <w:r>
              <w:rPr>
                <w:rFonts w:hint="eastAsia" w:ascii="宋体" w:hAnsi="宋体" w:eastAsia="宋体"/>
                <w:sz w:val="20"/>
              </w:rPr>
              <w:t>华源证券股份有限公司</w:t>
            </w:r>
            <w:r>
              <w:rPr>
                <w:rFonts w:hint="eastAsia" w:ascii="宋体" w:hAnsi="宋体" w:eastAsia="宋体"/>
                <w:sz w:val="20"/>
                <w:lang w:eastAsia="zh-CN"/>
              </w:rPr>
              <w:t>、</w:t>
            </w:r>
            <w:r>
              <w:rPr>
                <w:rFonts w:hint="eastAsia" w:ascii="宋体" w:hAnsi="宋体" w:eastAsia="宋体"/>
                <w:sz w:val="20"/>
              </w:rPr>
              <w:t>开源证券股份有限公司</w:t>
            </w:r>
            <w:r>
              <w:rPr>
                <w:rFonts w:hint="eastAsia" w:ascii="宋体" w:hAnsi="宋体" w:eastAsia="宋体"/>
                <w:sz w:val="20"/>
                <w:lang w:eastAsia="zh-CN"/>
              </w:rPr>
              <w:t>、</w:t>
            </w:r>
            <w:r>
              <w:rPr>
                <w:rFonts w:hint="eastAsia" w:ascii="宋体" w:hAnsi="宋体" w:eastAsia="宋体"/>
                <w:sz w:val="20"/>
              </w:rPr>
              <w:t>招商基金管理有限公司</w:t>
            </w:r>
            <w:r>
              <w:rPr>
                <w:rFonts w:hint="eastAsia" w:ascii="宋体" w:hAnsi="宋体" w:eastAsia="宋体"/>
                <w:sz w:val="20"/>
                <w:lang w:eastAsia="zh-CN"/>
              </w:rPr>
              <w:t>、</w:t>
            </w:r>
            <w:r>
              <w:rPr>
                <w:rFonts w:hint="eastAsia" w:ascii="宋体" w:hAnsi="宋体" w:eastAsia="宋体"/>
                <w:sz w:val="20"/>
              </w:rPr>
              <w:t>华鑫国际信托有限公司</w:t>
            </w:r>
            <w:r>
              <w:rPr>
                <w:rFonts w:hint="eastAsia" w:ascii="宋体" w:hAnsi="宋体" w:eastAsia="宋体"/>
                <w:sz w:val="20"/>
                <w:lang w:eastAsia="zh-CN"/>
              </w:rPr>
              <w:t>、</w:t>
            </w:r>
            <w:r>
              <w:rPr>
                <w:rFonts w:hint="eastAsia" w:ascii="宋体" w:hAnsi="宋体" w:eastAsia="宋体"/>
                <w:sz w:val="20"/>
              </w:rPr>
              <w:t>兴证国际金融集团有限公司</w:t>
            </w:r>
            <w:r>
              <w:rPr>
                <w:rFonts w:hint="eastAsia" w:ascii="宋体" w:hAnsi="宋体" w:eastAsia="宋体"/>
                <w:sz w:val="20"/>
                <w:lang w:eastAsia="zh-CN"/>
              </w:rPr>
              <w:t>、</w:t>
            </w:r>
            <w:r>
              <w:rPr>
                <w:rFonts w:hint="eastAsia" w:ascii="宋体" w:hAnsi="宋体" w:eastAsia="宋体"/>
                <w:sz w:val="20"/>
              </w:rPr>
              <w:t>泰山财产保险股份有限公司</w:t>
            </w:r>
            <w:r>
              <w:rPr>
                <w:rFonts w:hint="eastAsia" w:ascii="宋体" w:hAnsi="宋体" w:eastAsia="宋体"/>
                <w:sz w:val="20"/>
                <w:lang w:eastAsia="zh-CN"/>
              </w:rPr>
              <w:t>、</w:t>
            </w:r>
            <w:r>
              <w:rPr>
                <w:rFonts w:hint="eastAsia" w:ascii="宋体" w:hAnsi="宋体" w:eastAsia="宋体"/>
                <w:sz w:val="20"/>
              </w:rPr>
              <w:t>中信保诚基金管理有限公司</w:t>
            </w:r>
            <w:r>
              <w:rPr>
                <w:rFonts w:hint="eastAsia" w:ascii="宋体" w:hAnsi="宋体" w:eastAsia="宋体"/>
                <w:sz w:val="20"/>
                <w:lang w:eastAsia="zh-CN"/>
              </w:rPr>
              <w:t>、</w:t>
            </w:r>
            <w:r>
              <w:rPr>
                <w:rFonts w:hint="eastAsia" w:ascii="宋体" w:hAnsi="宋体" w:eastAsia="宋体"/>
                <w:sz w:val="20"/>
              </w:rPr>
              <w:t>上海厚坡私募基金管理有限公司</w:t>
            </w:r>
            <w:r>
              <w:rPr>
                <w:rFonts w:hint="eastAsia" w:ascii="宋体" w:hAnsi="宋体" w:eastAsia="宋体"/>
                <w:sz w:val="20"/>
                <w:lang w:eastAsia="zh-CN"/>
              </w:rPr>
              <w:t>、</w:t>
            </w:r>
            <w:r>
              <w:rPr>
                <w:rFonts w:hint="eastAsia" w:ascii="宋体" w:hAnsi="宋体" w:eastAsia="宋体"/>
                <w:sz w:val="20"/>
              </w:rPr>
              <w:t>鸿运私募基金管理(海南)有限公司</w:t>
            </w:r>
            <w:r>
              <w:rPr>
                <w:rFonts w:hint="eastAsia" w:ascii="宋体" w:hAnsi="宋体" w:eastAsia="宋体"/>
                <w:sz w:val="20"/>
                <w:lang w:eastAsia="zh-CN"/>
              </w:rPr>
              <w:t>、</w:t>
            </w:r>
            <w:r>
              <w:rPr>
                <w:rFonts w:hint="eastAsia" w:ascii="宋体" w:hAnsi="宋体" w:eastAsia="宋体"/>
                <w:sz w:val="20"/>
              </w:rPr>
              <w:t>鑫睿私募</w:t>
            </w:r>
            <w:r>
              <w:rPr>
                <w:rFonts w:hint="eastAsia" w:ascii="宋体" w:hAnsi="宋体" w:eastAsia="宋体"/>
                <w:sz w:val="20"/>
                <w:lang w:eastAsia="zh-CN"/>
              </w:rPr>
              <w:t>、</w:t>
            </w:r>
            <w:r>
              <w:rPr>
                <w:rFonts w:hint="eastAsia" w:ascii="宋体" w:hAnsi="宋体" w:eastAsia="宋体"/>
                <w:sz w:val="20"/>
              </w:rPr>
              <w:t>耕霁(上海)投资管理有限公司</w:t>
            </w:r>
            <w:r>
              <w:rPr>
                <w:rFonts w:hint="eastAsia" w:ascii="宋体" w:hAnsi="宋体" w:eastAsia="宋体"/>
                <w:sz w:val="20"/>
                <w:lang w:eastAsia="zh-CN"/>
              </w:rPr>
              <w:t>、</w:t>
            </w:r>
            <w:r>
              <w:rPr>
                <w:rFonts w:hint="eastAsia" w:ascii="宋体" w:hAnsi="宋体" w:eastAsia="宋体"/>
                <w:sz w:val="20"/>
              </w:rPr>
              <w:t>财通证券资产管理有限公司</w:t>
            </w:r>
            <w:r>
              <w:rPr>
                <w:rFonts w:hint="eastAsia" w:ascii="宋体" w:hAnsi="宋体" w:eastAsia="宋体"/>
                <w:sz w:val="20"/>
                <w:lang w:eastAsia="zh-CN"/>
              </w:rPr>
              <w:t>、</w:t>
            </w:r>
            <w:r>
              <w:rPr>
                <w:rFonts w:hint="eastAsia" w:ascii="宋体" w:hAnsi="宋体" w:eastAsia="宋体"/>
                <w:sz w:val="20"/>
              </w:rPr>
              <w:t>青骊投资管理(上海)有限公司</w:t>
            </w:r>
            <w:r>
              <w:rPr>
                <w:rFonts w:hint="eastAsia" w:ascii="宋体" w:hAnsi="宋体" w:eastAsia="宋体"/>
                <w:sz w:val="20"/>
                <w:lang w:eastAsia="zh-CN"/>
              </w:rPr>
              <w:t>、</w:t>
            </w:r>
            <w:r>
              <w:rPr>
                <w:rFonts w:hint="eastAsia" w:ascii="宋体" w:hAnsi="宋体" w:eastAsia="宋体"/>
                <w:sz w:val="20"/>
              </w:rPr>
              <w:t>苏州工业园区中亿明源创业投资管理有限公司</w:t>
            </w:r>
            <w:r>
              <w:rPr>
                <w:rFonts w:hint="eastAsia" w:ascii="宋体" w:hAnsi="宋体" w:eastAsia="宋体"/>
                <w:sz w:val="20"/>
                <w:lang w:eastAsia="zh-CN"/>
              </w:rPr>
              <w:t>、</w:t>
            </w:r>
            <w:r>
              <w:rPr>
                <w:rFonts w:hint="eastAsia" w:ascii="宋体" w:hAnsi="宋体" w:eastAsia="宋体"/>
                <w:sz w:val="20"/>
              </w:rPr>
              <w:t>上海益理资产管理有限公司</w:t>
            </w:r>
            <w:r>
              <w:rPr>
                <w:rFonts w:hint="eastAsia" w:ascii="宋体" w:hAnsi="宋体" w:eastAsia="宋体"/>
                <w:sz w:val="20"/>
                <w:lang w:eastAsia="zh-CN"/>
              </w:rPr>
              <w:t>、</w:t>
            </w:r>
            <w:r>
              <w:rPr>
                <w:rFonts w:hint="eastAsia" w:ascii="宋体" w:hAnsi="宋体" w:eastAsia="宋体"/>
                <w:sz w:val="20"/>
              </w:rPr>
              <w:t>创金合信基金管理有限公司</w:t>
            </w:r>
            <w:r>
              <w:rPr>
                <w:rFonts w:hint="eastAsia" w:ascii="宋体" w:hAnsi="宋体" w:eastAsia="宋体"/>
                <w:sz w:val="20"/>
                <w:lang w:eastAsia="zh-CN"/>
              </w:rPr>
              <w:t>、</w:t>
            </w:r>
            <w:r>
              <w:rPr>
                <w:rFonts w:hint="eastAsia" w:ascii="宋体" w:hAnsi="宋体" w:eastAsia="宋体"/>
                <w:sz w:val="20"/>
              </w:rPr>
              <w:t>摩根基金管理(中国)有限公司</w:t>
            </w:r>
            <w:r>
              <w:rPr>
                <w:rFonts w:hint="eastAsia" w:ascii="宋体" w:hAnsi="宋体" w:eastAsia="宋体"/>
                <w:sz w:val="20"/>
                <w:lang w:eastAsia="zh-CN"/>
              </w:rPr>
              <w:t>、</w:t>
            </w:r>
            <w:r>
              <w:rPr>
                <w:rFonts w:hint="eastAsia" w:ascii="宋体" w:hAnsi="宋体" w:eastAsia="宋体"/>
                <w:sz w:val="20"/>
              </w:rPr>
              <w:t>上海贡戛私募基金管理有限公司</w:t>
            </w:r>
            <w:r>
              <w:rPr>
                <w:rFonts w:hint="eastAsia" w:ascii="宋体" w:hAnsi="宋体" w:eastAsia="宋体" w:cs="宋体"/>
                <w:color w:val="auto"/>
                <w:szCs w:val="21"/>
                <w:highlight w:val="none"/>
                <w:u w:val="none"/>
              </w:rPr>
              <w:t>（以上机构排名不分先后）</w:t>
            </w:r>
          </w:p>
        </w:tc>
      </w:tr>
      <w:tr w14:paraId="075D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844" w:type="dxa"/>
            <w:vAlign w:val="center"/>
          </w:tcPr>
          <w:p w14:paraId="3C9C2018">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Cs w:val="21"/>
                <w:u w:val="none"/>
              </w:rPr>
            </w:pPr>
            <w:r>
              <w:rPr>
                <w:rFonts w:hint="eastAsia" w:ascii="宋体" w:hAnsi="宋体" w:eastAsia="宋体" w:cs="宋体"/>
                <w:b/>
                <w:bCs/>
                <w:color w:val="auto"/>
                <w:szCs w:val="21"/>
                <w:u w:val="none"/>
              </w:rPr>
              <w:t>公司接待人员姓名及职务</w:t>
            </w:r>
          </w:p>
        </w:tc>
        <w:tc>
          <w:tcPr>
            <w:tcW w:w="7229" w:type="dxa"/>
            <w:vAlign w:val="center"/>
          </w:tcPr>
          <w:p w14:paraId="1C4B1478">
            <w:pPr>
              <w:keepNext w:val="0"/>
              <w:keepLines w:val="0"/>
              <w:suppressLineNumbers w:val="0"/>
              <w:spacing w:before="0" w:beforeAutospacing="0" w:after="0" w:afterAutospacing="0" w:line="240" w:lineRule="auto"/>
              <w:ind w:left="0" w:right="0"/>
              <w:rPr>
                <w:rFonts w:hint="eastAsia" w:ascii="宋体" w:hAnsi="宋体" w:eastAsia="宋体" w:cs="宋体"/>
                <w:color w:val="auto"/>
                <w:szCs w:val="21"/>
                <w:u w:val="none"/>
              </w:rPr>
            </w:pPr>
            <w:r>
              <w:rPr>
                <w:rFonts w:hint="eastAsia" w:ascii="宋体" w:hAnsi="宋体" w:eastAsia="宋体" w:cs="宋体"/>
                <w:color w:val="auto"/>
                <w:szCs w:val="21"/>
                <w:u w:val="none"/>
              </w:rPr>
              <w:t>副总经理、董事会秘书</w:t>
            </w:r>
            <w:r>
              <w:rPr>
                <w:rFonts w:hint="eastAsia" w:ascii="宋体" w:hAnsi="宋体" w:eastAsia="宋体" w:cs="宋体"/>
                <w:color w:val="auto"/>
                <w:szCs w:val="21"/>
                <w:u w:val="none"/>
                <w:lang w:val="en-US" w:eastAsia="zh-CN"/>
              </w:rPr>
              <w:t xml:space="preserve"> </w:t>
            </w:r>
            <w:r>
              <w:rPr>
                <w:rFonts w:hint="eastAsia" w:ascii="宋体" w:hAnsi="宋体" w:eastAsia="宋体" w:cs="宋体"/>
                <w:color w:val="auto"/>
                <w:szCs w:val="21"/>
                <w:u w:val="none"/>
                <w:lang w:eastAsia="zh-Hans"/>
              </w:rPr>
              <w:t>陈安娜</w:t>
            </w:r>
          </w:p>
          <w:p w14:paraId="0367DD82">
            <w:pPr>
              <w:keepNext w:val="0"/>
              <w:keepLines w:val="0"/>
              <w:suppressLineNumbers w:val="0"/>
              <w:spacing w:before="0" w:beforeAutospacing="0" w:after="0" w:afterAutospacing="0" w:line="240" w:lineRule="auto"/>
              <w:ind w:left="0" w:right="0"/>
              <w:rPr>
                <w:rFonts w:hint="eastAsia" w:ascii="宋体" w:hAnsi="宋体" w:eastAsia="宋体" w:cs="宋体"/>
                <w:color w:val="auto"/>
                <w:szCs w:val="21"/>
                <w:u w:val="none"/>
                <w:lang w:val="en-US" w:eastAsia="zh-CN"/>
              </w:rPr>
            </w:pPr>
            <w:r>
              <w:rPr>
                <w:rFonts w:hint="eastAsia" w:ascii="宋体" w:hAnsi="宋体" w:eastAsia="宋体" w:cs="宋体"/>
                <w:color w:val="auto"/>
                <w:szCs w:val="21"/>
                <w:u w:val="none"/>
                <w:lang w:val="en-US" w:eastAsia="zh-CN"/>
              </w:rPr>
              <w:t>数字科技事业部总经理 王晓宇</w:t>
            </w:r>
          </w:p>
        </w:tc>
      </w:tr>
      <w:tr w14:paraId="1996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844" w:type="dxa"/>
            <w:vAlign w:val="center"/>
          </w:tcPr>
          <w:p w14:paraId="17A8BFE4">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Cs w:val="21"/>
                <w:u w:val="none"/>
              </w:rPr>
            </w:pPr>
            <w:r>
              <w:rPr>
                <w:rFonts w:hint="eastAsia" w:ascii="宋体" w:hAnsi="宋体" w:eastAsia="宋体" w:cs="宋体"/>
                <w:b/>
                <w:bCs/>
                <w:color w:val="auto"/>
                <w:szCs w:val="21"/>
                <w:u w:val="none"/>
              </w:rPr>
              <w:t>时间</w:t>
            </w:r>
          </w:p>
        </w:tc>
        <w:tc>
          <w:tcPr>
            <w:tcW w:w="7229" w:type="dxa"/>
            <w:vAlign w:val="center"/>
          </w:tcPr>
          <w:p w14:paraId="3FD64161">
            <w:pPr>
              <w:keepNext w:val="0"/>
              <w:keepLines w:val="0"/>
              <w:suppressLineNumbers w:val="0"/>
              <w:spacing w:before="0" w:beforeAutospacing="0" w:after="0" w:afterAutospacing="0" w:line="240" w:lineRule="auto"/>
              <w:ind w:left="0" w:right="0"/>
              <w:rPr>
                <w:rFonts w:hint="default"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2026年8月21日</w:t>
            </w:r>
          </w:p>
        </w:tc>
      </w:tr>
      <w:tr w14:paraId="19E6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44" w:type="dxa"/>
            <w:vAlign w:val="center"/>
          </w:tcPr>
          <w:p w14:paraId="50BCD302">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Cs w:val="21"/>
                <w:u w:val="none"/>
              </w:rPr>
            </w:pPr>
            <w:r>
              <w:rPr>
                <w:rFonts w:hint="eastAsia" w:ascii="宋体" w:hAnsi="宋体" w:eastAsia="宋体" w:cs="宋体"/>
                <w:b/>
                <w:bCs/>
                <w:color w:val="auto"/>
                <w:szCs w:val="21"/>
                <w:u w:val="none"/>
              </w:rPr>
              <w:t>地点</w:t>
            </w:r>
          </w:p>
        </w:tc>
        <w:tc>
          <w:tcPr>
            <w:tcW w:w="7229" w:type="dxa"/>
            <w:vAlign w:val="center"/>
          </w:tcPr>
          <w:p w14:paraId="76F7C253">
            <w:pPr>
              <w:keepNext w:val="0"/>
              <w:keepLines w:val="0"/>
              <w:suppressLineNumbers w:val="0"/>
              <w:spacing w:before="0" w:beforeAutospacing="0" w:after="0" w:afterAutospacing="0" w:line="240" w:lineRule="auto"/>
              <w:ind w:left="0" w:right="0"/>
              <w:rPr>
                <w:rFonts w:hint="default" w:ascii="宋体" w:hAnsi="宋体" w:eastAsia="宋体" w:cs="宋体"/>
                <w:color w:val="auto"/>
                <w:szCs w:val="21"/>
                <w:u w:val="none"/>
                <w:lang w:val="en-US" w:eastAsia="zh-CN"/>
              </w:rPr>
            </w:pPr>
            <w:r>
              <w:rPr>
                <w:rFonts w:hint="eastAsia" w:ascii="宋体" w:hAnsi="宋体" w:eastAsia="宋体" w:cs="宋体"/>
                <w:color w:val="auto"/>
                <w:szCs w:val="21"/>
                <w:u w:val="none"/>
                <w:lang w:val="en-US" w:eastAsia="zh-CN"/>
              </w:rPr>
              <w:t>进门财经线上会议</w:t>
            </w:r>
          </w:p>
        </w:tc>
      </w:tr>
      <w:tr w14:paraId="3A0A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844" w:type="dxa"/>
            <w:vAlign w:val="center"/>
          </w:tcPr>
          <w:p w14:paraId="4815F51F">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Cs w:val="21"/>
                <w:u w:val="none"/>
              </w:rPr>
            </w:pPr>
            <w:r>
              <w:rPr>
                <w:rFonts w:hint="eastAsia" w:ascii="宋体" w:hAnsi="宋体" w:eastAsia="宋体" w:cs="宋体"/>
                <w:b/>
                <w:bCs/>
                <w:color w:val="auto"/>
                <w:szCs w:val="21"/>
                <w:u w:val="none"/>
              </w:rPr>
              <w:t>投资者关系活动主要内容介绍</w:t>
            </w:r>
          </w:p>
        </w:tc>
        <w:tc>
          <w:tcPr>
            <w:tcW w:w="7229" w:type="dxa"/>
          </w:tcPr>
          <w:p w14:paraId="2DAD58D8">
            <w:pPr>
              <w:keepNext w:val="0"/>
              <w:keepLines w:val="0"/>
              <w:suppressLineNumbers w:val="0"/>
              <w:spacing w:before="0" w:beforeAutospacing="0" w:after="0" w:afterAutospacing="0"/>
              <w:ind w:left="0" w:right="0" w:firstLine="422" w:firstLineChars="200"/>
              <w:rPr>
                <w:rFonts w:hint="eastAsia" w:ascii="宋体" w:hAnsi="宋体" w:eastAsia="宋体" w:cs="宋体"/>
                <w:b/>
                <w:bCs w:val="0"/>
                <w:color w:val="auto"/>
                <w:kern w:val="2"/>
                <w:sz w:val="21"/>
                <w:szCs w:val="21"/>
                <w:lang w:val="en-US" w:eastAsia="zh-CN" w:bidi="ar-SA"/>
              </w:rPr>
            </w:pPr>
          </w:p>
          <w:p w14:paraId="15FFE37E">
            <w:pPr>
              <w:keepNext w:val="0"/>
              <w:keepLines w:val="0"/>
              <w:suppressLineNumbers w:val="0"/>
              <w:spacing w:before="0" w:beforeAutospacing="0" w:after="0" w:afterAutospacing="0"/>
              <w:ind w:left="0" w:right="0" w:firstLine="422" w:firstLineChars="200"/>
              <w:rPr>
                <w:rFonts w:hint="default" w:ascii="宋体" w:hAnsi="宋体" w:eastAsia="宋体" w:cs="宋体"/>
                <w:b/>
                <w:bCs/>
                <w:lang w:val="en-US" w:eastAsia="zh-CN"/>
              </w:rPr>
            </w:pPr>
            <w:r>
              <w:rPr>
                <w:rFonts w:hint="eastAsia" w:ascii="宋体" w:hAnsi="宋体" w:eastAsia="宋体" w:cs="宋体"/>
                <w:b/>
                <w:bCs w:val="0"/>
                <w:color w:val="auto"/>
                <w:kern w:val="2"/>
                <w:sz w:val="21"/>
                <w:szCs w:val="21"/>
                <w:lang w:val="en-US" w:eastAsia="zh-CN" w:bidi="ar-SA"/>
              </w:rPr>
              <w:t>一、</w:t>
            </w:r>
            <w:r>
              <w:rPr>
                <w:rFonts w:hint="eastAsia" w:ascii="宋体" w:hAnsi="宋体" w:eastAsia="宋体" w:cs="宋体"/>
                <w:b/>
                <w:bCs/>
                <w:lang w:val="en-US" w:eastAsia="zh-CN"/>
              </w:rPr>
              <w:t>公司2026年半年度经营情况介绍</w:t>
            </w:r>
          </w:p>
          <w:p w14:paraId="6D46DCA8">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金科环境致力于人工智能在水处理垂直领域的深度融合与应用，</w:t>
            </w:r>
            <w:r>
              <w:rPr>
                <w:rFonts w:hint="eastAsia" w:ascii="宋体" w:hAnsi="宋体" w:eastAsia="宋体" w:cs="宋体"/>
                <w:lang w:val="en-US" w:eastAsia="zh-CN"/>
              </w:rPr>
              <w:t>公司</w:t>
            </w:r>
            <w:r>
              <w:rPr>
                <w:rFonts w:hint="eastAsia" w:ascii="宋体" w:hAnsi="宋体" w:eastAsia="宋体" w:cs="宋体"/>
                <w:lang w:val="en-US"/>
              </w:rPr>
              <w:t>以“AI为人类带来水自由”为使命，经过二十多年持续研发投入和产品创新迭代，推出新水岛®和水萝卜®AI智能体，从底层逻辑重构水处理厂的建设范式和运维范式，从而颠覆性改变水行业传统模式。</w:t>
            </w:r>
          </w:p>
          <w:p w14:paraId="18397DF8">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 xml:space="preserve">用水安全是客户最为核心的诉求，保障系统运行安全可靠，亦是公司产品研发、设计落地的首要目标。 </w:t>
            </w:r>
          </w:p>
          <w:p w14:paraId="42067FB6">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新水岛®的研发打造融合六大核心支撑体系：</w:t>
            </w:r>
          </w:p>
          <w:p w14:paraId="13216433">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 xml:space="preserve">（1）历经多年持续迭代打磨的标准化水处理工艺与整套系统设计方案； </w:t>
            </w:r>
          </w:p>
          <w:p w14:paraId="10A4313F">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 xml:space="preserve">（2）遵循工业化流水线作业的全过程质量管控制造体系； </w:t>
            </w:r>
          </w:p>
          <w:p w14:paraId="51A19B4F">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 xml:space="preserve">（3）依托海量已投运项目运行数据不断迭代训练的具身智能算法； </w:t>
            </w:r>
          </w:p>
          <w:p w14:paraId="3D6FFA2B">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 xml:space="preserve">（4）经过批量项目落地验证、性能先进且运行稳定的硬件配套设备； </w:t>
            </w:r>
          </w:p>
          <w:p w14:paraId="2F364D76">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 xml:space="preserve">（5）水萝卜®AI系统具备预判隐患、前置处置的预测性维护能力，可实现设备故障“治未病”； </w:t>
            </w:r>
          </w:p>
          <w:p w14:paraId="697D8121">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（6）水萝卜®OPEX优化算法稳定保障出水水质及水量。</w:t>
            </w:r>
          </w:p>
          <w:p w14:paraId="3A8852F1">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新水岛®作为可替代传统工程化水厂、搭载水萝卜®AI系统实现全程无人值守运行的标准化工业产品，依托全链条产品化理念贯穿设计、生产制造与后期运营全周期，使得设备具备稳定、安全、可靠的运行特质。</w:t>
            </w:r>
          </w:p>
          <w:p w14:paraId="49AB0E31">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产品的安全性与可靠性，离不开规模化场景应用、多轮迭代优化以及长期运行数据沉淀积累。依托公司20多年膜法水处理技术应用积淀，新水岛®系列产品持续迭代打磨，成熟度与可靠性稳步提升。</w:t>
            </w:r>
          </w:p>
          <w:p w14:paraId="15F89299">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r>
              <w:rPr>
                <w:rFonts w:hint="eastAsia" w:ascii="宋体" w:hAnsi="宋体" w:eastAsia="宋体" w:cs="宋体"/>
                <w:lang w:val="en-US"/>
              </w:rPr>
              <w:t>未来，伴随项目落地规模持续扩大、技术研发不断纵深推进，新水岛®整体安全运行水平将得到进一步跃升。</w:t>
            </w:r>
          </w:p>
          <w:p w14:paraId="1CE9A406">
            <w:pPr>
              <w:keepNext w:val="0"/>
              <w:keepLines w:val="0"/>
              <w:suppressLineNumbers w:val="0"/>
              <w:spacing w:before="0" w:beforeAutospacing="0" w:after="0" w:afterAutospacing="0"/>
              <w:ind w:left="0" w:right="0" w:firstLine="420" w:firstLineChars="200"/>
              <w:rPr>
                <w:rFonts w:hint="eastAsia" w:ascii="宋体" w:hAnsi="宋体" w:eastAsia="宋体" w:cs="宋体"/>
                <w:lang w:val="en-US"/>
              </w:rPr>
            </w:pPr>
          </w:p>
          <w:p w14:paraId="7B4DA577">
            <w:pPr>
              <w:keepNext w:val="0"/>
              <w:keepLines w:val="0"/>
              <w:suppressLineNumbers w:val="0"/>
              <w:spacing w:before="0" w:beforeAutospacing="0" w:after="0" w:afterAutospacing="0"/>
              <w:ind w:left="0" w:right="0" w:firstLine="422" w:firstLineChars="200"/>
              <w:rPr>
                <w:rFonts w:hint="eastAsia" w:ascii="宋体" w:hAnsi="宋体" w:eastAsia="宋体" w:cs="宋体"/>
                <w:b/>
                <w:bCs/>
                <w:lang w:val="en-US" w:eastAsia="zh-CN"/>
              </w:rPr>
            </w:pPr>
            <w:r>
              <w:rPr>
                <w:rFonts w:hint="eastAsia" w:ascii="宋体" w:hAnsi="宋体" w:eastAsia="宋体" w:cs="宋体"/>
                <w:b/>
                <w:bCs/>
                <w:lang w:val="en-US" w:eastAsia="zh-CN"/>
              </w:rPr>
              <w:t>（一）总体经营情况</w:t>
            </w:r>
          </w:p>
          <w:p w14:paraId="3E28630D">
            <w:pPr>
              <w:keepNext w:val="0"/>
              <w:keepLines w:val="0"/>
              <w:suppressLineNumbers w:val="0"/>
              <w:spacing w:before="0" w:beforeAutospacing="0" w:after="0" w:afterAutospacing="0"/>
              <w:ind w:left="0" w:right="0" w:firstLine="420" w:firstLineChars="200"/>
              <w:rPr>
                <w:rFonts w:hint="eastAsia" w:ascii="宋体" w:hAnsi="宋体" w:eastAsia="宋体" w:cs="宋体"/>
                <w:lang w:val="en-US" w:eastAsia="zh-CN"/>
              </w:rPr>
            </w:pPr>
            <w:r>
              <w:rPr>
                <w:rFonts w:hint="eastAsia" w:ascii="宋体" w:hAnsi="宋体" w:eastAsia="宋体" w:cs="宋体"/>
                <w:lang w:val="en-US" w:eastAsia="zh-CN"/>
              </w:rPr>
              <w:t>2026年上半年，公司实现营业收入209,014,156.33元，同比下降24.51%；实现归属于上市公司股东的净利润13,024,355.16元，同比下降57.39%；实现净利润18,703,611.77元，同比下降34.75%。营业收入与净利润的下降，主要系公司延续主动收缩市政类传统水处理技术解决方案业务的战略安排，相关项目收入相应减少，而新兴智能化水处理产品尚处于市场培育与交付爬坡阶段，短期内尚不足以完全弥补传统业务收缩形成的收入缺口。</w:t>
            </w:r>
          </w:p>
          <w:p w14:paraId="79C55391">
            <w:pPr>
              <w:keepNext w:val="0"/>
              <w:keepLines w:val="0"/>
              <w:suppressLineNumbers w:val="0"/>
              <w:spacing w:before="0" w:beforeAutospacing="0" w:after="0" w:afterAutospacing="0"/>
              <w:ind w:left="0" w:right="0" w:firstLine="420" w:firstLineChars="200"/>
              <w:rPr>
                <w:rFonts w:hint="eastAsia" w:ascii="宋体" w:hAnsi="宋体" w:eastAsia="宋体" w:cs="宋体"/>
                <w:lang w:val="en-US" w:eastAsia="zh-CN"/>
              </w:rPr>
            </w:pPr>
            <w:r>
              <w:rPr>
                <w:rFonts w:hint="eastAsia" w:ascii="宋体" w:hAnsi="宋体" w:eastAsia="宋体" w:cs="宋体"/>
                <w:lang w:val="en-US" w:eastAsia="zh-CN"/>
              </w:rPr>
              <w:t>需要说明的是，在收入规模阶段性承压的同时，公司经营质量的多项关键指标在报告期内出现了实质性改善，具体体现为以下方面：</w:t>
            </w:r>
          </w:p>
          <w:p w14:paraId="23995B32">
            <w:pPr>
              <w:keepNext w:val="0"/>
              <w:keepLines w:val="0"/>
              <w:suppressLineNumbers w:val="0"/>
              <w:spacing w:before="0" w:beforeAutospacing="0" w:after="0" w:afterAutospacing="0"/>
              <w:ind w:left="0" w:right="0" w:firstLine="420" w:firstLineChars="200"/>
              <w:rPr>
                <w:rFonts w:hint="eastAsia" w:ascii="宋体" w:hAnsi="宋体" w:eastAsia="宋体" w:cs="宋体"/>
                <w:lang w:val="en-US" w:eastAsia="zh-CN"/>
              </w:rPr>
            </w:pPr>
            <w:r>
              <w:rPr>
                <w:rFonts w:hint="eastAsia" w:ascii="宋体" w:hAnsi="宋体" w:eastAsia="宋体" w:cs="宋体"/>
                <w:lang w:val="en-US" w:eastAsia="zh-CN"/>
              </w:rPr>
              <w:t>1.新水岛®及工艺包产品销售业务在手订单为24,125.18万元，其中新水岛®产品销售的订单金额占比突破同类业务的56.41%：新水岛®产品2026年初至2026年半年报披露日实现交货5套，其中包括海外中东项目订单；截止半年报披露日累计交货18套；</w:t>
            </w:r>
          </w:p>
          <w:p w14:paraId="0DE69CFC">
            <w:pPr>
              <w:keepNext w:val="0"/>
              <w:keepLines w:val="0"/>
              <w:suppressLineNumbers w:val="0"/>
              <w:spacing w:before="0" w:beforeAutospacing="0" w:after="0" w:afterAutospacing="0"/>
              <w:ind w:left="0" w:right="0" w:firstLine="420" w:firstLineChars="200"/>
              <w:rPr>
                <w:rFonts w:hint="eastAsia" w:ascii="宋体" w:hAnsi="宋体" w:eastAsia="宋体" w:cs="宋体"/>
                <w:lang w:val="en-US" w:eastAsia="zh-CN"/>
              </w:rPr>
            </w:pPr>
            <w:r>
              <w:rPr>
                <w:rFonts w:hint="eastAsia" w:ascii="宋体" w:hAnsi="宋体" w:eastAsia="宋体" w:cs="宋体"/>
                <w:lang w:val="en-US" w:eastAsia="zh-CN"/>
              </w:rPr>
              <w:t>2.中长期业务收入和利润贡献稳步提升，有效覆盖公司研发、销售和管理费用支出：本期公司新水岛®及水厂运维服务整体收入持续提升，共实现收入16,668.82万元，毛利6,432.36万元；截止2026年6月30日，中长期业务在手订单37,323.61万元；</w:t>
            </w:r>
          </w:p>
          <w:p w14:paraId="0D0E7DB4">
            <w:pPr>
              <w:keepNext w:val="0"/>
              <w:keepLines w:val="0"/>
              <w:suppressLineNumbers w:val="0"/>
              <w:spacing w:before="0" w:beforeAutospacing="0" w:after="0" w:afterAutospacing="0"/>
              <w:ind w:left="0" w:right="0" w:firstLine="420" w:firstLineChars="200"/>
              <w:rPr>
                <w:rFonts w:hint="eastAsia" w:ascii="宋体" w:hAnsi="宋体" w:eastAsia="宋体" w:cs="宋体"/>
                <w:lang w:val="en-US" w:eastAsia="zh-CN"/>
              </w:rPr>
            </w:pPr>
            <w:r>
              <w:rPr>
                <w:rFonts w:hint="eastAsia" w:ascii="宋体" w:hAnsi="宋体" w:eastAsia="宋体" w:cs="宋体"/>
                <w:lang w:val="en-US" w:eastAsia="zh-CN"/>
              </w:rPr>
              <w:t>3.经营现金流持续向好，报告期公司实现经营活动产生的现金流量净额为55,566,084.33元，较上年同期增加87,837,403.35元，其中销售商品、提供劳务收到的现金314,887,467.57元，同比增长27.32%；</w:t>
            </w:r>
          </w:p>
          <w:p w14:paraId="43200F89">
            <w:pPr>
              <w:keepNext w:val="0"/>
              <w:keepLines w:val="0"/>
              <w:suppressLineNumbers w:val="0"/>
              <w:spacing w:before="0" w:beforeAutospacing="0" w:after="0" w:afterAutospacing="0"/>
              <w:ind w:left="0" w:right="0" w:firstLine="420" w:firstLineChars="200"/>
              <w:rPr>
                <w:rFonts w:hint="eastAsia" w:ascii="宋体" w:hAnsi="宋体" w:eastAsia="宋体" w:cs="宋体"/>
                <w:lang w:val="en-US" w:eastAsia="zh-CN"/>
              </w:rPr>
            </w:pPr>
            <w:r>
              <w:rPr>
                <w:rFonts w:hint="eastAsia" w:ascii="宋体" w:hAnsi="宋体" w:eastAsia="宋体" w:cs="宋体"/>
                <w:lang w:val="en-US" w:eastAsia="zh-CN"/>
              </w:rPr>
              <w:t>4.资产负债率为47.44%，整体保持稳健。报告期末公司流动比率为1.87，货币资金与交易性金融资产合计426,980,132.03元，短期借款为零，偿债能力与流动性保持良好；</w:t>
            </w:r>
          </w:p>
          <w:p w14:paraId="7BCEC457">
            <w:pPr>
              <w:keepNext w:val="0"/>
              <w:keepLines w:val="0"/>
              <w:suppressLineNumbers w:val="0"/>
              <w:spacing w:before="0" w:beforeAutospacing="0" w:after="0" w:afterAutospacing="0"/>
              <w:ind w:left="0" w:right="0" w:firstLine="420" w:firstLineChars="200"/>
              <w:rPr>
                <w:rFonts w:hint="eastAsia" w:ascii="宋体" w:hAnsi="宋体" w:eastAsia="宋体" w:cs="宋体"/>
                <w:lang w:val="en-US" w:eastAsia="zh-CN"/>
              </w:rPr>
            </w:pPr>
            <w:r>
              <w:rPr>
                <w:rFonts w:hint="eastAsia" w:ascii="宋体" w:hAnsi="宋体" w:eastAsia="宋体" w:cs="宋体"/>
                <w:lang w:val="en-US" w:eastAsia="zh-CN"/>
              </w:rPr>
              <w:t>5.提质增效、注重股东回报：报告期内，公司制定了2025年度利润分配方案，向股东分配利润35,058,241.62元，现金分红总额占公司2025年归属于上市公司股东的净利润比例约为92.78%，并于7月实施。</w:t>
            </w:r>
          </w:p>
          <w:p w14:paraId="06C7F4D1">
            <w:pPr>
              <w:keepNext w:val="0"/>
              <w:keepLines w:val="0"/>
              <w:suppressLineNumbers w:val="0"/>
              <w:spacing w:before="0" w:beforeAutospacing="0" w:after="0" w:afterAutospacing="0"/>
              <w:ind w:left="0" w:right="0" w:firstLine="420" w:firstLineChars="200"/>
              <w:rPr>
                <w:rFonts w:hint="eastAsia" w:ascii="宋体" w:hAnsi="宋体" w:eastAsia="宋体" w:cs="宋体"/>
                <w:lang w:val="en-US" w:eastAsia="zh-CN"/>
              </w:rPr>
            </w:pPr>
          </w:p>
          <w:p w14:paraId="05BBECDF">
            <w:pPr>
              <w:keepNext w:val="0"/>
              <w:keepLines w:val="0"/>
              <w:suppressLineNumbers w:val="0"/>
              <w:spacing w:before="0" w:beforeAutospacing="0" w:after="0" w:afterAutospacing="0"/>
              <w:ind w:left="0" w:right="0" w:firstLine="422" w:firstLineChars="200"/>
              <w:rPr>
                <w:rFonts w:hint="eastAsia" w:ascii="宋体" w:hAnsi="宋体" w:eastAsia="宋体" w:cs="宋体"/>
                <w:b/>
                <w:bCs/>
                <w:lang w:val="en-US" w:eastAsia="zh-CN"/>
              </w:rPr>
            </w:pPr>
            <w:r>
              <w:rPr>
                <w:rFonts w:hint="eastAsia" w:ascii="宋体" w:hAnsi="宋体" w:eastAsia="宋体" w:cs="宋体"/>
                <w:b/>
                <w:bCs/>
                <w:lang w:eastAsia="zh-CN"/>
              </w:rPr>
              <w:t>（</w:t>
            </w:r>
            <w:r>
              <w:rPr>
                <w:rFonts w:hint="eastAsia" w:ascii="宋体" w:hAnsi="宋体" w:eastAsia="宋体" w:cs="宋体"/>
                <w:b/>
                <w:bCs/>
                <w:lang w:val="en-US" w:eastAsia="zh-CN"/>
              </w:rPr>
              <w:t>二</w:t>
            </w:r>
            <w:r>
              <w:rPr>
                <w:rFonts w:hint="eastAsia" w:ascii="宋体" w:hAnsi="宋体" w:eastAsia="宋体" w:cs="宋体"/>
                <w:b/>
                <w:bCs/>
                <w:lang w:eastAsia="zh-CN"/>
              </w:rPr>
              <w:t>）</w:t>
            </w:r>
            <w:r>
              <w:rPr>
                <w:rFonts w:hint="eastAsia" w:ascii="宋体" w:hAnsi="宋体" w:eastAsia="宋体" w:cs="宋体"/>
                <w:b/>
                <w:bCs/>
                <w:lang w:val="en-US" w:eastAsia="zh-CN"/>
              </w:rPr>
              <w:t>2026年上半年主要经营亮点</w:t>
            </w:r>
          </w:p>
          <w:p w14:paraId="31B2097C">
            <w:pPr>
              <w:pStyle w:val="10"/>
              <w:keepNext w:val="0"/>
              <w:keepLines w:val="0"/>
              <w:widowControl w:val="0"/>
              <w:suppressLineNumbers w:val="0"/>
              <w:spacing w:before="0" w:beforeAutospacing="0" w:after="0" w:afterAutospacing="0"/>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1"/>
                <w:lang w:val="en-US" w:eastAsia="zh-CN" w:bidi="ar"/>
              </w:rPr>
              <w:t>1.新水岛®项目持续落地，实现海外市场突破</w:t>
            </w:r>
          </w:p>
          <w:p w14:paraId="6C28549F">
            <w:pPr>
              <w:pStyle w:val="10"/>
              <w:keepNext w:val="0"/>
              <w:keepLines w:val="0"/>
              <w:widowControl w:val="0"/>
              <w:numPr>
                <w:ilvl w:val="0"/>
                <w:numId w:val="0"/>
              </w:numPr>
              <w:suppressLineNumbers w:val="0"/>
              <w:spacing w:before="0" w:beforeAutospacing="0" w:after="0" w:afterAutospacing="0"/>
              <w:ind w:left="0" w:leftChars="0" w:right="0" w:rightChars="0" w:firstLine="420" w:firstLineChars="200"/>
              <w:jc w:val="both"/>
              <w:rPr>
                <w:rFonts w:hint="eastAsia" w:ascii="宋体" w:hAnsi="宋体" w:eastAsia="宋体" w:cs="宋体"/>
                <w:b w:val="0"/>
                <w:bCs/>
                <w:kern w:val="2"/>
                <w:sz w:val="21"/>
                <w:szCs w:val="21"/>
                <w:lang w:val="en-US" w:eastAsia="zh-CN" w:bidi="ar"/>
              </w:rPr>
            </w:pPr>
            <w:r>
              <w:rPr>
                <w:rFonts w:hint="eastAsia" w:ascii="宋体" w:hAnsi="宋体" w:eastAsia="宋体" w:cs="宋体"/>
                <w:b w:val="0"/>
                <w:bCs/>
                <w:kern w:val="2"/>
                <w:sz w:val="21"/>
                <w:szCs w:val="21"/>
                <w:lang w:val="en-US" w:eastAsia="zh-CN" w:bidi="ar"/>
              </w:rPr>
              <w:t>报告期内，无锡区域工业客户产能扩张带来用水需求攀升，公司快速响应客户需求，充分发挥新水岛®产品工厂预制、供货及安装高效便捷的产品优势，顺利落地无锡龙亭新水岛®二期项目，充分彰显客户对公司产品的信任度与业务粘性。截至目前，锡山中荷下属锡山中荷高品质再生水厂、健鼎再生水厂、安镇新水岛®1.0 再生水厂、龙亭新水岛®2.0 一期及二期项目均保持稳定运营，持续为 PCB 电子、热电、光伏新能源、半导体等工业企业供给高品质再生水，助力工业企业实现节水与减排的双向效益。</w:t>
            </w:r>
          </w:p>
          <w:p w14:paraId="127B47F7">
            <w:pPr>
              <w:pStyle w:val="10"/>
              <w:keepNext w:val="0"/>
              <w:keepLines w:val="0"/>
              <w:widowControl w:val="0"/>
              <w:numPr>
                <w:ilvl w:val="0"/>
                <w:numId w:val="0"/>
              </w:numPr>
              <w:suppressLineNumbers w:val="0"/>
              <w:spacing w:before="0" w:beforeAutospacing="0" w:after="0" w:afterAutospacing="0"/>
              <w:ind w:left="0" w:leftChars="0" w:right="0" w:rightChars="0" w:firstLine="420" w:firstLineChars="200"/>
              <w:jc w:val="both"/>
              <w:rPr>
                <w:rFonts w:hint="eastAsia" w:ascii="宋体" w:hAnsi="宋体" w:eastAsia="宋体" w:cs="宋体"/>
                <w:b w:val="0"/>
                <w:bCs/>
                <w:kern w:val="2"/>
                <w:sz w:val="21"/>
                <w:szCs w:val="21"/>
                <w:lang w:val="en-US" w:eastAsia="zh-CN" w:bidi="ar"/>
              </w:rPr>
            </w:pPr>
            <w:r>
              <w:rPr>
                <w:rFonts w:hint="eastAsia" w:ascii="宋体" w:hAnsi="宋体" w:eastAsia="宋体" w:cs="宋体"/>
                <w:b w:val="0"/>
                <w:bCs/>
                <w:kern w:val="2"/>
                <w:sz w:val="21"/>
                <w:szCs w:val="21"/>
                <w:lang w:val="en-US" w:eastAsia="zh-CN" w:bidi="ar"/>
              </w:rPr>
              <w:t>2026年4月，公司全资子公司Bluenexus与Medisun签署了《供货协议》，Bluenexus向Medisun供应新水岛®等设备并提供现场组装指导、测试支持、性能验收支持、培训及质保期服务等，项目实施地点为中东地区，为公司进一步开拓中东市场提供了有力支撑。</w:t>
            </w:r>
          </w:p>
          <w:p w14:paraId="1DE9F6B4">
            <w:pPr>
              <w:pStyle w:val="10"/>
              <w:keepNext w:val="0"/>
              <w:keepLines w:val="0"/>
              <w:widowControl w:val="0"/>
              <w:numPr>
                <w:ilvl w:val="0"/>
                <w:numId w:val="0"/>
              </w:numPr>
              <w:suppressLineNumbers w:val="0"/>
              <w:spacing w:before="0" w:beforeAutospacing="0" w:after="0" w:afterAutospacing="0"/>
              <w:ind w:left="0" w:leftChars="0" w:right="0" w:rightChars="0" w:firstLine="422" w:firstLineChars="200"/>
              <w:jc w:val="both"/>
              <w:rPr>
                <w:rFonts w:hint="eastAsia" w:ascii="宋体" w:hAnsi="宋体" w:eastAsia="宋体" w:cs="宋体"/>
                <w:b/>
                <w:bCs w:val="0"/>
                <w:kern w:val="2"/>
                <w:sz w:val="21"/>
                <w:szCs w:val="21"/>
                <w:lang w:val="en-US" w:eastAsia="zh-CN" w:bidi="ar"/>
              </w:rPr>
            </w:pPr>
            <w:r>
              <w:rPr>
                <w:rFonts w:hint="eastAsia" w:ascii="宋体" w:hAnsi="宋体" w:eastAsia="宋体" w:cs="宋体"/>
                <w:b/>
                <w:bCs w:val="0"/>
                <w:kern w:val="2"/>
                <w:sz w:val="21"/>
                <w:szCs w:val="21"/>
                <w:lang w:val="en-US" w:eastAsia="zh-CN" w:bidi="ar"/>
              </w:rPr>
              <w:t>2.智能体新产品研发及项目应用实践</w:t>
            </w:r>
          </w:p>
          <w:p w14:paraId="191E8788">
            <w:pPr>
              <w:pStyle w:val="10"/>
              <w:keepNext w:val="0"/>
              <w:keepLines w:val="0"/>
              <w:widowControl w:val="0"/>
              <w:numPr>
                <w:ilvl w:val="0"/>
                <w:numId w:val="0"/>
              </w:numPr>
              <w:suppressLineNumbers w:val="0"/>
              <w:spacing w:before="0" w:beforeAutospacing="0" w:after="0" w:afterAutospacing="0"/>
              <w:ind w:left="0" w:leftChars="0" w:right="0" w:rightChars="0" w:firstLine="420" w:firstLineChars="200"/>
              <w:jc w:val="both"/>
              <w:rPr>
                <w:rFonts w:hint="eastAsia" w:ascii="宋体" w:hAnsi="宋体" w:eastAsia="宋体" w:cs="宋体"/>
                <w:b w:val="0"/>
                <w:bCs/>
                <w:kern w:val="2"/>
                <w:sz w:val="21"/>
                <w:szCs w:val="21"/>
                <w:lang w:val="en-US" w:eastAsia="zh-CN" w:bidi="ar"/>
              </w:rPr>
            </w:pPr>
            <w:r>
              <w:rPr>
                <w:rFonts w:hint="eastAsia" w:ascii="宋体" w:hAnsi="宋体" w:eastAsia="宋体" w:cs="宋体"/>
                <w:b w:val="0"/>
                <w:bCs/>
                <w:kern w:val="2"/>
                <w:sz w:val="21"/>
                <w:szCs w:val="21"/>
                <w:lang w:val="en-US" w:eastAsia="zh-CN" w:bidi="ar"/>
              </w:rPr>
              <w:t>产品研发方面，公司完成了水萝卜®AI智能体S系列的研发定型，实现了AI软件平台、边缘AI算力、多模态感知硬件及行业AI算法的深度融合，形成了软硬件一体化标准产品。</w:t>
            </w:r>
          </w:p>
          <w:p w14:paraId="042FBDBD">
            <w:pPr>
              <w:pStyle w:val="10"/>
              <w:keepNext w:val="0"/>
              <w:keepLines w:val="0"/>
              <w:widowControl w:val="0"/>
              <w:numPr>
                <w:ilvl w:val="0"/>
                <w:numId w:val="0"/>
              </w:numPr>
              <w:suppressLineNumbers w:val="0"/>
              <w:spacing w:before="0" w:beforeAutospacing="0" w:after="0" w:afterAutospacing="0"/>
              <w:ind w:left="0" w:leftChars="0" w:right="0" w:rightChars="0" w:firstLine="420" w:firstLineChars="200"/>
              <w:jc w:val="both"/>
              <w:rPr>
                <w:rFonts w:hint="eastAsia" w:ascii="宋体" w:hAnsi="宋体" w:eastAsia="宋体" w:cs="宋体"/>
                <w:b w:val="0"/>
                <w:bCs/>
                <w:kern w:val="2"/>
                <w:sz w:val="21"/>
                <w:szCs w:val="21"/>
                <w:lang w:val="en-US" w:eastAsia="zh-CN" w:bidi="ar"/>
              </w:rPr>
            </w:pPr>
            <w:r>
              <w:rPr>
                <w:rFonts w:hint="eastAsia" w:ascii="宋体" w:hAnsi="宋体" w:eastAsia="宋体" w:cs="宋体"/>
                <w:b w:val="0"/>
                <w:bCs/>
                <w:kern w:val="2"/>
                <w:sz w:val="21"/>
                <w:szCs w:val="21"/>
                <w:lang w:val="en-US" w:eastAsia="zh-CN" w:bidi="ar"/>
              </w:rPr>
              <w:t>与传统智慧水务项目依赖服务器部署、复杂系统集成和工程化实施不同，水萝卜®AI智能体S系列采用“边缘AI+标准化产品”技术路线，将AI计算平台、多模态感知设备、AI算法模型、智能巡检软件及工业通信能力集成为统一硬件平台，实现“即插即用、快速部署、本地推理、持续升级”的产品形态，大幅降低工业现场AI应用门槛。</w:t>
            </w:r>
          </w:p>
          <w:p w14:paraId="0BB405E0">
            <w:pPr>
              <w:pStyle w:val="10"/>
              <w:keepNext w:val="0"/>
              <w:keepLines w:val="0"/>
              <w:widowControl w:val="0"/>
              <w:numPr>
                <w:ilvl w:val="0"/>
                <w:numId w:val="0"/>
              </w:numPr>
              <w:suppressLineNumbers w:val="0"/>
              <w:spacing w:before="0" w:beforeAutospacing="0" w:after="0" w:afterAutospacing="0"/>
              <w:ind w:left="0" w:leftChars="0" w:right="0" w:rightChars="0" w:firstLine="420" w:firstLineChars="200"/>
              <w:jc w:val="both"/>
              <w:rPr>
                <w:rFonts w:hint="eastAsia" w:ascii="宋体" w:hAnsi="宋体" w:eastAsia="宋体" w:cs="宋体"/>
                <w:b w:val="0"/>
                <w:bCs/>
                <w:kern w:val="2"/>
                <w:sz w:val="21"/>
                <w:szCs w:val="21"/>
                <w:lang w:val="en-US" w:eastAsia="zh-CN" w:bidi="ar"/>
              </w:rPr>
            </w:pPr>
            <w:r>
              <w:rPr>
                <w:rFonts w:hint="eastAsia" w:ascii="宋体" w:hAnsi="宋体" w:eastAsia="宋体" w:cs="宋体"/>
                <w:b w:val="0"/>
                <w:bCs/>
                <w:kern w:val="2"/>
                <w:sz w:val="21"/>
                <w:szCs w:val="21"/>
                <w:lang w:val="en-US" w:eastAsia="zh-CN" w:bidi="ar"/>
              </w:rPr>
              <w:t>产品研发过程中，重点突破了边缘AI算力平台研发、多模态感知融合技术研发、AI算法标准化部署能力、AI智能体感知终端研发等关键技术。</w:t>
            </w:r>
          </w:p>
          <w:p w14:paraId="4316C2AE">
            <w:pPr>
              <w:pStyle w:val="10"/>
              <w:keepNext w:val="0"/>
              <w:keepLines w:val="0"/>
              <w:widowControl w:val="0"/>
              <w:numPr>
                <w:ilvl w:val="0"/>
                <w:numId w:val="0"/>
              </w:numPr>
              <w:suppressLineNumbers w:val="0"/>
              <w:spacing w:before="0" w:beforeAutospacing="0" w:after="0" w:afterAutospacing="0"/>
              <w:ind w:left="0" w:leftChars="0" w:right="0" w:rightChars="0" w:firstLine="420" w:firstLineChars="200"/>
              <w:jc w:val="both"/>
              <w:rPr>
                <w:rFonts w:hint="eastAsia" w:ascii="宋体" w:hAnsi="宋体" w:eastAsia="宋体" w:cs="宋体"/>
                <w:b w:val="0"/>
                <w:bCs/>
                <w:kern w:val="2"/>
                <w:sz w:val="21"/>
                <w:szCs w:val="21"/>
                <w:lang w:val="en-US" w:eastAsia="zh-CN" w:bidi="ar"/>
              </w:rPr>
            </w:pPr>
            <w:r>
              <w:rPr>
                <w:rFonts w:hint="eastAsia" w:ascii="宋体" w:hAnsi="宋体" w:eastAsia="宋体" w:cs="宋体"/>
                <w:b w:val="0"/>
                <w:bCs/>
                <w:kern w:val="2"/>
                <w:sz w:val="21"/>
                <w:szCs w:val="21"/>
                <w:lang w:val="en-US" w:eastAsia="zh-CN" w:bidi="ar"/>
              </w:rPr>
              <w:t>市场应用方面，报告期内，水萝卜®AI智能体S系列已在龙亭新水岛®项目、南堡再生水项目开展部署验证，重点围绕设备预测性维护、环境异常感知、AI自主巡检及边缘智能分析等应用场景持续优化算法模型及产品配置，不断完善标准化产品体系，为公司AI智能体规模化推广提供统一的感知硬件平台和边缘AI基础设施。</w:t>
            </w:r>
          </w:p>
          <w:p w14:paraId="43F770E8">
            <w:pPr>
              <w:pStyle w:val="10"/>
              <w:keepNext w:val="0"/>
              <w:keepLines w:val="0"/>
              <w:widowControl w:val="0"/>
              <w:numPr>
                <w:ilvl w:val="0"/>
                <w:numId w:val="0"/>
              </w:numPr>
              <w:suppressLineNumbers w:val="0"/>
              <w:spacing w:before="0" w:beforeAutospacing="0" w:after="0" w:afterAutospacing="0"/>
              <w:ind w:left="0" w:leftChars="0" w:right="0" w:rightChars="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1"/>
                <w:lang w:val="en-US" w:eastAsia="zh-CN" w:bidi="ar"/>
              </w:rPr>
              <w:t>3.研发持续投入 巩固公司核心壁垒</w:t>
            </w:r>
          </w:p>
          <w:p w14:paraId="3C6C9106">
            <w:pPr>
              <w:keepNext w:val="0"/>
              <w:keepLines w:val="0"/>
              <w:widowControl/>
              <w:suppressLineNumbers w:val="0"/>
              <w:spacing w:before="0" w:beforeAutospacing="0" w:after="0" w:afterAutospacing="0"/>
              <w:ind w:left="0" w:right="0" w:firstLine="420" w:firstLineChars="200"/>
              <w:jc w:val="left"/>
              <w:rPr>
                <w:rFonts w:hint="eastAsia" w:ascii="Times New Roman" w:hAnsi="Times New Roman" w:eastAsia="宋体" w:cs="宋体"/>
                <w:color w:val="000000"/>
                <w:kern w:val="0"/>
                <w:sz w:val="21"/>
                <w:szCs w:val="21"/>
                <w:lang w:val="en-US" w:eastAsia="zh-CN" w:bidi="ar"/>
              </w:rPr>
            </w:pPr>
            <w:r>
              <w:rPr>
                <w:rFonts w:hint="eastAsia" w:ascii="Times New Roman" w:hAnsi="Times New Roman" w:eastAsia="宋体" w:cs="宋体"/>
                <w:color w:val="000000"/>
                <w:kern w:val="0"/>
                <w:sz w:val="21"/>
                <w:szCs w:val="21"/>
                <w:lang w:val="en-US" w:eastAsia="zh-CN" w:bidi="ar"/>
              </w:rPr>
              <w:t>报告期内，公司加大产品研发力度，合计投入1,460.12万元，同比增长21.95%。2026年上半年，公司申请知识产权8项，其中包括中国发明专利3项、PCT专利3项、外观设计专利2项；获得中国发明专利授权1项。截至报告期末，公司累计获得软件著作权3项以及专利117项，其中包括中国发明专利48项、PCT专利20项、实用新型专利47项、外观设计专利2项。</w:t>
            </w:r>
          </w:p>
          <w:p w14:paraId="5466A99C">
            <w:pPr>
              <w:keepNext w:val="0"/>
              <w:keepLines w:val="0"/>
              <w:widowControl/>
              <w:suppressLineNumbers w:val="0"/>
              <w:spacing w:before="0" w:beforeAutospacing="0" w:after="0" w:afterAutospacing="0"/>
              <w:ind w:left="0" w:right="0" w:firstLine="420" w:firstLineChars="200"/>
              <w:jc w:val="left"/>
              <w:rPr>
                <w:rFonts w:hint="eastAsia" w:ascii="Times New Roman" w:hAnsi="Times New Roman" w:eastAsia="宋体" w:cs="宋体"/>
                <w:color w:val="000000"/>
                <w:kern w:val="0"/>
                <w:sz w:val="21"/>
                <w:szCs w:val="21"/>
                <w:lang w:val="en-US" w:eastAsia="zh-CN" w:bidi="ar"/>
              </w:rPr>
            </w:pPr>
            <w:r>
              <w:rPr>
                <w:rFonts w:hint="eastAsia" w:ascii="Times New Roman" w:hAnsi="Times New Roman" w:eastAsia="宋体" w:cs="宋体"/>
                <w:color w:val="000000"/>
                <w:kern w:val="0"/>
                <w:sz w:val="21"/>
                <w:szCs w:val="21"/>
                <w:lang w:val="en-US" w:eastAsia="zh-CN" w:bidi="ar"/>
              </w:rPr>
              <w:t>报告期内，国家工信部开展了2026年专精特新“小巨人”企业复审工作，公司目前已通过由北京市经济和信息化局组织的第一轮复审；此外，公司作为具备研发活力并持续取得有效研发成果的北京市专精特新企业，已获得2026年朝阳区促进中小企业发展引导资金支持。</w:t>
            </w:r>
          </w:p>
          <w:p w14:paraId="266B71B5">
            <w:pPr>
              <w:keepNext w:val="0"/>
              <w:keepLines w:val="0"/>
              <w:widowControl/>
              <w:suppressLineNumbers w:val="0"/>
              <w:spacing w:before="0" w:beforeAutospacing="0" w:after="0" w:afterAutospacing="0"/>
              <w:ind w:left="0" w:right="0" w:firstLine="420" w:firstLineChars="200"/>
              <w:jc w:val="left"/>
              <w:rPr>
                <w:rFonts w:hint="eastAsia" w:ascii="Times New Roman" w:hAnsi="Times New Roman" w:eastAsia="宋体" w:cs="宋体"/>
                <w:color w:val="000000"/>
                <w:kern w:val="0"/>
                <w:sz w:val="21"/>
                <w:szCs w:val="21"/>
                <w:lang w:val="en-US" w:eastAsia="zh-CN" w:bidi="ar"/>
              </w:rPr>
            </w:pPr>
          </w:p>
          <w:p w14:paraId="7B73C8F8">
            <w:pPr>
              <w:keepNext w:val="0"/>
              <w:keepLines w:val="0"/>
              <w:widowControl/>
              <w:suppressLineNumbers w:val="0"/>
              <w:spacing w:before="0" w:beforeAutospacing="0" w:after="0" w:afterAutospacing="0"/>
              <w:ind w:left="0" w:right="0" w:firstLine="420" w:firstLineChars="200"/>
              <w:jc w:val="left"/>
              <w:rPr>
                <w:rFonts w:hint="eastAsia" w:ascii="Times New Roman" w:hAnsi="Times New Roman" w:eastAsia="宋体" w:cs="宋体"/>
                <w:color w:val="000000"/>
                <w:kern w:val="0"/>
                <w:sz w:val="21"/>
                <w:szCs w:val="21"/>
                <w:lang w:val="en-US" w:eastAsia="zh-CN" w:bidi="ar"/>
              </w:rPr>
            </w:pPr>
          </w:p>
          <w:p w14:paraId="5C98BC29">
            <w:pPr>
              <w:keepNext w:val="0"/>
              <w:keepLines w:val="0"/>
              <w:widowControl w:val="0"/>
              <w:numPr>
                <w:ilvl w:val="0"/>
                <w:numId w:val="1"/>
              </w:numPr>
              <w:suppressLineNumbers w:val="0"/>
              <w:spacing w:before="0" w:beforeAutospacing="0" w:after="0" w:afterAutospacing="0"/>
              <w:ind w:left="0" w:right="0"/>
              <w:jc w:val="both"/>
              <w:rPr>
                <w:rFonts w:hint="eastAsia" w:ascii="宋体" w:hAnsi="宋体" w:eastAsia="宋体" w:cs="宋体"/>
                <w:b/>
                <w:bCs w:val="0"/>
                <w:color w:val="auto"/>
                <w:szCs w:val="21"/>
                <w:u w:val="none"/>
                <w:lang w:eastAsia="zh-CN"/>
              </w:rPr>
            </w:pPr>
            <w:r>
              <w:rPr>
                <w:rFonts w:hint="eastAsia" w:ascii="宋体" w:hAnsi="宋体" w:eastAsia="宋体" w:cs="宋体"/>
                <w:b/>
                <w:bCs w:val="0"/>
                <w:color w:val="auto"/>
                <w:szCs w:val="21"/>
                <w:u w:val="none"/>
              </w:rPr>
              <w:t>交流问答</w:t>
            </w:r>
            <w:r>
              <w:rPr>
                <w:rFonts w:hint="eastAsia" w:ascii="宋体" w:hAnsi="宋体" w:eastAsia="宋体" w:cs="宋体"/>
                <w:b/>
                <w:bCs w:val="0"/>
                <w:color w:val="auto"/>
                <w:szCs w:val="21"/>
                <w:u w:val="none"/>
                <w:lang w:eastAsia="zh-CN"/>
              </w:rPr>
              <w:t>：</w:t>
            </w:r>
          </w:p>
          <w:p w14:paraId="60B84630">
            <w:pPr>
              <w:keepNext w:val="0"/>
              <w:keepLines w:val="0"/>
              <w:widowControl w:val="0"/>
              <w:numPr>
                <w:ilvl w:val="0"/>
                <w:numId w:val="0"/>
              </w:numPr>
              <w:suppressLineNumbers w:val="0"/>
              <w:spacing w:before="0" w:beforeAutospacing="0" w:after="0" w:afterAutospacing="0"/>
              <w:ind w:left="0" w:right="0" w:rightChars="0"/>
              <w:jc w:val="both"/>
              <w:rPr>
                <w:rFonts w:hint="default" w:ascii="宋体" w:hAnsi="宋体" w:eastAsia="宋体" w:cs="宋体"/>
                <w:b/>
                <w:bCs w:val="0"/>
                <w:color w:val="auto"/>
                <w:szCs w:val="21"/>
                <w:u w:val="none"/>
                <w:lang w:val="en-US" w:eastAsia="zh-CN"/>
              </w:rPr>
            </w:pPr>
          </w:p>
          <w:p w14:paraId="4BF67C57">
            <w:pPr>
              <w:keepNext w:val="0"/>
              <w:keepLines w:val="0"/>
              <w:numPr>
                <w:ilvl w:val="0"/>
                <w:numId w:val="0"/>
              </w:numPr>
              <w:suppressLineNumbers w:val="0"/>
              <w:spacing w:before="0" w:beforeAutospacing="0" w:after="0" w:afterAutospacing="0"/>
              <w:ind w:left="0" w:right="0" w:firstLine="422" w:firstLineChars="200"/>
              <w:rPr>
                <w:rFonts w:hint="default" w:ascii="宋体" w:hAnsi="宋体" w:eastAsia="宋体" w:cs="宋体"/>
                <w:b/>
                <w:bCs w:val="0"/>
                <w:color w:val="auto"/>
                <w:kern w:val="2"/>
                <w:sz w:val="21"/>
                <w:szCs w:val="21"/>
                <w:lang w:val="en-US" w:eastAsia="zh-CN" w:bidi="ar-SA"/>
              </w:rPr>
            </w:pPr>
            <w:r>
              <w:rPr>
                <w:rFonts w:hint="eastAsia" w:ascii="宋体" w:hAnsi="宋体" w:eastAsia="宋体" w:cs="宋体"/>
                <w:b/>
                <w:bCs w:val="0"/>
                <w:color w:val="auto"/>
                <w:kern w:val="2"/>
                <w:sz w:val="21"/>
                <w:szCs w:val="21"/>
                <w:lang w:val="en-US" w:eastAsia="zh-CN" w:bidi="ar-SA"/>
              </w:rPr>
              <w:t>1.公司目前在手订单情况如何？</w:t>
            </w:r>
          </w:p>
          <w:p w14:paraId="233848B6">
            <w:pPr>
              <w:keepNext w:val="0"/>
              <w:keepLines w:val="0"/>
              <w:numPr>
                <w:ilvl w:val="0"/>
                <w:numId w:val="0"/>
              </w:numPr>
              <w:suppressLineNumbers w:val="0"/>
              <w:spacing w:before="0" w:beforeAutospacing="0" w:after="0" w:afterAutospacing="0"/>
              <w:ind w:left="0" w:right="0" w:firstLine="420" w:firstLineChars="200"/>
              <w:rPr>
                <w:rFonts w:hint="eastAsia" w:ascii="Times New Roman" w:hAnsi="Times New Roman" w:eastAsia="宋体" w:cs="Times New Roman"/>
                <w:sz w:val="21"/>
                <w:szCs w:val="21"/>
                <w:highlight w:val="none"/>
                <w:lang w:val="en-US" w:eastAsia="zh-CN" w:bidi="ar"/>
              </w:rPr>
            </w:pPr>
            <w:r>
              <w:rPr>
                <w:rFonts w:hint="eastAsia" w:ascii="宋体" w:hAnsi="宋体" w:eastAsia="宋体" w:cs="宋体"/>
                <w:b w:val="0"/>
                <w:bCs/>
                <w:color w:val="auto"/>
                <w:kern w:val="2"/>
                <w:sz w:val="21"/>
                <w:szCs w:val="21"/>
                <w:lang w:val="en-US" w:eastAsia="zh-CN" w:bidi="ar-SA"/>
              </w:rPr>
              <w:t>答：</w:t>
            </w:r>
            <w:r>
              <w:rPr>
                <w:rFonts w:hint="eastAsia" w:ascii="Times New Roman" w:hAnsi="Times New Roman" w:eastAsia="宋体" w:cs="Times New Roman"/>
                <w:sz w:val="21"/>
                <w:szCs w:val="21"/>
                <w:lang w:val="en-US" w:eastAsia="zh-CN" w:bidi="ar"/>
              </w:rPr>
              <w:t>截止</w:t>
            </w:r>
            <w:r>
              <w:rPr>
                <w:rFonts w:hint="default" w:ascii="Times New Roman" w:hAnsi="Times New Roman" w:eastAsia="宋体" w:cs="Times New Roman"/>
                <w:sz w:val="21"/>
                <w:szCs w:val="21"/>
                <w:lang w:val="en-US" w:eastAsia="zh-CN" w:bidi="ar"/>
              </w:rPr>
              <w:t>2026</w:t>
            </w:r>
            <w:r>
              <w:rPr>
                <w:rFonts w:hint="eastAsia" w:ascii="Times New Roman" w:hAnsi="Times New Roman" w:eastAsia="宋体" w:cs="Times New Roman"/>
                <w:sz w:val="21"/>
                <w:szCs w:val="21"/>
                <w:lang w:val="en-US" w:eastAsia="zh-CN" w:bidi="ar"/>
              </w:rPr>
              <w:t>年</w:t>
            </w:r>
            <w:r>
              <w:rPr>
                <w:rFonts w:hint="default" w:ascii="Times New Roman" w:hAnsi="Times New Roman" w:eastAsia="宋体" w:cs="Times New Roman"/>
                <w:sz w:val="21"/>
                <w:szCs w:val="21"/>
                <w:lang w:val="en-US" w:eastAsia="zh-CN" w:bidi="ar"/>
              </w:rPr>
              <w:t>6</w:t>
            </w:r>
            <w:r>
              <w:rPr>
                <w:rFonts w:hint="eastAsia" w:ascii="Times New Roman" w:hAnsi="Times New Roman" w:eastAsia="宋体" w:cs="Times New Roman"/>
                <w:sz w:val="21"/>
                <w:szCs w:val="21"/>
                <w:lang w:val="en-US" w:eastAsia="zh-CN" w:bidi="ar"/>
              </w:rPr>
              <w:t>月</w:t>
            </w:r>
            <w:r>
              <w:rPr>
                <w:rFonts w:hint="default" w:ascii="Times New Roman" w:hAnsi="Times New Roman" w:eastAsia="宋体" w:cs="Times New Roman"/>
                <w:sz w:val="21"/>
                <w:szCs w:val="21"/>
                <w:lang w:val="en-US" w:eastAsia="zh-CN" w:bidi="ar"/>
              </w:rPr>
              <w:t>30</w:t>
            </w:r>
            <w:r>
              <w:rPr>
                <w:rFonts w:hint="eastAsia" w:ascii="Times New Roman" w:hAnsi="Times New Roman" w:eastAsia="宋体" w:cs="Times New Roman"/>
                <w:sz w:val="21"/>
                <w:szCs w:val="21"/>
                <w:lang w:val="en-US" w:eastAsia="zh-CN" w:bidi="ar"/>
              </w:rPr>
              <w:t>日，公司在手订单合计</w:t>
            </w:r>
            <w:r>
              <w:rPr>
                <w:rFonts w:hint="default" w:ascii="Times New Roman" w:hAnsi="Times New Roman" w:eastAsia="宋体" w:cs="Times New Roman"/>
                <w:sz w:val="21"/>
                <w:szCs w:val="21"/>
                <w:lang w:val="en-US" w:eastAsia="zh-CN" w:bidi="ar"/>
              </w:rPr>
              <w:t>61,448.79</w:t>
            </w:r>
            <w:r>
              <w:rPr>
                <w:rFonts w:hint="eastAsia" w:ascii="Times New Roman" w:hAnsi="Times New Roman" w:eastAsia="宋体" w:cs="Times New Roman"/>
                <w:sz w:val="21"/>
                <w:szCs w:val="21"/>
                <w:lang w:val="en-US" w:eastAsia="zh-CN" w:bidi="ar"/>
              </w:rPr>
              <w:t>万元。新水岛</w:t>
            </w:r>
            <w:r>
              <w:rPr>
                <w:rFonts w:hint="default" w:ascii="Times New Roman" w:hAnsi="Times New Roman" w:eastAsia="宋体" w:cs="Times New Roman"/>
                <w:sz w:val="21"/>
                <w:szCs w:val="21"/>
                <w:vertAlign w:val="superscript"/>
                <w:lang w:val="en-US" w:eastAsia="zh-CN" w:bidi="ar"/>
              </w:rPr>
              <w:t>®</w:t>
            </w:r>
            <w:r>
              <w:rPr>
                <w:rFonts w:hint="eastAsia" w:ascii="Times New Roman" w:hAnsi="Times New Roman" w:eastAsia="宋体" w:cs="Times New Roman"/>
                <w:sz w:val="21"/>
                <w:szCs w:val="21"/>
                <w:lang w:val="en-US" w:eastAsia="zh-CN" w:bidi="ar"/>
              </w:rPr>
              <w:t>及工艺包产品销售业务在手订单为</w:t>
            </w:r>
            <w:r>
              <w:rPr>
                <w:rFonts w:hint="default" w:ascii="Times New Roman" w:hAnsi="Times New Roman" w:eastAsia="宋体" w:cs="Times New Roman"/>
                <w:sz w:val="21"/>
                <w:szCs w:val="21"/>
                <w:lang w:val="en-US" w:eastAsia="zh-CN" w:bidi="ar"/>
              </w:rPr>
              <w:t>24,125.18</w:t>
            </w:r>
            <w:r>
              <w:rPr>
                <w:rFonts w:hint="eastAsia" w:ascii="Times New Roman" w:hAnsi="Times New Roman" w:eastAsia="宋体" w:cs="Times New Roman"/>
                <w:sz w:val="21"/>
                <w:szCs w:val="21"/>
                <w:lang w:val="en-US" w:eastAsia="zh-CN" w:bidi="ar"/>
              </w:rPr>
              <w:t>万元，其中新水岛</w:t>
            </w:r>
            <w:r>
              <w:rPr>
                <w:rFonts w:hint="default" w:ascii="Times New Roman" w:hAnsi="Times New Roman" w:eastAsia="宋体" w:cs="Times New Roman"/>
                <w:sz w:val="21"/>
                <w:szCs w:val="21"/>
                <w:vertAlign w:val="superscript"/>
                <w:lang w:val="en-US" w:eastAsia="zh-CN" w:bidi="ar"/>
              </w:rPr>
              <w:t>®</w:t>
            </w:r>
            <w:r>
              <w:rPr>
                <w:rFonts w:hint="eastAsia" w:ascii="Times New Roman" w:hAnsi="Times New Roman" w:eastAsia="宋体" w:cs="Times New Roman"/>
                <w:sz w:val="21"/>
                <w:szCs w:val="21"/>
                <w:lang w:val="en-US" w:eastAsia="zh-CN" w:bidi="ar"/>
              </w:rPr>
              <w:t>产品销售的订单金额占比突</w:t>
            </w:r>
            <w:r>
              <w:rPr>
                <w:rFonts w:hint="eastAsia" w:ascii="Times New Roman" w:hAnsi="Times New Roman" w:eastAsia="宋体" w:cs="Times New Roman"/>
                <w:sz w:val="21"/>
                <w:szCs w:val="21"/>
                <w:highlight w:val="none"/>
                <w:lang w:val="en-US" w:eastAsia="zh-CN" w:bidi="ar"/>
              </w:rPr>
              <w:t>破同类业务的</w:t>
            </w:r>
            <w:r>
              <w:rPr>
                <w:rFonts w:hint="default" w:ascii="Times New Roman" w:hAnsi="Times New Roman" w:eastAsia="宋体" w:cs="Times New Roman"/>
                <w:sz w:val="21"/>
                <w:szCs w:val="21"/>
                <w:highlight w:val="none"/>
                <w:lang w:val="en-US" w:eastAsia="zh-CN" w:bidi="ar"/>
              </w:rPr>
              <w:t>56.41%</w:t>
            </w:r>
            <w:r>
              <w:rPr>
                <w:rFonts w:hint="eastAsia" w:ascii="Times New Roman" w:hAnsi="Times New Roman" w:eastAsia="宋体" w:cs="Times New Roman"/>
                <w:sz w:val="21"/>
                <w:szCs w:val="21"/>
                <w:highlight w:val="none"/>
                <w:lang w:val="en-US" w:eastAsia="zh-CN" w:bidi="ar"/>
              </w:rPr>
              <w:t>；中长期业务在手订单37,323.61万元。</w:t>
            </w:r>
          </w:p>
          <w:p w14:paraId="42BA4E49">
            <w:pPr>
              <w:keepNext w:val="0"/>
              <w:keepLines w:val="0"/>
              <w:numPr>
                <w:ilvl w:val="0"/>
                <w:numId w:val="0"/>
              </w:numPr>
              <w:suppressLineNumbers w:val="0"/>
              <w:spacing w:before="0" w:beforeAutospacing="0" w:after="0" w:afterAutospacing="0"/>
              <w:ind w:left="0" w:right="0" w:firstLine="422" w:firstLineChars="200"/>
              <w:rPr>
                <w:rFonts w:hint="eastAsia" w:ascii="宋体" w:hAnsi="宋体" w:eastAsia="宋体" w:cs="宋体"/>
                <w:b/>
                <w:bCs w:val="0"/>
                <w:color w:val="auto"/>
                <w:szCs w:val="21"/>
                <w:highlight w:val="none"/>
                <w:u w:val="none"/>
                <w:lang w:val="en-US" w:eastAsia="zh-CN"/>
              </w:rPr>
            </w:pPr>
          </w:p>
          <w:p w14:paraId="232B9F31">
            <w:pPr>
              <w:keepNext w:val="0"/>
              <w:keepLines w:val="0"/>
              <w:numPr>
                <w:ilvl w:val="0"/>
                <w:numId w:val="0"/>
              </w:numPr>
              <w:suppressLineNumbers w:val="0"/>
              <w:spacing w:before="0" w:beforeAutospacing="0" w:after="0" w:afterAutospacing="0"/>
              <w:ind w:left="0" w:right="0" w:firstLine="422" w:firstLineChars="200"/>
              <w:rPr>
                <w:rFonts w:hint="eastAsia" w:ascii="Times New Roman" w:hAnsi="Times New Roman" w:eastAsia="宋体" w:cs="Times New Roman"/>
                <w:b/>
                <w:bCs w:val="0"/>
                <w:sz w:val="21"/>
                <w:szCs w:val="21"/>
                <w:highlight w:val="none"/>
                <w:lang w:val="en-US" w:eastAsia="zh-CN" w:bidi="ar"/>
              </w:rPr>
            </w:pPr>
            <w:r>
              <w:rPr>
                <w:rFonts w:hint="eastAsia" w:ascii="宋体" w:hAnsi="宋体" w:eastAsia="宋体" w:cs="宋体"/>
                <w:b/>
                <w:bCs w:val="0"/>
                <w:color w:val="auto"/>
                <w:szCs w:val="21"/>
                <w:highlight w:val="none"/>
                <w:u w:val="none"/>
                <w:lang w:val="en-US" w:eastAsia="zh-CN"/>
              </w:rPr>
              <w:t>2.请介绍下公司海外业务进展</w:t>
            </w:r>
            <w:r>
              <w:rPr>
                <w:rFonts w:hint="eastAsia" w:ascii="Times New Roman" w:hAnsi="Times New Roman" w:eastAsia="宋体" w:cs="Times New Roman"/>
                <w:b/>
                <w:bCs w:val="0"/>
                <w:sz w:val="21"/>
                <w:szCs w:val="21"/>
                <w:highlight w:val="none"/>
                <w:lang w:val="en-US" w:eastAsia="zh-CN" w:bidi="ar"/>
              </w:rPr>
              <w:t>，以及在海外市场拓展方面有什么规划？</w:t>
            </w:r>
          </w:p>
          <w:p w14:paraId="62BB5689">
            <w:pPr>
              <w:keepNext w:val="0"/>
              <w:keepLines w:val="0"/>
              <w:numPr>
                <w:ilvl w:val="0"/>
                <w:numId w:val="0"/>
              </w:numPr>
              <w:suppressLineNumbers w:val="0"/>
              <w:spacing w:before="0" w:beforeAutospacing="0" w:after="0" w:afterAutospacing="0"/>
              <w:ind w:left="0" w:right="0" w:firstLine="420" w:firstLineChars="200"/>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2"/>
                <w:sz w:val="21"/>
                <w:szCs w:val="21"/>
                <w:lang w:val="en-US" w:eastAsia="zh-CN" w:bidi="ar-SA"/>
              </w:rPr>
              <w:t>答：2026年4月，公司全资子公司Bluenexus与Medisun签署了《供货协议》，Bluenexus向Medisun供应新水岛®等设备并提供现场组装指导、测试支持、性能验收支持、培训及质保期服务等，项目实施地点为中东地区，为公司进一步开拓中东市场提供了有力支撑。</w:t>
            </w:r>
          </w:p>
          <w:p w14:paraId="7437335B">
            <w:pPr>
              <w:keepNext w:val="0"/>
              <w:keepLines w:val="0"/>
              <w:numPr>
                <w:ilvl w:val="0"/>
                <w:numId w:val="0"/>
              </w:numPr>
              <w:suppressLineNumbers w:val="0"/>
              <w:spacing w:before="0" w:beforeAutospacing="0" w:after="0" w:afterAutospacing="0"/>
              <w:ind w:left="0" w:right="0" w:firstLine="420" w:firstLineChars="200"/>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市场拓展</w:t>
            </w:r>
            <w:r>
              <w:rPr>
                <w:rFonts w:hint="default" w:ascii="Times New Roman" w:hAnsi="Times New Roman" w:eastAsia="宋体" w:cs="Times New Roman"/>
                <w:sz w:val="21"/>
                <w:szCs w:val="21"/>
                <w:lang w:val="en-US" w:eastAsia="zh-CN" w:bidi="ar"/>
              </w:rPr>
              <w:t>方面，公司在新加坡设立子公司，在泰国、中东、欧洲、美国逐步搭建本地机构及渠道。</w:t>
            </w:r>
            <w:r>
              <w:rPr>
                <w:rFonts w:hint="eastAsia" w:ascii="Times New Roman" w:hAnsi="Times New Roman" w:eastAsia="宋体" w:cs="Times New Roman"/>
                <w:sz w:val="21"/>
                <w:szCs w:val="21"/>
                <w:lang w:val="en-US" w:eastAsia="zh-CN" w:bidi="ar"/>
              </w:rPr>
              <w:t>今年</w:t>
            </w:r>
            <w:r>
              <w:rPr>
                <w:rFonts w:hint="default" w:ascii="Times New Roman" w:hAnsi="Times New Roman" w:eastAsia="宋体" w:cs="Times New Roman"/>
                <w:sz w:val="21"/>
                <w:szCs w:val="21"/>
                <w:lang w:val="en-US" w:eastAsia="zh-CN" w:bidi="ar"/>
              </w:rPr>
              <w:t>5月，公司子公司BlueNexus Technologies与</w:t>
            </w:r>
            <w:r>
              <w:rPr>
                <w:rFonts w:hint="eastAsia" w:ascii="Times New Roman" w:hAnsi="Times New Roman" w:eastAsia="宋体" w:cs="Times New Roman"/>
                <w:sz w:val="21"/>
                <w:szCs w:val="21"/>
                <w:lang w:val="en-US" w:eastAsia="zh-CN" w:bidi="ar"/>
              </w:rPr>
              <w:t>全</w:t>
            </w:r>
            <w:r>
              <w:rPr>
                <w:rFonts w:hint="default" w:ascii="Times New Roman" w:hAnsi="Times New Roman" w:eastAsia="宋体" w:cs="Times New Roman"/>
                <w:sz w:val="21"/>
                <w:szCs w:val="21"/>
                <w:lang w:val="en-US" w:eastAsia="zh-CN" w:bidi="ar"/>
              </w:rPr>
              <w:t>球工业水务领导者Nijhuis Saur Industries在IFAT 2026慕尼黑正式发布模块化水处理</w:t>
            </w:r>
            <w:r>
              <w:rPr>
                <w:rFonts w:hint="eastAsia" w:ascii="Times New Roman" w:hAnsi="Times New Roman" w:eastAsia="宋体" w:cs="Times New Roman"/>
                <w:sz w:val="21"/>
                <w:szCs w:val="21"/>
                <w:lang w:val="en-US" w:eastAsia="zh-CN" w:bidi="ar"/>
              </w:rPr>
              <w:t>装备</w:t>
            </w:r>
            <w:bookmarkStart w:id="0" w:name="_GoBack"/>
            <w:bookmarkEnd w:id="0"/>
            <w:r>
              <w:rPr>
                <w:rFonts w:hint="default" w:ascii="Times New Roman" w:hAnsi="Times New Roman" w:eastAsia="宋体" w:cs="Times New Roman"/>
                <w:sz w:val="21"/>
                <w:szCs w:val="21"/>
                <w:lang w:val="en-US" w:eastAsia="zh-CN" w:bidi="ar"/>
              </w:rPr>
              <w:t>新水岛®及水萝卜®AI智能体，董事长同期受邀在马德里举办的全球水峰会2026（Global Water Summit 2026）核心论坛发表演讲，向全球展示中国水务创新方案；6月，BlueNexus携全栈AI自主水运营生态系统亮相新加坡国际水周（SIWW 2026），吸引全球公用事业及工业客户广泛关注，后续又接连亮相香港数据中心展、出席中东高层会客厅并荣膺产业新星大奖，公司产品在国际市场的关注度进一步提升。</w:t>
            </w:r>
          </w:p>
          <w:p w14:paraId="5AD814C2">
            <w:pPr>
              <w:keepNext w:val="0"/>
              <w:keepLines w:val="0"/>
              <w:numPr>
                <w:ilvl w:val="0"/>
                <w:numId w:val="0"/>
              </w:numPr>
              <w:suppressLineNumbers w:val="0"/>
              <w:spacing w:before="0" w:beforeAutospacing="0" w:after="0" w:afterAutospacing="0"/>
              <w:ind w:left="0" w:right="0" w:firstLine="420" w:firstLineChars="200"/>
              <w:rPr>
                <w:rFonts w:hint="eastAsia" w:ascii="Times New Roman" w:hAnsi="Times New Roman" w:eastAsia="宋体" w:cs="Times New Roman"/>
                <w:sz w:val="21"/>
                <w:szCs w:val="21"/>
                <w:lang w:val="en-US" w:eastAsia="zh-CN" w:bidi="ar"/>
              </w:rPr>
            </w:pPr>
          </w:p>
          <w:p w14:paraId="01C36362">
            <w:pPr>
              <w:keepNext w:val="0"/>
              <w:keepLines w:val="0"/>
              <w:numPr>
                <w:ilvl w:val="0"/>
                <w:numId w:val="0"/>
              </w:numPr>
              <w:suppressLineNumbers w:val="0"/>
              <w:spacing w:before="0" w:beforeAutospacing="0" w:after="0" w:afterAutospacing="0"/>
              <w:ind w:left="0" w:right="0" w:firstLine="422" w:firstLineChars="200"/>
              <w:rPr>
                <w:rFonts w:hint="eastAsia" w:ascii="宋体" w:hAnsi="宋体" w:eastAsia="宋体" w:cs="宋体"/>
                <w:b/>
                <w:bCs w:val="0"/>
                <w:color w:val="auto"/>
                <w:szCs w:val="21"/>
                <w:u w:val="none"/>
                <w:lang w:eastAsia="zh-CN"/>
              </w:rPr>
            </w:pPr>
            <w:r>
              <w:rPr>
                <w:rFonts w:hint="eastAsia" w:ascii="宋体" w:hAnsi="宋体" w:eastAsia="宋体" w:cs="宋体"/>
                <w:b/>
                <w:bCs w:val="0"/>
                <w:color w:val="auto"/>
                <w:szCs w:val="21"/>
                <w:u w:val="none"/>
                <w:lang w:val="en-US" w:eastAsia="zh-CN"/>
              </w:rPr>
              <w:t>3.</w:t>
            </w:r>
            <w:r>
              <w:rPr>
                <w:rFonts w:hint="eastAsia" w:ascii="宋体" w:hAnsi="宋体" w:eastAsia="宋体" w:cs="宋体"/>
                <w:b/>
                <w:bCs w:val="0"/>
                <w:color w:val="auto"/>
                <w:szCs w:val="21"/>
                <w:u w:val="none"/>
                <w:lang w:eastAsia="zh-CN"/>
              </w:rPr>
              <w:t>新水岛®</w:t>
            </w:r>
            <w:r>
              <w:rPr>
                <w:rFonts w:hint="eastAsia" w:ascii="宋体" w:hAnsi="宋体" w:eastAsia="宋体" w:cs="宋体"/>
                <w:b/>
                <w:bCs w:val="0"/>
                <w:color w:val="auto"/>
                <w:szCs w:val="21"/>
                <w:u w:val="none"/>
                <w:lang w:val="en-US" w:eastAsia="zh-CN"/>
              </w:rPr>
              <w:t>及水萝卜</w:t>
            </w:r>
            <w:r>
              <w:rPr>
                <w:rFonts w:hint="eastAsia" w:ascii="宋体" w:hAnsi="宋体" w:eastAsia="宋体" w:cs="宋体"/>
                <w:b/>
                <w:bCs w:val="0"/>
                <w:color w:val="auto"/>
                <w:szCs w:val="21"/>
                <w:u w:val="none"/>
                <w:lang w:eastAsia="zh-CN"/>
              </w:rPr>
              <w:t>®</w:t>
            </w:r>
            <w:r>
              <w:rPr>
                <w:rFonts w:hint="eastAsia" w:ascii="宋体" w:hAnsi="宋体" w:eastAsia="宋体" w:cs="宋体"/>
                <w:b/>
                <w:bCs w:val="0"/>
                <w:color w:val="auto"/>
                <w:szCs w:val="21"/>
                <w:u w:val="none"/>
                <w:lang w:val="en-US" w:eastAsia="zh-CN"/>
              </w:rPr>
              <w:t>AI智能体</w:t>
            </w:r>
            <w:r>
              <w:rPr>
                <w:rFonts w:hint="eastAsia" w:ascii="宋体" w:hAnsi="宋体" w:eastAsia="宋体" w:cs="宋体"/>
                <w:b/>
                <w:bCs w:val="0"/>
                <w:color w:val="auto"/>
                <w:szCs w:val="21"/>
                <w:u w:val="none"/>
                <w:lang w:eastAsia="zh-CN"/>
              </w:rPr>
              <w:t xml:space="preserve">目前落地情况如何？ </w:t>
            </w:r>
          </w:p>
          <w:p w14:paraId="7987323D">
            <w:pPr>
              <w:keepNext w:val="0"/>
              <w:keepLines w:val="0"/>
              <w:numPr>
                <w:ilvl w:val="0"/>
                <w:numId w:val="0"/>
              </w:numPr>
              <w:suppressLineNumbers w:val="0"/>
              <w:spacing w:before="0" w:beforeAutospacing="0" w:after="0" w:afterAutospacing="0"/>
              <w:ind w:left="0" w:right="0" w:firstLine="420" w:firstLineChars="200"/>
              <w:rPr>
                <w:rFonts w:hint="eastAsia" w:ascii="Times New Roman" w:hAnsi="Times New Roman" w:eastAsia="宋体" w:cs="Times New Roman"/>
                <w:sz w:val="21"/>
                <w:szCs w:val="21"/>
                <w:lang w:val="en-US" w:eastAsia="zh-CN" w:bidi="ar"/>
              </w:rPr>
            </w:pPr>
            <w:r>
              <w:rPr>
                <w:rFonts w:hint="eastAsia" w:ascii="宋体" w:hAnsi="宋体" w:eastAsia="宋体" w:cs="宋体"/>
                <w:b w:val="0"/>
                <w:bCs/>
                <w:color w:val="auto"/>
                <w:szCs w:val="21"/>
                <w:u w:val="none"/>
                <w:lang w:eastAsia="zh-CN"/>
              </w:rPr>
              <w:t>答：</w:t>
            </w:r>
            <w:r>
              <w:rPr>
                <w:rFonts w:hint="eastAsia" w:ascii="Times New Roman" w:hAnsi="Times New Roman" w:eastAsia="宋体" w:cs="Times New Roman"/>
                <w:sz w:val="21"/>
                <w:szCs w:val="21"/>
                <w:lang w:val="en-US" w:eastAsia="zh-CN" w:bidi="ar"/>
              </w:rPr>
              <w:t>新水岛</w:t>
            </w:r>
            <w:r>
              <w:rPr>
                <w:rFonts w:hint="default" w:ascii="Times New Roman" w:hAnsi="Times New Roman" w:eastAsia="宋体" w:cs="Times New Roman"/>
                <w:sz w:val="21"/>
                <w:szCs w:val="21"/>
                <w:vertAlign w:val="superscript"/>
                <w:lang w:val="en-US" w:eastAsia="zh-CN" w:bidi="ar"/>
              </w:rPr>
              <w:t>®</w:t>
            </w:r>
            <w:r>
              <w:rPr>
                <w:rFonts w:hint="eastAsia" w:ascii="Times New Roman" w:hAnsi="Times New Roman" w:eastAsia="宋体" w:cs="Times New Roman"/>
                <w:sz w:val="21"/>
                <w:szCs w:val="21"/>
                <w:lang w:val="en-US" w:eastAsia="zh-CN" w:bidi="ar"/>
              </w:rPr>
              <w:t>产品</w:t>
            </w:r>
            <w:r>
              <w:rPr>
                <w:rFonts w:hint="default" w:ascii="Times New Roman" w:hAnsi="Times New Roman" w:eastAsia="宋体" w:cs="Times New Roman"/>
                <w:sz w:val="21"/>
                <w:szCs w:val="21"/>
                <w:lang w:val="en-US" w:eastAsia="zh-CN" w:bidi="ar"/>
              </w:rPr>
              <w:t>2026</w:t>
            </w:r>
            <w:r>
              <w:rPr>
                <w:rFonts w:hint="eastAsia" w:ascii="Times New Roman" w:hAnsi="Times New Roman" w:eastAsia="宋体" w:cs="Times New Roman"/>
                <w:sz w:val="21"/>
                <w:szCs w:val="21"/>
                <w:lang w:val="en-US" w:eastAsia="zh-CN" w:bidi="ar"/>
              </w:rPr>
              <w:t>年初至</w:t>
            </w:r>
            <w:r>
              <w:rPr>
                <w:rFonts w:hint="default" w:ascii="Times New Roman" w:hAnsi="Times New Roman" w:eastAsia="宋体" w:cs="Times New Roman"/>
                <w:sz w:val="21"/>
                <w:szCs w:val="21"/>
                <w:lang w:val="en-US" w:eastAsia="zh-CN" w:bidi="ar"/>
              </w:rPr>
              <w:t>2026</w:t>
            </w:r>
            <w:r>
              <w:rPr>
                <w:rFonts w:hint="eastAsia" w:ascii="宋体" w:hAnsi="宋体" w:eastAsia="宋体" w:cs="Times New Roman"/>
                <w:sz w:val="20"/>
                <w:szCs w:val="20"/>
                <w:lang w:val="en-US" w:eastAsia="zh-CN" w:bidi="ar"/>
              </w:rPr>
              <w:t>年半年报披露日实现</w:t>
            </w:r>
            <w:r>
              <w:rPr>
                <w:rFonts w:hint="eastAsia" w:ascii="Times New Roman" w:hAnsi="Times New Roman" w:eastAsia="宋体" w:cs="Times New Roman"/>
                <w:sz w:val="21"/>
                <w:szCs w:val="21"/>
                <w:lang w:val="en-US" w:eastAsia="zh-CN" w:bidi="ar"/>
              </w:rPr>
              <w:t>交货</w:t>
            </w:r>
            <w:r>
              <w:rPr>
                <w:rFonts w:hint="default" w:ascii="Times New Roman" w:hAnsi="Times New Roman" w:eastAsia="宋体" w:cs="Times New Roman"/>
                <w:sz w:val="21"/>
                <w:szCs w:val="21"/>
                <w:lang w:val="en-US" w:eastAsia="zh-CN" w:bidi="ar"/>
              </w:rPr>
              <w:t>5</w:t>
            </w:r>
            <w:r>
              <w:rPr>
                <w:rFonts w:hint="eastAsia" w:ascii="Times New Roman" w:hAnsi="Times New Roman" w:eastAsia="宋体" w:cs="Times New Roman"/>
                <w:sz w:val="21"/>
                <w:szCs w:val="21"/>
                <w:lang w:val="en-US" w:eastAsia="zh-CN" w:bidi="ar"/>
              </w:rPr>
              <w:t>套，其中包括海外中东项目订单；截止半年报披露日累计交货</w:t>
            </w:r>
            <w:r>
              <w:rPr>
                <w:rFonts w:hint="default" w:ascii="Times New Roman" w:hAnsi="Times New Roman" w:eastAsia="宋体" w:cs="Times New Roman"/>
                <w:sz w:val="21"/>
                <w:szCs w:val="21"/>
                <w:lang w:val="en-US" w:eastAsia="zh-CN" w:bidi="ar"/>
              </w:rPr>
              <w:t>18</w:t>
            </w:r>
            <w:r>
              <w:rPr>
                <w:rFonts w:hint="eastAsia" w:ascii="Times New Roman" w:hAnsi="Times New Roman" w:eastAsia="宋体" w:cs="Times New Roman"/>
                <w:sz w:val="21"/>
                <w:szCs w:val="21"/>
                <w:lang w:val="en-US" w:eastAsia="zh-CN" w:bidi="ar"/>
              </w:rPr>
              <w:t>套。</w:t>
            </w:r>
          </w:p>
          <w:p w14:paraId="3589829A">
            <w:pPr>
              <w:keepNext w:val="0"/>
              <w:keepLines w:val="0"/>
              <w:numPr>
                <w:ilvl w:val="0"/>
                <w:numId w:val="0"/>
              </w:numPr>
              <w:suppressLineNumbers w:val="0"/>
              <w:spacing w:before="0" w:beforeAutospacing="0" w:after="0" w:afterAutospacing="0"/>
              <w:ind w:left="0" w:right="0" w:firstLine="420" w:firstLineChars="200"/>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截至半年报披露日，水萝卜</w:t>
            </w:r>
            <w:r>
              <w:rPr>
                <w:rFonts w:hint="eastAsia" w:ascii="Times New Roman" w:hAnsi="Times New Roman" w:eastAsia="宋体" w:cs="Times New Roman"/>
                <w:sz w:val="21"/>
                <w:szCs w:val="21"/>
                <w:vertAlign w:val="superscript"/>
                <w:lang w:val="en-US" w:eastAsia="zh-CN" w:bidi="ar"/>
              </w:rPr>
              <w:t>®</w:t>
            </w:r>
            <w:r>
              <w:rPr>
                <w:rFonts w:hint="eastAsia" w:ascii="Times New Roman" w:hAnsi="Times New Roman" w:eastAsia="宋体" w:cs="Times New Roman"/>
                <w:sz w:val="21"/>
                <w:szCs w:val="21"/>
                <w:lang w:val="en-US" w:eastAsia="zh-CN" w:bidi="ar"/>
              </w:rPr>
              <w:t>AI智能体累计交货20套。</w:t>
            </w:r>
          </w:p>
          <w:p w14:paraId="39687D7A">
            <w:pPr>
              <w:keepNext w:val="0"/>
              <w:keepLines w:val="0"/>
              <w:numPr>
                <w:ilvl w:val="0"/>
                <w:numId w:val="0"/>
              </w:numPr>
              <w:suppressLineNumbers w:val="0"/>
              <w:spacing w:before="0" w:beforeAutospacing="0" w:after="0" w:afterAutospacing="0"/>
              <w:ind w:left="0" w:right="0" w:firstLine="420" w:firstLineChars="200"/>
              <w:rPr>
                <w:rFonts w:hint="eastAsia" w:ascii="Times New Roman" w:hAnsi="Times New Roman" w:eastAsia="宋体" w:cs="Times New Roman"/>
                <w:sz w:val="21"/>
                <w:szCs w:val="21"/>
                <w:lang w:val="en-US" w:eastAsia="zh-CN" w:bidi="ar"/>
              </w:rPr>
            </w:pPr>
          </w:p>
          <w:p w14:paraId="3A9F03CC">
            <w:pPr>
              <w:keepNext w:val="0"/>
              <w:keepLines w:val="0"/>
              <w:numPr>
                <w:ilvl w:val="0"/>
                <w:numId w:val="0"/>
              </w:numPr>
              <w:suppressLineNumbers w:val="0"/>
              <w:spacing w:before="0" w:beforeAutospacing="0" w:after="0" w:afterAutospacing="0"/>
              <w:ind w:left="0" w:right="0" w:firstLine="422" w:firstLineChars="200"/>
              <w:rPr>
                <w:rFonts w:hint="eastAsia" w:ascii="宋体" w:hAnsi="宋体" w:eastAsia="宋体" w:cs="宋体"/>
                <w:b/>
                <w:bCs w:val="0"/>
                <w:color w:val="auto"/>
                <w:kern w:val="2"/>
                <w:sz w:val="21"/>
                <w:szCs w:val="21"/>
                <w:lang w:val="en-US" w:eastAsia="zh-CN" w:bidi="ar-SA"/>
              </w:rPr>
            </w:pPr>
            <w:r>
              <w:rPr>
                <w:rFonts w:hint="eastAsia" w:ascii="宋体" w:hAnsi="宋体" w:eastAsia="宋体" w:cs="宋体"/>
                <w:b/>
                <w:bCs w:val="0"/>
                <w:color w:val="auto"/>
                <w:kern w:val="2"/>
                <w:sz w:val="21"/>
                <w:szCs w:val="21"/>
                <w:lang w:val="en-US" w:eastAsia="zh-CN" w:bidi="ar-SA"/>
              </w:rPr>
              <w:t>4.请介绍下</w:t>
            </w:r>
            <w:r>
              <w:rPr>
                <w:rFonts w:hint="eastAsia" w:ascii="宋体" w:hAnsi="宋体" w:eastAsia="宋体" w:cs="Times New Roman"/>
                <w:b/>
                <w:bCs w:val="0"/>
                <w:sz w:val="21"/>
                <w:szCs w:val="21"/>
                <w:lang w:val="en-US" w:eastAsia="zh-CN" w:bidi="ar"/>
              </w:rPr>
              <w:t>水萝卜®AI智能体S系列？</w:t>
            </w:r>
          </w:p>
          <w:p w14:paraId="057628B9">
            <w:pPr>
              <w:keepNext w:val="0"/>
              <w:keepLines w:val="0"/>
              <w:widowControl/>
              <w:suppressLineNumbers w:val="0"/>
              <w:spacing w:before="0" w:beforeAutospacing="0" w:after="0" w:afterAutospacing="0" w:line="268" w:lineRule="auto"/>
              <w:ind w:left="0" w:right="0" w:firstLine="420" w:firstLineChars="200"/>
              <w:jc w:val="left"/>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2"/>
                <w:sz w:val="21"/>
                <w:szCs w:val="21"/>
                <w:lang w:val="en-US" w:eastAsia="zh-CN" w:bidi="ar-SA"/>
              </w:rPr>
              <w:t>答：水萝卜®AI智能体S系列，是水萝卜智能体平台下划分的一个子产品系列，是公司面向工业现场及车间级智能巡检场景推出的AI产品，是集边缘算力、多模态感知、人工智能算法及软件平台于一体的软硬件一体化解决方案。产品聚焦设备预测性维护、环境异常感知及安全生产管理，通过本地边缘部署即可实现数据采集、AI推理、异常预警及工单闭环管理，为工业企业、水厂、能源及制造业等场景提供低门槛、轻量化、快速部署的AI巡检产品。</w:t>
            </w:r>
          </w:p>
          <w:p w14:paraId="4B7E33AE">
            <w:pPr>
              <w:keepNext w:val="0"/>
              <w:keepLines w:val="0"/>
              <w:widowControl/>
              <w:suppressLineNumbers w:val="0"/>
              <w:spacing w:before="0" w:beforeAutospacing="0" w:after="0" w:afterAutospacing="0" w:line="268" w:lineRule="auto"/>
              <w:ind w:left="0" w:right="0" w:firstLine="420" w:firstLineChars="200"/>
              <w:jc w:val="left"/>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2"/>
                <w:sz w:val="21"/>
                <w:szCs w:val="21"/>
                <w:lang w:val="en-US" w:eastAsia="zh-CN" w:bidi="ar-SA"/>
              </w:rPr>
              <w:t>与传统智慧工厂建设模式相比，水萝卜®AI智能体S系列将服务器、AI算力平台、多模态AI算法及巡检软件集成为标准化产品，实现边缘计算、本地推理及快速部署，无需复杂的信息化基础设施建设，即可快速构建车间级AI巡检能力，满足工业现场智能化升级需求。</w:t>
            </w:r>
          </w:p>
          <w:p w14:paraId="4ADCD2D1">
            <w:pPr>
              <w:keepNext w:val="0"/>
              <w:keepLines w:val="0"/>
              <w:widowControl/>
              <w:suppressLineNumbers w:val="0"/>
              <w:spacing w:before="0" w:beforeAutospacing="0" w:after="0" w:afterAutospacing="0" w:line="268" w:lineRule="auto"/>
              <w:ind w:left="0"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报告期内，水萝卜®AI智能体S系列已在龙亭新水岛®项目、南堡再生水项目开展部署验证，重点围绕设备预测性维护、环境异常感知、AI自主巡检及边缘智能分析等应用场景持续优化算法模型及产品配置，不断完善标准化产品体系，为公司AI智能体规模化推广提供统一的感知硬件平台和边缘AI基础设施。</w:t>
            </w:r>
          </w:p>
          <w:p w14:paraId="3F9022F1">
            <w:pPr>
              <w:keepNext w:val="0"/>
              <w:keepLines w:val="0"/>
              <w:widowControl/>
              <w:suppressLineNumbers w:val="0"/>
              <w:spacing w:before="0" w:beforeAutospacing="0" w:after="0" w:afterAutospacing="0" w:line="268" w:lineRule="auto"/>
              <w:ind w:left="0" w:right="0" w:firstLine="420" w:firstLineChars="200"/>
              <w:jc w:val="left"/>
              <w:rPr>
                <w:rFonts w:hint="eastAsia" w:ascii="宋体" w:hAnsi="宋体" w:eastAsia="宋体" w:cs="宋体"/>
                <w:kern w:val="0"/>
                <w:sz w:val="21"/>
                <w:szCs w:val="21"/>
                <w:lang w:val="en-US" w:eastAsia="zh-CN" w:bidi="ar"/>
              </w:rPr>
            </w:pPr>
          </w:p>
          <w:p w14:paraId="3715C8A0">
            <w:pPr>
              <w:keepNext w:val="0"/>
              <w:keepLines w:val="0"/>
              <w:widowControl/>
              <w:numPr>
                <w:ilvl w:val="0"/>
                <w:numId w:val="0"/>
              </w:numPr>
              <w:suppressLineNumbers w:val="0"/>
              <w:spacing w:before="0" w:beforeAutospacing="0" w:after="0" w:afterAutospacing="0" w:line="268" w:lineRule="auto"/>
              <w:ind w:left="0" w:leftChars="0" w:right="0" w:rightChars="0" w:firstLine="422" w:firstLineChars="200"/>
              <w:jc w:val="left"/>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5.新水岛®产品研发迭代情况？</w:t>
            </w:r>
          </w:p>
          <w:p w14:paraId="50720F86">
            <w:pPr>
              <w:pStyle w:val="10"/>
              <w:keepNext w:val="0"/>
              <w:keepLines w:val="0"/>
              <w:widowControl w:val="0"/>
              <w:suppressLineNumbers w:val="0"/>
              <w:spacing w:before="0" w:beforeAutospacing="0" w:after="0" w:afterAutospacing="0"/>
              <w:ind w:left="0" w:right="0" w:firstLine="420" w:firstLineChars="0"/>
              <w:jc w:val="both"/>
              <w:rPr>
                <w:rFonts w:hint="eastAsia" w:ascii="宋体" w:hAnsi="宋体" w:eastAsia="宋体" w:cs="宋体"/>
                <w:kern w:val="2"/>
                <w:sz w:val="21"/>
                <w:szCs w:val="21"/>
                <w:lang w:val="en-US" w:eastAsia="zh-CN" w:bidi="ar"/>
              </w:rPr>
            </w:pPr>
            <w:r>
              <w:rPr>
                <w:rFonts w:hint="eastAsia" w:ascii="宋体" w:hAnsi="宋体" w:eastAsia="宋体" w:cs="宋体"/>
                <w:b w:val="0"/>
                <w:bCs/>
                <w:color w:val="auto"/>
                <w:kern w:val="2"/>
                <w:sz w:val="21"/>
                <w:szCs w:val="21"/>
                <w:lang w:val="en-US" w:eastAsia="zh-CN" w:bidi="ar-SA"/>
              </w:rPr>
              <w:t>答：</w:t>
            </w:r>
            <w:r>
              <w:rPr>
                <w:rFonts w:hint="eastAsia" w:ascii="宋体" w:hAnsi="宋体" w:eastAsia="宋体" w:cs="宋体"/>
                <w:kern w:val="2"/>
                <w:sz w:val="21"/>
                <w:szCs w:val="21"/>
                <w:lang w:val="en-US" w:eastAsia="zh-CN" w:bidi="ar"/>
              </w:rPr>
              <w:t>2026年上半年，在产品研发方面，公司持续推进新水岛®产品迭代升级，通过集成设计优化，产品集成度进一步提升，整机更加适配集装箱海运，有效压缩跨境物流成本与交付周期；核心元器件来自国内外优质供应链，打造产品卓越品质；模具加工比例提升，使得产品一致性与可靠性进一步增强。新水岛®在保持产水水质与水量稳定可靠的同时，加装升级版水萝卜®AI智能体，运行成本进一步降低，产品综合竞争力持续提升。</w:t>
            </w:r>
          </w:p>
          <w:p w14:paraId="4668CC93">
            <w:pPr>
              <w:keepNext w:val="0"/>
              <w:keepLines w:val="0"/>
              <w:widowControl/>
              <w:numPr>
                <w:ilvl w:val="0"/>
                <w:numId w:val="0"/>
              </w:numPr>
              <w:suppressLineNumbers w:val="0"/>
              <w:spacing w:before="0" w:beforeAutospacing="0" w:after="0" w:afterAutospacing="0" w:line="268" w:lineRule="auto"/>
              <w:ind w:left="420" w:leftChars="200" w:right="0" w:rightChars="0"/>
              <w:jc w:val="left"/>
              <w:rPr>
                <w:rFonts w:hint="default" w:ascii="宋体" w:hAnsi="宋体" w:eastAsia="宋体" w:cs="宋体"/>
                <w:kern w:val="0"/>
                <w:sz w:val="21"/>
                <w:szCs w:val="21"/>
                <w:lang w:val="en-US" w:eastAsia="zh-CN" w:bidi="ar"/>
              </w:rPr>
            </w:pPr>
          </w:p>
          <w:p w14:paraId="2AF676D9">
            <w:pPr>
              <w:keepNext w:val="0"/>
              <w:keepLines w:val="0"/>
              <w:numPr>
                <w:ilvl w:val="0"/>
                <w:numId w:val="0"/>
              </w:numPr>
              <w:suppressLineNumbers w:val="0"/>
              <w:spacing w:before="0" w:beforeAutospacing="0" w:after="0" w:afterAutospacing="0"/>
              <w:ind w:left="0" w:right="0" w:firstLine="422" w:firstLineChars="200"/>
              <w:rPr>
                <w:rFonts w:hint="eastAsia" w:ascii="宋体" w:hAnsi="宋体" w:eastAsia="宋体" w:cs="宋体"/>
                <w:b/>
                <w:bCs w:val="0"/>
                <w:color w:val="auto"/>
                <w:szCs w:val="21"/>
                <w:u w:val="none"/>
                <w:lang w:eastAsia="zh-CN"/>
              </w:rPr>
            </w:pPr>
            <w:r>
              <w:rPr>
                <w:rFonts w:hint="eastAsia" w:ascii="宋体" w:hAnsi="宋体" w:eastAsia="宋体" w:cs="宋体"/>
                <w:b/>
                <w:bCs w:val="0"/>
                <w:color w:val="auto"/>
                <w:kern w:val="2"/>
                <w:sz w:val="21"/>
                <w:szCs w:val="21"/>
                <w:lang w:val="en-US" w:eastAsia="zh-CN" w:bidi="ar-SA"/>
              </w:rPr>
              <w:t>6.</w:t>
            </w:r>
            <w:r>
              <w:rPr>
                <w:rFonts w:hint="eastAsia" w:ascii="宋体" w:hAnsi="宋体" w:eastAsia="宋体" w:cs="宋体"/>
                <w:b/>
                <w:bCs w:val="0"/>
                <w:color w:val="auto"/>
                <w:szCs w:val="21"/>
                <w:u w:val="none"/>
                <w:lang w:eastAsia="zh-CN"/>
              </w:rPr>
              <w:t>与传统工程模式相比，新水岛</w:t>
            </w:r>
            <w:r>
              <w:rPr>
                <w:rFonts w:hint="default" w:ascii="宋体" w:hAnsi="宋体" w:eastAsia="宋体" w:cs="宋体"/>
                <w:b/>
                <w:bCs/>
                <w:color w:val="auto"/>
                <w:u w:val="none"/>
                <w:lang w:val="en-US" w:eastAsia="zh-CN"/>
              </w:rPr>
              <w:t>®</w:t>
            </w:r>
            <w:r>
              <w:rPr>
                <w:rFonts w:hint="eastAsia" w:ascii="宋体" w:hAnsi="宋体" w:eastAsia="宋体" w:cs="宋体"/>
                <w:b/>
                <w:bCs w:val="0"/>
                <w:color w:val="auto"/>
                <w:szCs w:val="21"/>
                <w:u w:val="none"/>
                <w:lang w:eastAsia="zh-CN"/>
              </w:rPr>
              <w:t xml:space="preserve">有何优势？ </w:t>
            </w:r>
          </w:p>
          <w:p w14:paraId="45A1247D">
            <w:pPr>
              <w:keepNext w:val="0"/>
              <w:keepLines w:val="0"/>
              <w:numPr>
                <w:ilvl w:val="0"/>
                <w:numId w:val="0"/>
              </w:numPr>
              <w:suppressLineNumbers w:val="0"/>
              <w:spacing w:before="0" w:beforeAutospacing="0" w:after="0" w:afterAutospacing="0"/>
              <w:ind w:left="0" w:right="0" w:firstLine="420" w:firstLineChars="200"/>
              <w:rPr>
                <w:rFonts w:hint="eastAsia" w:ascii="宋体" w:hAnsi="宋体" w:eastAsia="宋体" w:cs="宋体"/>
                <w:b w:val="0"/>
                <w:bCs/>
                <w:color w:val="auto"/>
                <w:szCs w:val="21"/>
                <w:u w:val="none"/>
                <w:lang w:eastAsia="zh-CN"/>
              </w:rPr>
            </w:pPr>
            <w:r>
              <w:rPr>
                <w:rFonts w:hint="eastAsia" w:ascii="宋体" w:hAnsi="宋体" w:eastAsia="宋体" w:cs="宋体"/>
                <w:b w:val="0"/>
                <w:bCs/>
                <w:color w:val="auto"/>
                <w:szCs w:val="21"/>
                <w:u w:val="none"/>
                <w:lang w:eastAsia="zh-CN"/>
              </w:rPr>
              <w:t>答：相较传统工程水厂，</w:t>
            </w:r>
            <w:r>
              <w:rPr>
                <w:rFonts w:hint="eastAsia" w:ascii="宋体" w:hAnsi="宋体" w:eastAsia="宋体" w:cs="宋体"/>
                <w:b w:val="0"/>
                <w:bCs/>
                <w:color w:val="auto"/>
                <w:szCs w:val="21"/>
                <w:u w:val="none"/>
                <w:lang w:val="en-US" w:eastAsia="zh-CN"/>
              </w:rPr>
              <w:t>新水岛</w:t>
            </w:r>
            <w:r>
              <w:rPr>
                <w:rFonts w:hint="eastAsia" w:ascii="宋体" w:hAnsi="宋体" w:eastAsia="宋体" w:cs="宋体"/>
                <w:b w:val="0"/>
                <w:bCs/>
                <w:color w:val="auto"/>
                <w:szCs w:val="21"/>
                <w:u w:val="none"/>
                <w:lang w:eastAsia="zh-CN"/>
              </w:rPr>
              <w:t>®实现占地面积节省 90%、交付时间缩短 90%、运营人员精简 90%，全生命周期成本</w:t>
            </w:r>
            <w:r>
              <w:rPr>
                <w:rFonts w:hint="eastAsia" w:ascii="宋体" w:hAnsi="宋体" w:eastAsia="宋体" w:cs="宋体"/>
                <w:b w:val="0"/>
                <w:bCs/>
                <w:color w:val="auto"/>
                <w:szCs w:val="21"/>
                <w:u w:val="none"/>
                <w:lang w:val="en-US" w:eastAsia="zh-CN"/>
              </w:rPr>
              <w:t>大幅</w:t>
            </w:r>
            <w:r>
              <w:rPr>
                <w:rFonts w:hint="eastAsia" w:ascii="宋体" w:hAnsi="宋体" w:eastAsia="宋体" w:cs="宋体"/>
                <w:b w:val="0"/>
                <w:bCs/>
                <w:color w:val="auto"/>
                <w:szCs w:val="21"/>
                <w:u w:val="none"/>
                <w:lang w:eastAsia="zh-CN"/>
              </w:rPr>
              <w:t>降低。公司通过产品化的水厂、分布式布置、资源化再生循环、智能化运营的组合实施，可以让社会获得可持续的、充足的、可靠的、可负担的高品质水，为人类带来水自由。</w:t>
            </w:r>
          </w:p>
          <w:p w14:paraId="1A58F5D8">
            <w:pPr>
              <w:keepNext w:val="0"/>
              <w:keepLines w:val="0"/>
              <w:numPr>
                <w:ilvl w:val="0"/>
                <w:numId w:val="0"/>
              </w:numPr>
              <w:suppressLineNumbers w:val="0"/>
              <w:spacing w:before="0" w:beforeAutospacing="0" w:after="0" w:afterAutospacing="0"/>
              <w:ind w:left="0" w:right="0" w:firstLine="420" w:firstLineChars="200"/>
              <w:rPr>
                <w:rFonts w:hint="eastAsia" w:ascii="宋体" w:hAnsi="宋体" w:eastAsia="宋体" w:cs="宋体"/>
                <w:b w:val="0"/>
                <w:bCs/>
                <w:color w:val="auto"/>
                <w:szCs w:val="21"/>
                <w:u w:val="none"/>
                <w:lang w:eastAsia="zh-CN"/>
              </w:rPr>
            </w:pPr>
            <w:r>
              <w:rPr>
                <w:rFonts w:hint="eastAsia" w:ascii="宋体" w:hAnsi="宋体" w:eastAsia="宋体" w:cs="宋体"/>
                <w:b w:val="0"/>
                <w:bCs/>
                <w:color w:val="auto"/>
                <w:szCs w:val="21"/>
                <w:u w:val="none"/>
                <w:lang w:eastAsia="zh-CN"/>
              </w:rPr>
              <w:t>通过分布式部署，新水岛®可节省巨额配套管网投资；工业品流水线的批量生产模式以规模效应带来吨水成本的降低；同时，新水岛®实现了从不同工艺单元相互割裂的“组合工艺”向有机融合成一体的“融合工艺”转变突破，为“稳定可靠的短流程工艺”替代“打补丁式的长流程”奠定了坚实基础，进一步削减冗余配置，优化建设成本。此外，新水岛®应用人工智能（AI）技术取代了人员运营管理工作，重构并优化了水厂生产运营流程，有效保障水质水量稳定达标，延长设备寿命，显著降低运营成本。</w:t>
            </w:r>
          </w:p>
          <w:p w14:paraId="35A8701A">
            <w:pPr>
              <w:keepNext w:val="0"/>
              <w:keepLines w:val="0"/>
              <w:numPr>
                <w:ilvl w:val="0"/>
                <w:numId w:val="0"/>
              </w:numPr>
              <w:suppressLineNumbers w:val="0"/>
              <w:spacing w:before="0" w:beforeAutospacing="0" w:after="0" w:afterAutospacing="0"/>
              <w:ind w:left="0" w:right="0"/>
              <w:rPr>
                <w:rFonts w:hint="eastAsia" w:ascii="宋体" w:hAnsi="宋体" w:eastAsia="宋体" w:cs="宋体"/>
                <w:b/>
                <w:bCs w:val="0"/>
                <w:color w:val="auto"/>
                <w:kern w:val="2"/>
                <w:sz w:val="21"/>
                <w:szCs w:val="21"/>
                <w:lang w:val="en-US" w:eastAsia="zh-CN" w:bidi="ar-SA"/>
              </w:rPr>
            </w:pPr>
          </w:p>
          <w:p w14:paraId="1706D39D">
            <w:pPr>
              <w:keepNext w:val="0"/>
              <w:keepLines w:val="0"/>
              <w:numPr>
                <w:ilvl w:val="0"/>
                <w:numId w:val="0"/>
              </w:numPr>
              <w:suppressLineNumbers w:val="0"/>
              <w:spacing w:before="0" w:beforeAutospacing="0" w:after="0" w:afterAutospacing="0"/>
              <w:ind w:left="0" w:right="0" w:firstLine="422" w:firstLineChars="200"/>
              <w:rPr>
                <w:rFonts w:hint="default" w:ascii="宋体" w:hAnsi="宋体" w:eastAsia="宋体" w:cs="宋体"/>
                <w:b/>
                <w:bCs w:val="0"/>
                <w:color w:val="auto"/>
                <w:kern w:val="2"/>
                <w:sz w:val="21"/>
                <w:szCs w:val="21"/>
                <w:lang w:val="en-US" w:eastAsia="zh-CN" w:bidi="ar-SA"/>
              </w:rPr>
            </w:pPr>
            <w:r>
              <w:rPr>
                <w:rFonts w:hint="eastAsia" w:ascii="宋体" w:hAnsi="宋体" w:eastAsia="宋体" w:cs="宋体"/>
                <w:b/>
                <w:bCs w:val="0"/>
                <w:color w:val="auto"/>
                <w:kern w:val="2"/>
                <w:sz w:val="21"/>
                <w:szCs w:val="21"/>
                <w:lang w:val="en-US" w:eastAsia="zh-CN" w:bidi="ar-SA"/>
              </w:rPr>
              <w:t>7.公司现有的产能是否能支撑业务拓展？</w:t>
            </w:r>
          </w:p>
          <w:p w14:paraId="1D0BBE7C">
            <w:pPr>
              <w:keepNext w:val="0"/>
              <w:keepLines w:val="0"/>
              <w:numPr>
                <w:ilvl w:val="0"/>
                <w:numId w:val="0"/>
              </w:numPr>
              <w:suppressLineNumbers w:val="0"/>
              <w:spacing w:before="0" w:beforeAutospacing="0" w:after="0" w:afterAutospacing="0"/>
              <w:ind w:left="0" w:right="0" w:firstLine="420" w:firstLineChars="200"/>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2"/>
                <w:sz w:val="21"/>
                <w:szCs w:val="21"/>
                <w:lang w:val="en-US" w:eastAsia="zh-CN" w:bidi="ar-SA"/>
              </w:rPr>
              <w:t>答：目前，公司已完成太原组装测试制造基地、原平膜制造及设备制造中心的整合，太原基地已获得ISO质量、环境、安全认证，实现从膜元件制造到新水岛®组装测试的全产业链贯通。</w:t>
            </w:r>
          </w:p>
          <w:p w14:paraId="38617BAC">
            <w:pPr>
              <w:keepNext w:val="0"/>
              <w:keepLines w:val="0"/>
              <w:numPr>
                <w:ilvl w:val="0"/>
                <w:numId w:val="0"/>
              </w:numPr>
              <w:suppressLineNumbers w:val="0"/>
              <w:spacing w:before="0" w:beforeAutospacing="0" w:after="0" w:afterAutospacing="0"/>
              <w:ind w:left="0" w:right="0" w:firstLine="420" w:firstLineChars="200"/>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2"/>
                <w:sz w:val="21"/>
                <w:szCs w:val="21"/>
                <w:lang w:val="en-US" w:eastAsia="zh-CN" w:bidi="ar-SA"/>
              </w:rPr>
              <w:t>公司具备充足的生产能力，可通过生态供应链协作、海外本地化组装突破产能瓶颈，产能不会成为业务扩张的制约因素。</w:t>
            </w:r>
          </w:p>
          <w:p w14:paraId="4332346B">
            <w:pPr>
              <w:keepNext w:val="0"/>
              <w:keepLines w:val="0"/>
              <w:numPr>
                <w:ilvl w:val="0"/>
                <w:numId w:val="0"/>
              </w:numPr>
              <w:suppressLineNumbers w:val="0"/>
              <w:spacing w:before="0" w:beforeAutospacing="0" w:after="0" w:afterAutospacing="0"/>
              <w:ind w:left="0" w:right="0" w:firstLine="422" w:firstLineChars="200"/>
              <w:rPr>
                <w:rFonts w:hint="eastAsia" w:ascii="宋体" w:hAnsi="宋体" w:eastAsia="宋体" w:cs="宋体"/>
                <w:b/>
                <w:bCs w:val="0"/>
                <w:color w:val="auto"/>
                <w:szCs w:val="21"/>
                <w:u w:val="none"/>
                <w:lang w:val="en-US" w:eastAsia="zh-CN"/>
              </w:rPr>
            </w:pPr>
          </w:p>
          <w:p w14:paraId="5F40A1F6">
            <w:pPr>
              <w:keepNext w:val="0"/>
              <w:keepLines w:val="0"/>
              <w:numPr>
                <w:ilvl w:val="0"/>
                <w:numId w:val="0"/>
              </w:numPr>
              <w:suppressLineNumbers w:val="0"/>
              <w:spacing w:before="0" w:beforeAutospacing="0" w:after="0" w:afterAutospacing="0"/>
              <w:ind w:left="0" w:right="0" w:firstLine="422" w:firstLineChars="200"/>
              <w:rPr>
                <w:rFonts w:hint="eastAsia" w:ascii="宋体" w:hAnsi="宋体" w:eastAsia="宋体" w:cs="宋体"/>
                <w:b/>
                <w:bCs w:val="0"/>
                <w:color w:val="auto"/>
                <w:szCs w:val="21"/>
                <w:u w:val="none"/>
                <w:lang w:val="en-US" w:eastAsia="zh-CN"/>
              </w:rPr>
            </w:pPr>
            <w:r>
              <w:rPr>
                <w:rFonts w:hint="eastAsia" w:ascii="宋体" w:hAnsi="宋体" w:eastAsia="宋体" w:cs="宋体"/>
                <w:b/>
                <w:bCs w:val="0"/>
                <w:color w:val="auto"/>
                <w:szCs w:val="21"/>
                <w:u w:val="none"/>
                <w:lang w:val="en-US" w:eastAsia="zh-CN"/>
              </w:rPr>
              <w:t>8.新水岛</w:t>
            </w:r>
            <w:r>
              <w:rPr>
                <w:rFonts w:hint="default" w:ascii="宋体" w:hAnsi="宋体" w:eastAsia="宋体" w:cs="宋体"/>
                <w:b/>
                <w:bCs w:val="0"/>
                <w:color w:val="auto"/>
                <w:szCs w:val="21"/>
                <w:u w:val="none"/>
                <w:lang w:val="en-US" w:eastAsia="zh-CN"/>
              </w:rPr>
              <w:t>®</w:t>
            </w:r>
            <w:r>
              <w:rPr>
                <w:rFonts w:hint="eastAsia" w:ascii="宋体" w:hAnsi="宋体" w:eastAsia="宋体" w:cs="宋体"/>
                <w:b/>
                <w:bCs w:val="0"/>
                <w:color w:val="auto"/>
                <w:szCs w:val="21"/>
                <w:u w:val="none"/>
                <w:lang w:val="en-US" w:eastAsia="zh-CN"/>
              </w:rPr>
              <w:t>产品可以应用于哪些场景？</w:t>
            </w:r>
          </w:p>
          <w:p w14:paraId="0DD39D5F">
            <w:pPr>
              <w:keepNext w:val="0"/>
              <w:keepLines w:val="0"/>
              <w:suppressLineNumbers w:val="0"/>
              <w:spacing w:before="0" w:beforeAutospacing="0" w:after="0" w:afterAutospacing="0"/>
              <w:ind w:left="0" w:right="0" w:firstLine="420" w:firstLineChars="200"/>
              <w:rPr>
                <w:rFonts w:hint="eastAsia" w:ascii="宋体" w:hAnsi="宋体" w:eastAsia="宋体"/>
                <w:szCs w:val="21"/>
              </w:rPr>
            </w:pPr>
            <w:r>
              <w:rPr>
                <w:rFonts w:hint="eastAsia" w:ascii="宋体" w:hAnsi="宋体" w:eastAsia="宋体"/>
                <w:szCs w:val="21"/>
              </w:rPr>
              <w:t>答：新水岛®广泛适用于工业、园区、城镇海水淡化等应用场景，可作为高品质供水基础设施（城镇、园区、工业）的替代方案，以常规水源（水库水、地下水、河道水等）和非常规水源（污水、矿井水、苦咸水等），为工业企业、工业园区和城镇提供高品质供水，成本和安全性方面更具竞争力。</w:t>
            </w:r>
          </w:p>
          <w:p w14:paraId="0B5BD6DA">
            <w:pPr>
              <w:keepNext w:val="0"/>
              <w:keepLines w:val="0"/>
              <w:suppressLineNumbers w:val="0"/>
              <w:spacing w:before="0" w:beforeAutospacing="0" w:after="0" w:afterAutospacing="0"/>
              <w:ind w:left="0" w:right="0" w:firstLine="420" w:firstLineChars="200"/>
              <w:rPr>
                <w:rFonts w:hint="eastAsia" w:ascii="宋体" w:hAnsi="宋体" w:eastAsia="宋体"/>
                <w:szCs w:val="21"/>
              </w:rPr>
            </w:pPr>
          </w:p>
          <w:p w14:paraId="3ADE8F09">
            <w:pPr>
              <w:keepNext w:val="0"/>
              <w:keepLines w:val="0"/>
              <w:suppressLineNumbers w:val="0"/>
              <w:spacing w:before="0" w:beforeAutospacing="0" w:after="0" w:afterAutospacing="0"/>
              <w:ind w:left="0" w:right="0" w:firstLine="422" w:firstLineChars="200"/>
              <w:rPr>
                <w:rFonts w:hint="default" w:ascii="宋体" w:hAnsi="宋体" w:eastAsia="宋体"/>
                <w:b/>
                <w:bCs/>
                <w:szCs w:val="21"/>
                <w:lang w:val="en-US" w:eastAsia="zh-CN"/>
              </w:rPr>
            </w:pPr>
            <w:r>
              <w:rPr>
                <w:rFonts w:hint="eastAsia" w:ascii="宋体" w:hAnsi="宋体" w:eastAsia="宋体"/>
                <w:b/>
                <w:bCs/>
                <w:szCs w:val="21"/>
                <w:lang w:val="en-US" w:eastAsia="zh-CN"/>
              </w:rPr>
              <w:t>9.公司TO B业务占比情况如何？</w:t>
            </w:r>
          </w:p>
          <w:p w14:paraId="22133A7F">
            <w:pPr>
              <w:keepNext w:val="0"/>
              <w:keepLines w:val="0"/>
              <w:suppressLineNumbers w:val="0"/>
              <w:spacing w:before="0" w:beforeAutospacing="0" w:after="0" w:afterAutospacing="0"/>
              <w:ind w:left="0" w:right="0" w:firstLine="420" w:firstLineChars="200"/>
              <w:rPr>
                <w:rFonts w:hint="eastAsia" w:ascii="宋体" w:hAnsi="宋体" w:eastAsia="宋体"/>
                <w:szCs w:val="21"/>
                <w:lang w:val="en-US" w:eastAsia="zh-CN"/>
              </w:rPr>
            </w:pPr>
            <w:r>
              <w:rPr>
                <w:rFonts w:hint="eastAsia" w:ascii="宋体" w:hAnsi="宋体" w:eastAsia="宋体"/>
                <w:szCs w:val="21"/>
              </w:rPr>
              <w:t>答：</w:t>
            </w:r>
            <w:r>
              <w:rPr>
                <w:rFonts w:hint="eastAsia" w:ascii="宋体" w:hAnsi="宋体" w:eastAsia="宋体"/>
                <w:szCs w:val="21"/>
                <w:lang w:val="en-US" w:eastAsia="zh-CN"/>
              </w:rPr>
              <w:t>按服务行业划分，公司报告期To B业务实现收入11,175.53万元，占总收入比例为53.47%；To G业务实现收入9,711.95万元，占总收入比例为46.47%。</w:t>
            </w:r>
          </w:p>
          <w:p w14:paraId="636AC36F">
            <w:pPr>
              <w:keepNext w:val="0"/>
              <w:keepLines w:val="0"/>
              <w:suppressLineNumbers w:val="0"/>
              <w:spacing w:before="0" w:beforeAutospacing="0" w:after="0" w:afterAutospacing="0"/>
              <w:ind w:left="0" w:right="0" w:firstLine="420" w:firstLineChars="200"/>
              <w:rPr>
                <w:rFonts w:hint="eastAsia" w:ascii="宋体" w:hAnsi="宋体" w:eastAsia="宋体"/>
                <w:szCs w:val="21"/>
                <w:lang w:val="en-US" w:eastAsia="zh-CN"/>
              </w:rPr>
            </w:pPr>
          </w:p>
          <w:p w14:paraId="57807CED">
            <w:pPr>
              <w:keepNext w:val="0"/>
              <w:keepLines w:val="0"/>
              <w:suppressLineNumbers w:val="0"/>
              <w:spacing w:before="0" w:beforeAutospacing="0" w:after="0" w:afterAutospacing="0"/>
              <w:ind w:left="0" w:right="0" w:firstLine="422" w:firstLineChars="200"/>
              <w:rPr>
                <w:rFonts w:hint="default" w:ascii="宋体" w:hAnsi="宋体" w:eastAsia="宋体"/>
                <w:b/>
                <w:bCs/>
                <w:szCs w:val="21"/>
                <w:lang w:val="en-US" w:eastAsia="zh-CN"/>
              </w:rPr>
            </w:pPr>
            <w:r>
              <w:rPr>
                <w:rFonts w:hint="eastAsia" w:ascii="宋体" w:hAnsi="宋体" w:eastAsia="宋体"/>
                <w:b/>
                <w:bCs/>
                <w:szCs w:val="21"/>
                <w:lang w:val="en-US" w:eastAsia="zh-CN"/>
              </w:rPr>
              <w:t>10.请介绍下水萝卜®AI智能体S、P、SP、SPW这几个产品的关系？</w:t>
            </w:r>
          </w:p>
          <w:p w14:paraId="24185AAF">
            <w:pPr>
              <w:keepNext w:val="0"/>
              <w:keepLines w:val="0"/>
              <w:suppressLineNumbers w:val="0"/>
              <w:spacing w:before="0" w:beforeAutospacing="0" w:after="0" w:afterAutospacing="0"/>
              <w:ind w:left="0" w:right="0" w:firstLine="420" w:firstLineChars="200"/>
              <w:rPr>
                <w:rFonts w:hint="eastAsia" w:ascii="宋体" w:hAnsi="宋体" w:eastAsia="宋体"/>
                <w:szCs w:val="21"/>
                <w:lang w:val="en-US" w:eastAsia="zh-CN"/>
              </w:rPr>
            </w:pPr>
            <w:r>
              <w:rPr>
                <w:rFonts w:hint="eastAsia" w:ascii="宋体" w:hAnsi="宋体" w:eastAsia="宋体"/>
                <w:szCs w:val="21"/>
              </w:rPr>
              <w:t>答：</w:t>
            </w:r>
            <w:r>
              <w:rPr>
                <w:rFonts w:hint="eastAsia" w:ascii="宋体" w:hAnsi="宋体" w:eastAsia="宋体"/>
                <w:szCs w:val="21"/>
                <w:lang w:val="en-US" w:eastAsia="zh-CN"/>
              </w:rPr>
              <w:t>水萝卜®S——感知巡检系列，面向工业车间进行AI感知巡检，实现设备预测性维护与环境异常感知；</w:t>
            </w:r>
          </w:p>
          <w:p w14:paraId="0BE1425C">
            <w:pPr>
              <w:keepNext w:val="0"/>
              <w:keepLines w:val="0"/>
              <w:suppressLineNumbers w:val="0"/>
              <w:spacing w:before="0" w:beforeAutospacing="0" w:after="0" w:afterAutospacing="0"/>
              <w:ind w:left="0" w:right="0" w:firstLine="420" w:firstLineChars="200"/>
              <w:rPr>
                <w:rFonts w:hint="eastAsia" w:ascii="宋体" w:hAnsi="宋体" w:eastAsia="宋体"/>
                <w:szCs w:val="21"/>
                <w:lang w:val="en-US" w:eastAsia="zh-CN"/>
              </w:rPr>
            </w:pPr>
            <w:r>
              <w:rPr>
                <w:rFonts w:hint="eastAsia" w:ascii="宋体" w:hAnsi="宋体" w:eastAsia="宋体"/>
                <w:szCs w:val="21"/>
                <w:lang w:val="en-US" w:eastAsia="zh-CN"/>
              </w:rPr>
              <w:t>水萝卜®P——工艺优化系列，面向水厂的单工艺段进行工艺自主优化，实现AI工艺调控与优化运行；</w:t>
            </w:r>
          </w:p>
          <w:p w14:paraId="78A47449">
            <w:pPr>
              <w:keepNext w:val="0"/>
              <w:keepLines w:val="0"/>
              <w:suppressLineNumbers w:val="0"/>
              <w:spacing w:before="0" w:beforeAutospacing="0" w:after="0" w:afterAutospacing="0"/>
              <w:ind w:left="0" w:right="0" w:firstLine="420" w:firstLineChars="200"/>
              <w:rPr>
                <w:rFonts w:hint="eastAsia" w:ascii="宋体" w:hAnsi="宋体" w:eastAsia="宋体"/>
                <w:szCs w:val="21"/>
                <w:lang w:val="en-US" w:eastAsia="zh-CN"/>
              </w:rPr>
            </w:pPr>
            <w:r>
              <w:rPr>
                <w:rFonts w:hint="eastAsia" w:ascii="宋体" w:hAnsi="宋体" w:eastAsia="宋体"/>
                <w:szCs w:val="21"/>
                <w:lang w:val="en-US" w:eastAsia="zh-CN"/>
              </w:rPr>
              <w:t>水萝卜®SP——感知巡检+工艺优化组合系列，实现设备巡检与工艺优化协同运行；</w:t>
            </w:r>
          </w:p>
          <w:p w14:paraId="0BC98C15">
            <w:pPr>
              <w:keepNext w:val="0"/>
              <w:keepLines w:val="0"/>
              <w:suppressLineNumbers w:val="0"/>
              <w:spacing w:before="0" w:beforeAutospacing="0" w:after="0" w:afterAutospacing="0"/>
              <w:ind w:left="0" w:right="0" w:firstLine="420" w:firstLineChars="200"/>
              <w:rPr>
                <w:rFonts w:hint="default" w:ascii="宋体" w:hAnsi="宋体" w:eastAsia="宋体"/>
                <w:szCs w:val="21"/>
                <w:highlight w:val="yellow"/>
                <w:lang w:val="en-US" w:eastAsia="zh-CN"/>
              </w:rPr>
            </w:pPr>
            <w:r>
              <w:rPr>
                <w:rFonts w:hint="eastAsia" w:ascii="宋体" w:hAnsi="宋体" w:eastAsia="宋体"/>
                <w:szCs w:val="21"/>
                <w:lang w:val="en-US" w:eastAsia="zh-CN"/>
              </w:rPr>
              <w:t>水萝卜®SPW——全厂无人值守智慧运营版本，覆盖全厂AI数字化运营管理，实现生产运行、工艺自主优化、设备感知巡检、运营分析及智能决策等综合能力。</w:t>
            </w:r>
          </w:p>
        </w:tc>
      </w:tr>
      <w:tr w14:paraId="3B95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844" w:type="dxa"/>
            <w:vAlign w:val="center"/>
          </w:tcPr>
          <w:p w14:paraId="4AAB5B85">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Cs w:val="21"/>
                <w:u w:val="none"/>
              </w:rPr>
            </w:pPr>
            <w:r>
              <w:rPr>
                <w:rFonts w:hint="eastAsia" w:ascii="宋体" w:hAnsi="宋体" w:eastAsia="宋体" w:cs="宋体"/>
                <w:b/>
                <w:bCs/>
                <w:color w:val="auto"/>
                <w:szCs w:val="21"/>
                <w:u w:val="none"/>
              </w:rPr>
              <w:t>附件清单</w:t>
            </w:r>
          </w:p>
          <w:p w14:paraId="2AE2E17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Cs w:val="21"/>
                <w:u w:val="none"/>
              </w:rPr>
            </w:pPr>
            <w:r>
              <w:rPr>
                <w:rFonts w:hint="eastAsia" w:ascii="宋体" w:hAnsi="宋体" w:eastAsia="宋体" w:cs="宋体"/>
                <w:b/>
                <w:bCs/>
                <w:color w:val="auto"/>
                <w:szCs w:val="21"/>
                <w:u w:val="none"/>
              </w:rPr>
              <w:t>（如有）</w:t>
            </w:r>
          </w:p>
        </w:tc>
        <w:tc>
          <w:tcPr>
            <w:tcW w:w="7229" w:type="dxa"/>
            <w:vAlign w:val="center"/>
          </w:tcPr>
          <w:p w14:paraId="5CF1995B">
            <w:pPr>
              <w:keepNext w:val="0"/>
              <w:keepLines w:val="0"/>
              <w:suppressLineNumbers w:val="0"/>
              <w:spacing w:before="0" w:beforeAutospacing="0" w:after="0" w:afterAutospacing="0" w:line="240" w:lineRule="auto"/>
              <w:ind w:left="0" w:right="0"/>
              <w:rPr>
                <w:rFonts w:hint="eastAsia" w:ascii="宋体" w:hAnsi="宋体" w:eastAsia="宋体" w:cs="宋体"/>
                <w:color w:val="auto"/>
                <w:szCs w:val="21"/>
                <w:u w:val="none"/>
              </w:rPr>
            </w:pPr>
            <w:r>
              <w:rPr>
                <w:rFonts w:hint="eastAsia" w:ascii="宋体" w:hAnsi="宋体" w:eastAsia="宋体" w:cs="宋体"/>
                <w:color w:val="auto"/>
                <w:szCs w:val="21"/>
                <w:u w:val="none"/>
              </w:rPr>
              <w:t>无</w:t>
            </w:r>
          </w:p>
        </w:tc>
      </w:tr>
      <w:tr w14:paraId="13AE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844" w:type="dxa"/>
            <w:vAlign w:val="center"/>
          </w:tcPr>
          <w:p w14:paraId="61CDEB5D">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Cs w:val="21"/>
                <w:u w:val="none"/>
              </w:rPr>
            </w:pPr>
            <w:r>
              <w:rPr>
                <w:rFonts w:hint="eastAsia" w:ascii="宋体" w:hAnsi="宋体" w:eastAsia="宋体" w:cs="宋体"/>
                <w:b/>
                <w:bCs/>
                <w:color w:val="auto"/>
                <w:szCs w:val="21"/>
                <w:u w:val="none"/>
              </w:rPr>
              <w:t>日期</w:t>
            </w:r>
          </w:p>
        </w:tc>
        <w:tc>
          <w:tcPr>
            <w:tcW w:w="7229" w:type="dxa"/>
            <w:vAlign w:val="center"/>
          </w:tcPr>
          <w:p w14:paraId="33CB2747">
            <w:pPr>
              <w:keepNext w:val="0"/>
              <w:keepLines w:val="0"/>
              <w:suppressLineNumbers w:val="0"/>
              <w:spacing w:before="0" w:beforeAutospacing="0" w:after="0" w:afterAutospacing="0" w:line="240" w:lineRule="auto"/>
              <w:ind w:left="0" w:right="0"/>
              <w:rPr>
                <w:rFonts w:hint="eastAsia" w:ascii="宋体" w:hAnsi="宋体" w:eastAsia="宋体" w:cs="宋体"/>
                <w:color w:val="auto"/>
                <w:szCs w:val="21"/>
                <w:u w:val="none"/>
              </w:rPr>
            </w:pPr>
            <w:r>
              <w:rPr>
                <w:rFonts w:hint="eastAsia" w:ascii="宋体" w:hAnsi="宋体" w:eastAsia="宋体" w:cs="宋体"/>
                <w:color w:val="auto"/>
                <w:szCs w:val="21"/>
                <w:u w:val="none"/>
              </w:rPr>
              <w:t>202</w:t>
            </w:r>
            <w:r>
              <w:rPr>
                <w:rFonts w:hint="eastAsia" w:ascii="宋体" w:hAnsi="宋体" w:eastAsia="宋体" w:cs="宋体"/>
                <w:color w:val="auto"/>
                <w:szCs w:val="21"/>
                <w:u w:val="none"/>
                <w:lang w:val="en-US" w:eastAsia="zh-CN"/>
              </w:rPr>
              <w:t>6</w:t>
            </w:r>
            <w:r>
              <w:rPr>
                <w:rFonts w:hint="eastAsia" w:ascii="宋体" w:hAnsi="宋体" w:eastAsia="宋体" w:cs="宋体"/>
                <w:color w:val="auto"/>
                <w:szCs w:val="21"/>
                <w:u w:val="none"/>
              </w:rPr>
              <w:t>年</w:t>
            </w:r>
            <w:r>
              <w:rPr>
                <w:rFonts w:hint="eastAsia" w:ascii="宋体" w:hAnsi="宋体" w:eastAsia="宋体" w:cs="宋体"/>
                <w:color w:val="auto"/>
                <w:szCs w:val="21"/>
                <w:u w:val="none"/>
                <w:lang w:val="en-US" w:eastAsia="zh-CN"/>
              </w:rPr>
              <w:t>8</w:t>
            </w:r>
            <w:r>
              <w:rPr>
                <w:rFonts w:hint="eastAsia" w:ascii="宋体" w:hAnsi="宋体" w:eastAsia="宋体" w:cs="宋体"/>
                <w:color w:val="auto"/>
                <w:szCs w:val="21"/>
                <w:u w:val="none"/>
              </w:rPr>
              <w:t>月</w:t>
            </w:r>
            <w:r>
              <w:rPr>
                <w:rFonts w:hint="eastAsia" w:ascii="宋体" w:hAnsi="宋体" w:eastAsia="宋体" w:cs="宋体"/>
                <w:color w:val="auto"/>
                <w:szCs w:val="21"/>
                <w:u w:val="none"/>
                <w:lang w:val="en-US" w:eastAsia="zh-CN"/>
              </w:rPr>
              <w:t>31</w:t>
            </w:r>
            <w:r>
              <w:rPr>
                <w:rFonts w:hint="eastAsia" w:ascii="宋体" w:hAnsi="宋体" w:eastAsia="宋体" w:cs="宋体"/>
                <w:color w:val="auto"/>
                <w:szCs w:val="21"/>
                <w:u w:val="none"/>
              </w:rPr>
              <w:t>日</w:t>
            </w:r>
          </w:p>
        </w:tc>
      </w:tr>
    </w:tbl>
    <w:p w14:paraId="2BC22078">
      <w:pPr>
        <w:rPr>
          <w:rFonts w:ascii="宋体" w:hAnsi="宋体" w:eastAsia="宋体"/>
          <w:sz w:val="20"/>
        </w:rPr>
      </w:pPr>
    </w:p>
    <w:p w14:paraId="73C766B1">
      <w:pPr>
        <w:rPr>
          <w:rFonts w:ascii="宋体" w:hAnsi="宋体" w:eastAsia="宋体"/>
          <w:sz w:val="20"/>
        </w:rPr>
      </w:pPr>
    </w:p>
    <w:sectPr>
      <w:head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BE048">
    <w:pPr>
      <w:pStyle w:val="9"/>
      <w:rPr>
        <w:rFonts w:ascii="宋体" w:hAnsi="宋体" w:eastAsia="宋体"/>
      </w:rPr>
    </w:pPr>
    <w:r>
      <w:rPr>
        <w:rFonts w:hint="eastAsia" w:ascii="宋体" w:hAnsi="宋体" w:eastAsia="宋体"/>
      </w:rPr>
      <w:t>证券代码：6</w:t>
    </w:r>
    <w:r>
      <w:rPr>
        <w:rFonts w:ascii="宋体" w:hAnsi="宋体" w:eastAsia="宋体"/>
      </w:rPr>
      <w:t>88466</w:t>
    </w:r>
    <w:r>
      <w:rPr>
        <w:rFonts w:ascii="宋体" w:hAnsi="宋体" w:eastAsia="宋体"/>
      </w:rPr>
      <w:ptab w:relativeTo="margin" w:alignment="center" w:leader="none"/>
    </w:r>
    <w:r>
      <w:rPr>
        <w:rFonts w:ascii="宋体" w:hAnsi="宋体" w:eastAsia="宋体"/>
      </w:rPr>
      <w:ptab w:relativeTo="margin" w:alignment="right" w:leader="none"/>
    </w:r>
    <w:r>
      <w:rPr>
        <w:rFonts w:hint="eastAsia" w:ascii="宋体" w:hAnsi="宋体" w:eastAsia="宋体"/>
      </w:rPr>
      <w:t>证券简称：</w:t>
    </w:r>
    <w:r>
      <w:rPr>
        <w:rFonts w:hint="eastAsia" w:ascii="宋体" w:hAnsi="宋体" w:eastAsia="宋体"/>
        <w:lang w:eastAsia="zh-Hans"/>
      </w:rPr>
      <w:t>金科环境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14C22"/>
    <w:multiLevelType w:val="singleLevel"/>
    <w:tmpl w:val="84014C2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BF6"/>
    <w:rsid w:val="000035D7"/>
    <w:rsid w:val="0001078F"/>
    <w:rsid w:val="00011C93"/>
    <w:rsid w:val="00014375"/>
    <w:rsid w:val="00027983"/>
    <w:rsid w:val="000442AF"/>
    <w:rsid w:val="000565EF"/>
    <w:rsid w:val="00056D76"/>
    <w:rsid w:val="00065DB5"/>
    <w:rsid w:val="00071508"/>
    <w:rsid w:val="00076595"/>
    <w:rsid w:val="00076BD8"/>
    <w:rsid w:val="00082E2E"/>
    <w:rsid w:val="00095562"/>
    <w:rsid w:val="000971E0"/>
    <w:rsid w:val="00097DEE"/>
    <w:rsid w:val="000A33AC"/>
    <w:rsid w:val="000B0FD6"/>
    <w:rsid w:val="000D1531"/>
    <w:rsid w:val="000D2076"/>
    <w:rsid w:val="000D632A"/>
    <w:rsid w:val="000E591F"/>
    <w:rsid w:val="000F1269"/>
    <w:rsid w:val="000F135B"/>
    <w:rsid w:val="000F2333"/>
    <w:rsid w:val="000F78F5"/>
    <w:rsid w:val="00101B38"/>
    <w:rsid w:val="0010454E"/>
    <w:rsid w:val="00104F5B"/>
    <w:rsid w:val="001127F4"/>
    <w:rsid w:val="00116CAB"/>
    <w:rsid w:val="001217AD"/>
    <w:rsid w:val="001221B2"/>
    <w:rsid w:val="00124A62"/>
    <w:rsid w:val="00125CBE"/>
    <w:rsid w:val="001276AE"/>
    <w:rsid w:val="0013199C"/>
    <w:rsid w:val="00133E52"/>
    <w:rsid w:val="00134AF2"/>
    <w:rsid w:val="001413A8"/>
    <w:rsid w:val="001546BD"/>
    <w:rsid w:val="00162C87"/>
    <w:rsid w:val="001648E4"/>
    <w:rsid w:val="001664B0"/>
    <w:rsid w:val="00172570"/>
    <w:rsid w:val="001A19CE"/>
    <w:rsid w:val="001A37B1"/>
    <w:rsid w:val="001A3BD7"/>
    <w:rsid w:val="001B0E3F"/>
    <w:rsid w:val="001B2F8E"/>
    <w:rsid w:val="001B4BAC"/>
    <w:rsid w:val="001B5391"/>
    <w:rsid w:val="001B66A6"/>
    <w:rsid w:val="001C295B"/>
    <w:rsid w:val="001C431B"/>
    <w:rsid w:val="001C6429"/>
    <w:rsid w:val="001D71AA"/>
    <w:rsid w:val="001E3743"/>
    <w:rsid w:val="001E4762"/>
    <w:rsid w:val="001E4764"/>
    <w:rsid w:val="001E55CE"/>
    <w:rsid w:val="001E616A"/>
    <w:rsid w:val="001E7A36"/>
    <w:rsid w:val="001F3569"/>
    <w:rsid w:val="001F610A"/>
    <w:rsid w:val="002015B6"/>
    <w:rsid w:val="00203F23"/>
    <w:rsid w:val="00207D0F"/>
    <w:rsid w:val="00216477"/>
    <w:rsid w:val="00217D95"/>
    <w:rsid w:val="00221BB6"/>
    <w:rsid w:val="00223383"/>
    <w:rsid w:val="002378D8"/>
    <w:rsid w:val="00242F65"/>
    <w:rsid w:val="00250DEF"/>
    <w:rsid w:val="002638A1"/>
    <w:rsid w:val="00263FE5"/>
    <w:rsid w:val="00270E7E"/>
    <w:rsid w:val="00277CB8"/>
    <w:rsid w:val="0028017B"/>
    <w:rsid w:val="0029105D"/>
    <w:rsid w:val="00293E9E"/>
    <w:rsid w:val="002A025F"/>
    <w:rsid w:val="002A0966"/>
    <w:rsid w:val="002B7308"/>
    <w:rsid w:val="002D26B4"/>
    <w:rsid w:val="002D42FE"/>
    <w:rsid w:val="002D518A"/>
    <w:rsid w:val="002E0EE2"/>
    <w:rsid w:val="002E273A"/>
    <w:rsid w:val="002E56B0"/>
    <w:rsid w:val="002F12C1"/>
    <w:rsid w:val="002F726C"/>
    <w:rsid w:val="002F7E43"/>
    <w:rsid w:val="00306E8D"/>
    <w:rsid w:val="003126C1"/>
    <w:rsid w:val="0033152E"/>
    <w:rsid w:val="00333EFB"/>
    <w:rsid w:val="00350BAF"/>
    <w:rsid w:val="00355AC8"/>
    <w:rsid w:val="00362922"/>
    <w:rsid w:val="00364AB3"/>
    <w:rsid w:val="00367F53"/>
    <w:rsid w:val="003716F9"/>
    <w:rsid w:val="00383C35"/>
    <w:rsid w:val="00390F65"/>
    <w:rsid w:val="00396B0C"/>
    <w:rsid w:val="003A01A7"/>
    <w:rsid w:val="003A4DDB"/>
    <w:rsid w:val="003B1E5C"/>
    <w:rsid w:val="003B30F1"/>
    <w:rsid w:val="003C0BAE"/>
    <w:rsid w:val="003C2E12"/>
    <w:rsid w:val="003D664C"/>
    <w:rsid w:val="003E61F0"/>
    <w:rsid w:val="003F2AE0"/>
    <w:rsid w:val="003F669C"/>
    <w:rsid w:val="00401373"/>
    <w:rsid w:val="00401817"/>
    <w:rsid w:val="0040374D"/>
    <w:rsid w:val="004104AE"/>
    <w:rsid w:val="004120D8"/>
    <w:rsid w:val="00425670"/>
    <w:rsid w:val="00432EED"/>
    <w:rsid w:val="0044643C"/>
    <w:rsid w:val="004523E5"/>
    <w:rsid w:val="004561F6"/>
    <w:rsid w:val="004575CD"/>
    <w:rsid w:val="0046353E"/>
    <w:rsid w:val="00473152"/>
    <w:rsid w:val="004914DB"/>
    <w:rsid w:val="0049469C"/>
    <w:rsid w:val="004A1210"/>
    <w:rsid w:val="004A4107"/>
    <w:rsid w:val="004A6937"/>
    <w:rsid w:val="004B143B"/>
    <w:rsid w:val="004C2DAC"/>
    <w:rsid w:val="004C3CCF"/>
    <w:rsid w:val="004D11BB"/>
    <w:rsid w:val="004D4B02"/>
    <w:rsid w:val="004F2B6C"/>
    <w:rsid w:val="004F4A5D"/>
    <w:rsid w:val="004F55FC"/>
    <w:rsid w:val="00507F63"/>
    <w:rsid w:val="005114CD"/>
    <w:rsid w:val="00513FBA"/>
    <w:rsid w:val="0052664D"/>
    <w:rsid w:val="0053128B"/>
    <w:rsid w:val="00533E1B"/>
    <w:rsid w:val="00543305"/>
    <w:rsid w:val="005445F5"/>
    <w:rsid w:val="00562D66"/>
    <w:rsid w:val="00565297"/>
    <w:rsid w:val="005839F5"/>
    <w:rsid w:val="005841A3"/>
    <w:rsid w:val="00586AB0"/>
    <w:rsid w:val="00587F6A"/>
    <w:rsid w:val="00590094"/>
    <w:rsid w:val="00590208"/>
    <w:rsid w:val="005978B8"/>
    <w:rsid w:val="005A1BCA"/>
    <w:rsid w:val="005A6AD7"/>
    <w:rsid w:val="005B37E3"/>
    <w:rsid w:val="005B4595"/>
    <w:rsid w:val="005B4BF0"/>
    <w:rsid w:val="005B55AC"/>
    <w:rsid w:val="005B6123"/>
    <w:rsid w:val="005B7952"/>
    <w:rsid w:val="005C0D11"/>
    <w:rsid w:val="005C6999"/>
    <w:rsid w:val="005D6956"/>
    <w:rsid w:val="005D76D0"/>
    <w:rsid w:val="005E1706"/>
    <w:rsid w:val="005E2633"/>
    <w:rsid w:val="006017D6"/>
    <w:rsid w:val="00601E1A"/>
    <w:rsid w:val="006139C4"/>
    <w:rsid w:val="00615609"/>
    <w:rsid w:val="0062025D"/>
    <w:rsid w:val="00622C51"/>
    <w:rsid w:val="00622CFD"/>
    <w:rsid w:val="00627061"/>
    <w:rsid w:val="0063081D"/>
    <w:rsid w:val="00630FA6"/>
    <w:rsid w:val="00633381"/>
    <w:rsid w:val="006364F2"/>
    <w:rsid w:val="00637038"/>
    <w:rsid w:val="00643A33"/>
    <w:rsid w:val="0065021A"/>
    <w:rsid w:val="00651F36"/>
    <w:rsid w:val="006555DD"/>
    <w:rsid w:val="0066615A"/>
    <w:rsid w:val="006726E0"/>
    <w:rsid w:val="00677480"/>
    <w:rsid w:val="00687211"/>
    <w:rsid w:val="00690C7A"/>
    <w:rsid w:val="00691884"/>
    <w:rsid w:val="0069765E"/>
    <w:rsid w:val="006A05AF"/>
    <w:rsid w:val="006A1B6A"/>
    <w:rsid w:val="006B415A"/>
    <w:rsid w:val="006B7B02"/>
    <w:rsid w:val="006C7BB1"/>
    <w:rsid w:val="006D0EB1"/>
    <w:rsid w:val="006D5B34"/>
    <w:rsid w:val="006D5F17"/>
    <w:rsid w:val="006E3DFD"/>
    <w:rsid w:val="006F1C9C"/>
    <w:rsid w:val="006F29C4"/>
    <w:rsid w:val="006F7643"/>
    <w:rsid w:val="007002D9"/>
    <w:rsid w:val="00703F23"/>
    <w:rsid w:val="00705B63"/>
    <w:rsid w:val="00707759"/>
    <w:rsid w:val="0072061B"/>
    <w:rsid w:val="007276CB"/>
    <w:rsid w:val="007328AA"/>
    <w:rsid w:val="00743CD2"/>
    <w:rsid w:val="00750EAB"/>
    <w:rsid w:val="007614AC"/>
    <w:rsid w:val="007718C6"/>
    <w:rsid w:val="0077224B"/>
    <w:rsid w:val="00774BFA"/>
    <w:rsid w:val="00780AB7"/>
    <w:rsid w:val="00790A89"/>
    <w:rsid w:val="007942F4"/>
    <w:rsid w:val="007A180F"/>
    <w:rsid w:val="007A76E3"/>
    <w:rsid w:val="007B1165"/>
    <w:rsid w:val="007B30B4"/>
    <w:rsid w:val="007B4C3F"/>
    <w:rsid w:val="007C3789"/>
    <w:rsid w:val="007C3D18"/>
    <w:rsid w:val="007C48E3"/>
    <w:rsid w:val="007C60DE"/>
    <w:rsid w:val="007C6146"/>
    <w:rsid w:val="007D1B32"/>
    <w:rsid w:val="007D6CD9"/>
    <w:rsid w:val="007E0003"/>
    <w:rsid w:val="007E556F"/>
    <w:rsid w:val="007F3E49"/>
    <w:rsid w:val="0080490D"/>
    <w:rsid w:val="00804BD5"/>
    <w:rsid w:val="00804DE4"/>
    <w:rsid w:val="008206D0"/>
    <w:rsid w:val="00823D01"/>
    <w:rsid w:val="008250DE"/>
    <w:rsid w:val="00827A8F"/>
    <w:rsid w:val="008324A0"/>
    <w:rsid w:val="00837FAC"/>
    <w:rsid w:val="008431D3"/>
    <w:rsid w:val="008534E5"/>
    <w:rsid w:val="00855380"/>
    <w:rsid w:val="00863245"/>
    <w:rsid w:val="00865BC6"/>
    <w:rsid w:val="00867E8E"/>
    <w:rsid w:val="00871ECC"/>
    <w:rsid w:val="00876EBC"/>
    <w:rsid w:val="00882EBD"/>
    <w:rsid w:val="00885B40"/>
    <w:rsid w:val="0089250B"/>
    <w:rsid w:val="008950FE"/>
    <w:rsid w:val="00895FCF"/>
    <w:rsid w:val="00897A9D"/>
    <w:rsid w:val="008B18A0"/>
    <w:rsid w:val="008B27FB"/>
    <w:rsid w:val="008B4B8F"/>
    <w:rsid w:val="008B58AC"/>
    <w:rsid w:val="008B741F"/>
    <w:rsid w:val="008C027A"/>
    <w:rsid w:val="008C1D2A"/>
    <w:rsid w:val="008C46C8"/>
    <w:rsid w:val="008C67F4"/>
    <w:rsid w:val="008D2F49"/>
    <w:rsid w:val="008D570A"/>
    <w:rsid w:val="008E3189"/>
    <w:rsid w:val="008F0280"/>
    <w:rsid w:val="008F1A39"/>
    <w:rsid w:val="008F2CFF"/>
    <w:rsid w:val="008F3912"/>
    <w:rsid w:val="008F63AD"/>
    <w:rsid w:val="00906893"/>
    <w:rsid w:val="0091193C"/>
    <w:rsid w:val="0092325E"/>
    <w:rsid w:val="00940F7C"/>
    <w:rsid w:val="009413A3"/>
    <w:rsid w:val="00943CF7"/>
    <w:rsid w:val="00963367"/>
    <w:rsid w:val="00965EAE"/>
    <w:rsid w:val="00970EF0"/>
    <w:rsid w:val="009955CA"/>
    <w:rsid w:val="00996753"/>
    <w:rsid w:val="009A34A7"/>
    <w:rsid w:val="009A6FE9"/>
    <w:rsid w:val="009B64F6"/>
    <w:rsid w:val="009C17C6"/>
    <w:rsid w:val="009C6013"/>
    <w:rsid w:val="009C70D1"/>
    <w:rsid w:val="009D2DAA"/>
    <w:rsid w:val="009D5683"/>
    <w:rsid w:val="009E3C92"/>
    <w:rsid w:val="009F5E4D"/>
    <w:rsid w:val="00A03FF6"/>
    <w:rsid w:val="00A06A5F"/>
    <w:rsid w:val="00A07BC9"/>
    <w:rsid w:val="00A136BA"/>
    <w:rsid w:val="00A31DAD"/>
    <w:rsid w:val="00A41632"/>
    <w:rsid w:val="00A44791"/>
    <w:rsid w:val="00A5109B"/>
    <w:rsid w:val="00A52F30"/>
    <w:rsid w:val="00A57596"/>
    <w:rsid w:val="00A62B73"/>
    <w:rsid w:val="00A644DC"/>
    <w:rsid w:val="00A656BE"/>
    <w:rsid w:val="00A6713B"/>
    <w:rsid w:val="00A7095B"/>
    <w:rsid w:val="00A7391B"/>
    <w:rsid w:val="00A747DF"/>
    <w:rsid w:val="00A80CB0"/>
    <w:rsid w:val="00A81C51"/>
    <w:rsid w:val="00A83BE0"/>
    <w:rsid w:val="00A97D70"/>
    <w:rsid w:val="00AB40C8"/>
    <w:rsid w:val="00AC6DD6"/>
    <w:rsid w:val="00AC7277"/>
    <w:rsid w:val="00AC76C9"/>
    <w:rsid w:val="00AD3A09"/>
    <w:rsid w:val="00AE09CC"/>
    <w:rsid w:val="00AE3BEF"/>
    <w:rsid w:val="00AE5C21"/>
    <w:rsid w:val="00AE6E7E"/>
    <w:rsid w:val="00B06C95"/>
    <w:rsid w:val="00B10A42"/>
    <w:rsid w:val="00B161D3"/>
    <w:rsid w:val="00B2287F"/>
    <w:rsid w:val="00B306A5"/>
    <w:rsid w:val="00B318EF"/>
    <w:rsid w:val="00B36D64"/>
    <w:rsid w:val="00B42F3D"/>
    <w:rsid w:val="00B516CB"/>
    <w:rsid w:val="00B53E6C"/>
    <w:rsid w:val="00B541EF"/>
    <w:rsid w:val="00B56783"/>
    <w:rsid w:val="00B62825"/>
    <w:rsid w:val="00B63392"/>
    <w:rsid w:val="00B641FD"/>
    <w:rsid w:val="00B7558D"/>
    <w:rsid w:val="00B76ECC"/>
    <w:rsid w:val="00B91F5B"/>
    <w:rsid w:val="00BA4F14"/>
    <w:rsid w:val="00BA6751"/>
    <w:rsid w:val="00BB0085"/>
    <w:rsid w:val="00BC0989"/>
    <w:rsid w:val="00BC1550"/>
    <w:rsid w:val="00BC7B87"/>
    <w:rsid w:val="00BD044B"/>
    <w:rsid w:val="00BD2790"/>
    <w:rsid w:val="00BE00B1"/>
    <w:rsid w:val="00BE0EED"/>
    <w:rsid w:val="00BF2AC6"/>
    <w:rsid w:val="00BF603E"/>
    <w:rsid w:val="00BF6A58"/>
    <w:rsid w:val="00C01B19"/>
    <w:rsid w:val="00C036D6"/>
    <w:rsid w:val="00C038FE"/>
    <w:rsid w:val="00C051EE"/>
    <w:rsid w:val="00C05792"/>
    <w:rsid w:val="00C0724F"/>
    <w:rsid w:val="00C15B17"/>
    <w:rsid w:val="00C15CD5"/>
    <w:rsid w:val="00C165F4"/>
    <w:rsid w:val="00C24E88"/>
    <w:rsid w:val="00C253D9"/>
    <w:rsid w:val="00C260C1"/>
    <w:rsid w:val="00C3257E"/>
    <w:rsid w:val="00C35DFE"/>
    <w:rsid w:val="00C500E8"/>
    <w:rsid w:val="00C51214"/>
    <w:rsid w:val="00C515F1"/>
    <w:rsid w:val="00C64711"/>
    <w:rsid w:val="00C71E0C"/>
    <w:rsid w:val="00C73F21"/>
    <w:rsid w:val="00C93138"/>
    <w:rsid w:val="00C93874"/>
    <w:rsid w:val="00C95507"/>
    <w:rsid w:val="00CA05E7"/>
    <w:rsid w:val="00CA4DB0"/>
    <w:rsid w:val="00CA5C16"/>
    <w:rsid w:val="00CC1830"/>
    <w:rsid w:val="00CC27F0"/>
    <w:rsid w:val="00CC6701"/>
    <w:rsid w:val="00CE2BF6"/>
    <w:rsid w:val="00CE311C"/>
    <w:rsid w:val="00CE5AD1"/>
    <w:rsid w:val="00CF09B9"/>
    <w:rsid w:val="00CF13D7"/>
    <w:rsid w:val="00CF5DAF"/>
    <w:rsid w:val="00D105AF"/>
    <w:rsid w:val="00D11961"/>
    <w:rsid w:val="00D15234"/>
    <w:rsid w:val="00D159F1"/>
    <w:rsid w:val="00D172E2"/>
    <w:rsid w:val="00D20A01"/>
    <w:rsid w:val="00D21B68"/>
    <w:rsid w:val="00D232D2"/>
    <w:rsid w:val="00D26244"/>
    <w:rsid w:val="00D26DBF"/>
    <w:rsid w:val="00D341FD"/>
    <w:rsid w:val="00D34471"/>
    <w:rsid w:val="00D34A33"/>
    <w:rsid w:val="00D3615F"/>
    <w:rsid w:val="00D406DE"/>
    <w:rsid w:val="00D41DAA"/>
    <w:rsid w:val="00D433F3"/>
    <w:rsid w:val="00D517DB"/>
    <w:rsid w:val="00D6476F"/>
    <w:rsid w:val="00D6613A"/>
    <w:rsid w:val="00D706B5"/>
    <w:rsid w:val="00D81EAF"/>
    <w:rsid w:val="00D84BA2"/>
    <w:rsid w:val="00D85AF2"/>
    <w:rsid w:val="00D90E2C"/>
    <w:rsid w:val="00D96FF4"/>
    <w:rsid w:val="00D972CA"/>
    <w:rsid w:val="00DA1B06"/>
    <w:rsid w:val="00DA3DB3"/>
    <w:rsid w:val="00DC13E5"/>
    <w:rsid w:val="00DC16A6"/>
    <w:rsid w:val="00DC49DF"/>
    <w:rsid w:val="00DC7823"/>
    <w:rsid w:val="00DD1361"/>
    <w:rsid w:val="00DD4AC4"/>
    <w:rsid w:val="00DF6423"/>
    <w:rsid w:val="00E00594"/>
    <w:rsid w:val="00E0612D"/>
    <w:rsid w:val="00E11464"/>
    <w:rsid w:val="00E20781"/>
    <w:rsid w:val="00E425A1"/>
    <w:rsid w:val="00E42829"/>
    <w:rsid w:val="00E448D9"/>
    <w:rsid w:val="00E456C1"/>
    <w:rsid w:val="00E47721"/>
    <w:rsid w:val="00E77D85"/>
    <w:rsid w:val="00E87A78"/>
    <w:rsid w:val="00E90D0D"/>
    <w:rsid w:val="00EB14B2"/>
    <w:rsid w:val="00EB22D9"/>
    <w:rsid w:val="00EB2D2B"/>
    <w:rsid w:val="00EB62E3"/>
    <w:rsid w:val="00EC0A6E"/>
    <w:rsid w:val="00EE2025"/>
    <w:rsid w:val="00EE6956"/>
    <w:rsid w:val="00EF6AEF"/>
    <w:rsid w:val="00F0175E"/>
    <w:rsid w:val="00F14DF7"/>
    <w:rsid w:val="00F179C2"/>
    <w:rsid w:val="00F214CD"/>
    <w:rsid w:val="00F229D9"/>
    <w:rsid w:val="00F27C2E"/>
    <w:rsid w:val="00F302D5"/>
    <w:rsid w:val="00F32CB8"/>
    <w:rsid w:val="00F340D0"/>
    <w:rsid w:val="00F542E4"/>
    <w:rsid w:val="00F55D07"/>
    <w:rsid w:val="00F56CF5"/>
    <w:rsid w:val="00F57369"/>
    <w:rsid w:val="00F70CA7"/>
    <w:rsid w:val="00F71553"/>
    <w:rsid w:val="00F740C3"/>
    <w:rsid w:val="00F75341"/>
    <w:rsid w:val="00F80B40"/>
    <w:rsid w:val="00F85411"/>
    <w:rsid w:val="00F87C48"/>
    <w:rsid w:val="00F93EE2"/>
    <w:rsid w:val="00F94A55"/>
    <w:rsid w:val="00FA432B"/>
    <w:rsid w:val="00FA73EB"/>
    <w:rsid w:val="00FB0864"/>
    <w:rsid w:val="00FB19DB"/>
    <w:rsid w:val="00FB3E0E"/>
    <w:rsid w:val="00FB5338"/>
    <w:rsid w:val="00FE3D97"/>
    <w:rsid w:val="00FF35B4"/>
    <w:rsid w:val="00FF44A8"/>
    <w:rsid w:val="018E79D1"/>
    <w:rsid w:val="01E461EC"/>
    <w:rsid w:val="028130F9"/>
    <w:rsid w:val="02921956"/>
    <w:rsid w:val="03126D81"/>
    <w:rsid w:val="034321D6"/>
    <w:rsid w:val="034F1A99"/>
    <w:rsid w:val="037E7D41"/>
    <w:rsid w:val="038A1E69"/>
    <w:rsid w:val="03B66504"/>
    <w:rsid w:val="04065340"/>
    <w:rsid w:val="04137DFA"/>
    <w:rsid w:val="05E11D32"/>
    <w:rsid w:val="05FB7B8F"/>
    <w:rsid w:val="06EE06AA"/>
    <w:rsid w:val="071A4FFB"/>
    <w:rsid w:val="076F3599"/>
    <w:rsid w:val="07FF58E5"/>
    <w:rsid w:val="08397703"/>
    <w:rsid w:val="08AF79C5"/>
    <w:rsid w:val="08F0070A"/>
    <w:rsid w:val="09F61D50"/>
    <w:rsid w:val="0A105BB1"/>
    <w:rsid w:val="0A635827"/>
    <w:rsid w:val="0A7333A0"/>
    <w:rsid w:val="0AB067D0"/>
    <w:rsid w:val="0ABA32CD"/>
    <w:rsid w:val="0AC668C4"/>
    <w:rsid w:val="0AC92FC0"/>
    <w:rsid w:val="0B2E5519"/>
    <w:rsid w:val="0B674587"/>
    <w:rsid w:val="0B9E3927"/>
    <w:rsid w:val="0BB7550F"/>
    <w:rsid w:val="0BD0037E"/>
    <w:rsid w:val="0CBE467B"/>
    <w:rsid w:val="0CC021A1"/>
    <w:rsid w:val="0CCE2B10"/>
    <w:rsid w:val="0CF71BB6"/>
    <w:rsid w:val="0E2D7D0A"/>
    <w:rsid w:val="10392996"/>
    <w:rsid w:val="104430E9"/>
    <w:rsid w:val="10582315"/>
    <w:rsid w:val="10EA0134"/>
    <w:rsid w:val="110C2FB3"/>
    <w:rsid w:val="117C585D"/>
    <w:rsid w:val="126B39CE"/>
    <w:rsid w:val="131F376E"/>
    <w:rsid w:val="13837789"/>
    <w:rsid w:val="138E4DA7"/>
    <w:rsid w:val="13EB3FA7"/>
    <w:rsid w:val="13F617A7"/>
    <w:rsid w:val="143C1C0B"/>
    <w:rsid w:val="14F25809"/>
    <w:rsid w:val="15001CD4"/>
    <w:rsid w:val="156C1118"/>
    <w:rsid w:val="15C251DC"/>
    <w:rsid w:val="15E0651D"/>
    <w:rsid w:val="15EB4733"/>
    <w:rsid w:val="1644258F"/>
    <w:rsid w:val="168F3833"/>
    <w:rsid w:val="16E15B36"/>
    <w:rsid w:val="178579C1"/>
    <w:rsid w:val="182A4579"/>
    <w:rsid w:val="18461C09"/>
    <w:rsid w:val="19E005B3"/>
    <w:rsid w:val="1A312930"/>
    <w:rsid w:val="1A43097D"/>
    <w:rsid w:val="1B245FF1"/>
    <w:rsid w:val="1B3B0DC7"/>
    <w:rsid w:val="1CAB61AD"/>
    <w:rsid w:val="1CCE39BD"/>
    <w:rsid w:val="1D1A02EF"/>
    <w:rsid w:val="1DAF24EA"/>
    <w:rsid w:val="1E4A2212"/>
    <w:rsid w:val="1E876FC3"/>
    <w:rsid w:val="1E9F35DC"/>
    <w:rsid w:val="1EB47F43"/>
    <w:rsid w:val="1EE8001A"/>
    <w:rsid w:val="1F845C8A"/>
    <w:rsid w:val="1FCF12B9"/>
    <w:rsid w:val="204A0C14"/>
    <w:rsid w:val="204C04C4"/>
    <w:rsid w:val="20A25FB6"/>
    <w:rsid w:val="20E3151B"/>
    <w:rsid w:val="20E97FF5"/>
    <w:rsid w:val="21A34113"/>
    <w:rsid w:val="21AE22B3"/>
    <w:rsid w:val="21C62001"/>
    <w:rsid w:val="221E379A"/>
    <w:rsid w:val="22E66A75"/>
    <w:rsid w:val="233D5EA2"/>
    <w:rsid w:val="23454BFB"/>
    <w:rsid w:val="235229D8"/>
    <w:rsid w:val="23627FFE"/>
    <w:rsid w:val="239A3F95"/>
    <w:rsid w:val="23DC1928"/>
    <w:rsid w:val="23F87E1D"/>
    <w:rsid w:val="24182F4A"/>
    <w:rsid w:val="253B75C0"/>
    <w:rsid w:val="257A0B00"/>
    <w:rsid w:val="259A582D"/>
    <w:rsid w:val="25BF7732"/>
    <w:rsid w:val="25C45DCC"/>
    <w:rsid w:val="272C4530"/>
    <w:rsid w:val="27B2542E"/>
    <w:rsid w:val="284512D8"/>
    <w:rsid w:val="284970BE"/>
    <w:rsid w:val="29216630"/>
    <w:rsid w:val="2971584D"/>
    <w:rsid w:val="2B8E01D9"/>
    <w:rsid w:val="2C163734"/>
    <w:rsid w:val="2C2F6C5B"/>
    <w:rsid w:val="2C732934"/>
    <w:rsid w:val="2D2D6F87"/>
    <w:rsid w:val="2EB53028"/>
    <w:rsid w:val="2ED34F37"/>
    <w:rsid w:val="2F0957D2"/>
    <w:rsid w:val="2FB64805"/>
    <w:rsid w:val="30C64EDF"/>
    <w:rsid w:val="313C4787"/>
    <w:rsid w:val="315A5F63"/>
    <w:rsid w:val="31887AB3"/>
    <w:rsid w:val="3199115A"/>
    <w:rsid w:val="31B373CF"/>
    <w:rsid w:val="31C74AB4"/>
    <w:rsid w:val="31E05C3F"/>
    <w:rsid w:val="3239599B"/>
    <w:rsid w:val="323D48CA"/>
    <w:rsid w:val="3267118D"/>
    <w:rsid w:val="32F26CA9"/>
    <w:rsid w:val="335858DF"/>
    <w:rsid w:val="33774B00"/>
    <w:rsid w:val="337F0EBB"/>
    <w:rsid w:val="338D1533"/>
    <w:rsid w:val="33BD3E8D"/>
    <w:rsid w:val="348A654E"/>
    <w:rsid w:val="34A01C20"/>
    <w:rsid w:val="35137922"/>
    <w:rsid w:val="35B5229C"/>
    <w:rsid w:val="35EF5721"/>
    <w:rsid w:val="37807D45"/>
    <w:rsid w:val="37976071"/>
    <w:rsid w:val="37B02C8E"/>
    <w:rsid w:val="38164395"/>
    <w:rsid w:val="381B2168"/>
    <w:rsid w:val="397E3EE0"/>
    <w:rsid w:val="39BB15AB"/>
    <w:rsid w:val="3AB143E9"/>
    <w:rsid w:val="3B5B1163"/>
    <w:rsid w:val="3B6D1809"/>
    <w:rsid w:val="3B781D15"/>
    <w:rsid w:val="3C0876AB"/>
    <w:rsid w:val="3C286585"/>
    <w:rsid w:val="3C656005"/>
    <w:rsid w:val="3D51281E"/>
    <w:rsid w:val="3D8E3A72"/>
    <w:rsid w:val="3DF77869"/>
    <w:rsid w:val="3EBC3693"/>
    <w:rsid w:val="3F0227F8"/>
    <w:rsid w:val="3FC8440B"/>
    <w:rsid w:val="3FEB51AC"/>
    <w:rsid w:val="40155C7E"/>
    <w:rsid w:val="408A03D2"/>
    <w:rsid w:val="40BD4BD4"/>
    <w:rsid w:val="40BE2FFC"/>
    <w:rsid w:val="41033FED"/>
    <w:rsid w:val="41927100"/>
    <w:rsid w:val="41B2577E"/>
    <w:rsid w:val="421B33FA"/>
    <w:rsid w:val="42294FF0"/>
    <w:rsid w:val="429A07C3"/>
    <w:rsid w:val="42BF4E51"/>
    <w:rsid w:val="431E13F4"/>
    <w:rsid w:val="4326474D"/>
    <w:rsid w:val="43296A35"/>
    <w:rsid w:val="436865A2"/>
    <w:rsid w:val="43F851E1"/>
    <w:rsid w:val="44A04633"/>
    <w:rsid w:val="451D72EC"/>
    <w:rsid w:val="454B049A"/>
    <w:rsid w:val="45D63A33"/>
    <w:rsid w:val="45F813BF"/>
    <w:rsid w:val="46623CEE"/>
    <w:rsid w:val="469B0FAE"/>
    <w:rsid w:val="46B1432D"/>
    <w:rsid w:val="46C56F49"/>
    <w:rsid w:val="4717258D"/>
    <w:rsid w:val="47405F0D"/>
    <w:rsid w:val="47411B55"/>
    <w:rsid w:val="479954ED"/>
    <w:rsid w:val="47C3064B"/>
    <w:rsid w:val="47D54E16"/>
    <w:rsid w:val="47DB3DAD"/>
    <w:rsid w:val="491737F8"/>
    <w:rsid w:val="4970793B"/>
    <w:rsid w:val="49795019"/>
    <w:rsid w:val="49883A05"/>
    <w:rsid w:val="4994021E"/>
    <w:rsid w:val="49C23456"/>
    <w:rsid w:val="4A635BBB"/>
    <w:rsid w:val="4ACF53D6"/>
    <w:rsid w:val="4ADF76BB"/>
    <w:rsid w:val="4AF3760A"/>
    <w:rsid w:val="4B06354E"/>
    <w:rsid w:val="4B484601"/>
    <w:rsid w:val="4B644064"/>
    <w:rsid w:val="4BC95DE3"/>
    <w:rsid w:val="4BD14343"/>
    <w:rsid w:val="4BE218A0"/>
    <w:rsid w:val="4C2630C7"/>
    <w:rsid w:val="4C406A42"/>
    <w:rsid w:val="4C975D73"/>
    <w:rsid w:val="4CEE418A"/>
    <w:rsid w:val="4CFB211F"/>
    <w:rsid w:val="4E5263F6"/>
    <w:rsid w:val="4E710F72"/>
    <w:rsid w:val="4E8D1FA1"/>
    <w:rsid w:val="4F102F31"/>
    <w:rsid w:val="4F2D0697"/>
    <w:rsid w:val="4FEE214E"/>
    <w:rsid w:val="501D04CE"/>
    <w:rsid w:val="5043693E"/>
    <w:rsid w:val="51EE6435"/>
    <w:rsid w:val="5200299A"/>
    <w:rsid w:val="52342BF7"/>
    <w:rsid w:val="52A03BD4"/>
    <w:rsid w:val="53195734"/>
    <w:rsid w:val="532A16EF"/>
    <w:rsid w:val="53536ED0"/>
    <w:rsid w:val="536E4C0A"/>
    <w:rsid w:val="53B27C58"/>
    <w:rsid w:val="541F4CBA"/>
    <w:rsid w:val="54AD6A7C"/>
    <w:rsid w:val="54E35FFA"/>
    <w:rsid w:val="54FB51DA"/>
    <w:rsid w:val="553857AD"/>
    <w:rsid w:val="558B13B2"/>
    <w:rsid w:val="5662719C"/>
    <w:rsid w:val="5685552E"/>
    <w:rsid w:val="56D93B58"/>
    <w:rsid w:val="58964AAD"/>
    <w:rsid w:val="58AE63FA"/>
    <w:rsid w:val="5979517E"/>
    <w:rsid w:val="59E44380"/>
    <w:rsid w:val="5A281AE1"/>
    <w:rsid w:val="5A624D10"/>
    <w:rsid w:val="5ACC12DE"/>
    <w:rsid w:val="5AD07876"/>
    <w:rsid w:val="5BCE57BB"/>
    <w:rsid w:val="5BFD3E45"/>
    <w:rsid w:val="5C6C0922"/>
    <w:rsid w:val="5C843150"/>
    <w:rsid w:val="5D506DDA"/>
    <w:rsid w:val="5E631F59"/>
    <w:rsid w:val="5E8D3FB3"/>
    <w:rsid w:val="5F5B0FFC"/>
    <w:rsid w:val="5F724D3E"/>
    <w:rsid w:val="5F977ABF"/>
    <w:rsid w:val="601F4F1B"/>
    <w:rsid w:val="60DC7163"/>
    <w:rsid w:val="61F25ACE"/>
    <w:rsid w:val="62361E5F"/>
    <w:rsid w:val="624A76B8"/>
    <w:rsid w:val="62775FD3"/>
    <w:rsid w:val="62E70F5B"/>
    <w:rsid w:val="631F430C"/>
    <w:rsid w:val="63683E26"/>
    <w:rsid w:val="63DC64F9"/>
    <w:rsid w:val="64C319A4"/>
    <w:rsid w:val="64DF660A"/>
    <w:rsid w:val="65166422"/>
    <w:rsid w:val="65AC5C01"/>
    <w:rsid w:val="67592B2E"/>
    <w:rsid w:val="67DC2FF0"/>
    <w:rsid w:val="67F31335"/>
    <w:rsid w:val="6821251A"/>
    <w:rsid w:val="683B7D82"/>
    <w:rsid w:val="68AA7102"/>
    <w:rsid w:val="69014CB8"/>
    <w:rsid w:val="690C4557"/>
    <w:rsid w:val="694240A7"/>
    <w:rsid w:val="69BE3E7E"/>
    <w:rsid w:val="6ADA0C61"/>
    <w:rsid w:val="6B033D5F"/>
    <w:rsid w:val="6B3B5FB2"/>
    <w:rsid w:val="6BAA5389"/>
    <w:rsid w:val="6C2F6884"/>
    <w:rsid w:val="6C9F4AA4"/>
    <w:rsid w:val="6CB15FBE"/>
    <w:rsid w:val="6CFF4E40"/>
    <w:rsid w:val="6D233CCC"/>
    <w:rsid w:val="6D716441"/>
    <w:rsid w:val="6D7A79CA"/>
    <w:rsid w:val="6EF10021"/>
    <w:rsid w:val="6FF9E366"/>
    <w:rsid w:val="70A408DB"/>
    <w:rsid w:val="71414DC4"/>
    <w:rsid w:val="718A5D23"/>
    <w:rsid w:val="72463CE8"/>
    <w:rsid w:val="725C51B7"/>
    <w:rsid w:val="74225BD5"/>
    <w:rsid w:val="74A548ED"/>
    <w:rsid w:val="750722DF"/>
    <w:rsid w:val="75856CF0"/>
    <w:rsid w:val="764A76DD"/>
    <w:rsid w:val="76B77337"/>
    <w:rsid w:val="771F0CBB"/>
    <w:rsid w:val="77485275"/>
    <w:rsid w:val="7775656E"/>
    <w:rsid w:val="77C25197"/>
    <w:rsid w:val="77CC4815"/>
    <w:rsid w:val="78236589"/>
    <w:rsid w:val="78393FFF"/>
    <w:rsid w:val="7869130D"/>
    <w:rsid w:val="78760DAF"/>
    <w:rsid w:val="787C6C5D"/>
    <w:rsid w:val="78B06666"/>
    <w:rsid w:val="79F96A09"/>
    <w:rsid w:val="7A4138AF"/>
    <w:rsid w:val="7A886A8A"/>
    <w:rsid w:val="7A8F7F06"/>
    <w:rsid w:val="7AA02113"/>
    <w:rsid w:val="7BA75723"/>
    <w:rsid w:val="7BE6705F"/>
    <w:rsid w:val="7C377F63"/>
    <w:rsid w:val="7C6D0F22"/>
    <w:rsid w:val="7C9020F0"/>
    <w:rsid w:val="7CEC5AE4"/>
    <w:rsid w:val="7D644FF4"/>
    <w:rsid w:val="7E8F153A"/>
    <w:rsid w:val="7E9C4214"/>
    <w:rsid w:val="7EAB19DB"/>
    <w:rsid w:val="7EF42A2E"/>
    <w:rsid w:val="7EF50554"/>
    <w:rsid w:val="7F002A43"/>
    <w:rsid w:val="7F7D6EC7"/>
    <w:rsid w:val="7F9D4713"/>
    <w:rsid w:val="CEEFA1B1"/>
    <w:rsid w:val="F6633EF2"/>
    <w:rsid w:val="FFFD3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annotation text"/>
    <w:basedOn w:val="1"/>
    <w:link w:val="26"/>
    <w:semiHidden/>
    <w:unhideWhenUsed/>
    <w:qFormat/>
    <w:uiPriority w:val="99"/>
    <w:pPr>
      <w:jc w:val="left"/>
    </w:pPr>
  </w:style>
  <w:style w:type="paragraph" w:styleId="7">
    <w:name w:val="Balloon Text"/>
    <w:basedOn w:val="1"/>
    <w:link w:val="23"/>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Title"/>
    <w:basedOn w:val="1"/>
    <w:next w:val="1"/>
    <w:link w:val="25"/>
    <w:qFormat/>
    <w:uiPriority w:val="10"/>
    <w:pPr>
      <w:spacing w:before="120" w:after="120"/>
      <w:ind w:firstLine="200" w:firstLineChars="200"/>
      <w:jc w:val="left"/>
      <w:outlineLvl w:val="0"/>
    </w:pPr>
    <w:rPr>
      <w:rFonts w:asciiTheme="majorHAnsi" w:hAnsiTheme="majorHAnsi" w:cstheme="majorBidi"/>
      <w:bCs/>
      <w:szCs w:val="32"/>
    </w:rPr>
  </w:style>
  <w:style w:type="paragraph" w:styleId="12">
    <w:name w:val="annotation subject"/>
    <w:basedOn w:val="6"/>
    <w:next w:val="6"/>
    <w:link w:val="27"/>
    <w:semiHidden/>
    <w:unhideWhenUsed/>
    <w:qFormat/>
    <w:uiPriority w:val="99"/>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basedOn w:val="15"/>
    <w:qFormat/>
    <w:uiPriority w:val="20"/>
    <w:rPr>
      <w:i/>
    </w:rPr>
  </w:style>
  <w:style w:type="character" w:styleId="17">
    <w:name w:val="Hyperlink"/>
    <w:basedOn w:val="15"/>
    <w:semiHidden/>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character" w:customStyle="1" w:styleId="19">
    <w:name w:val="页脚 字符"/>
    <w:basedOn w:val="15"/>
    <w:link w:val="8"/>
    <w:qFormat/>
    <w:uiPriority w:val="99"/>
    <w:rPr>
      <w:sz w:val="18"/>
      <w:szCs w:val="18"/>
    </w:rPr>
  </w:style>
  <w:style w:type="paragraph" w:customStyle="1" w:styleId="20">
    <w:name w:val="Default"/>
    <w:qFormat/>
    <w:uiPriority w:val="0"/>
    <w:pPr>
      <w:widowControl w:val="0"/>
      <w:autoSpaceDE w:val="0"/>
      <w:autoSpaceDN w:val="0"/>
      <w:adjustRightInd w:val="0"/>
    </w:pPr>
    <w:rPr>
      <w:rFonts w:ascii="Calibri" w:hAnsi="Calibri" w:cs="Calibri" w:eastAsiaTheme="minorEastAsia"/>
      <w:color w:val="000000"/>
      <w:sz w:val="24"/>
      <w:szCs w:val="24"/>
      <w:lang w:val="en-US" w:eastAsia="zh-CN" w:bidi="ar-SA"/>
    </w:rPr>
  </w:style>
  <w:style w:type="table" w:customStyle="1" w:styleId="21">
    <w:name w:val="网格型1"/>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页眉 字符"/>
    <w:basedOn w:val="15"/>
    <w:link w:val="9"/>
    <w:qFormat/>
    <w:uiPriority w:val="99"/>
    <w:rPr>
      <w:sz w:val="18"/>
      <w:szCs w:val="18"/>
    </w:rPr>
  </w:style>
  <w:style w:type="character" w:customStyle="1" w:styleId="23">
    <w:name w:val="批注框文本 字符"/>
    <w:basedOn w:val="15"/>
    <w:link w:val="7"/>
    <w:semiHidden/>
    <w:qFormat/>
    <w:uiPriority w:val="99"/>
    <w:rPr>
      <w:sz w:val="18"/>
      <w:szCs w:val="18"/>
    </w:rPr>
  </w:style>
  <w:style w:type="paragraph" w:customStyle="1" w:styleId="24">
    <w:name w:val="列出段落1"/>
    <w:basedOn w:val="1"/>
    <w:qFormat/>
    <w:uiPriority w:val="34"/>
    <w:pPr>
      <w:ind w:firstLine="420" w:firstLineChars="200"/>
    </w:pPr>
  </w:style>
  <w:style w:type="character" w:customStyle="1" w:styleId="25">
    <w:name w:val="标题 字符"/>
    <w:basedOn w:val="15"/>
    <w:link w:val="11"/>
    <w:qFormat/>
    <w:uiPriority w:val="10"/>
    <w:rPr>
      <w:rFonts w:asciiTheme="majorHAnsi" w:hAnsiTheme="majorHAnsi" w:cstheme="majorBidi"/>
      <w:bCs/>
      <w:szCs w:val="32"/>
    </w:rPr>
  </w:style>
  <w:style w:type="character" w:customStyle="1" w:styleId="26">
    <w:name w:val="批注文字 字符"/>
    <w:basedOn w:val="15"/>
    <w:link w:val="6"/>
    <w:semiHidden/>
    <w:qFormat/>
    <w:uiPriority w:val="99"/>
    <w:rPr>
      <w:kern w:val="2"/>
      <w:sz w:val="21"/>
      <w:szCs w:val="22"/>
    </w:rPr>
  </w:style>
  <w:style w:type="character" w:customStyle="1" w:styleId="27">
    <w:name w:val="批注主题 字符"/>
    <w:basedOn w:val="26"/>
    <w:link w:val="12"/>
    <w:semiHidden/>
    <w:qFormat/>
    <w:uiPriority w:val="99"/>
    <w:rPr>
      <w:b/>
      <w:bCs/>
      <w:kern w:val="2"/>
      <w:sz w:val="21"/>
      <w:szCs w:val="22"/>
    </w:rPr>
  </w:style>
  <w:style w:type="paragraph" w:customStyle="1" w:styleId="28">
    <w:name w:val="61"/>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 w:type="character" w:customStyle="1" w:styleId="29">
    <w:name w:val="_Style 1011"/>
    <w:basedOn w:val="15"/>
    <w:qFormat/>
    <w:uiPriority w:val="0"/>
    <w:rPr>
      <w:rFonts w:hint="default" w:ascii="Calibri" w:hAnsi="Calibri" w:cs="Calibri"/>
      <w:kern w:val="2"/>
      <w:sz w:val="21"/>
      <w:szCs w:val="21"/>
    </w:rPr>
  </w:style>
  <w:style w:type="paragraph" w:styleId="30">
    <w:name w:val="List Paragraph"/>
    <w:basedOn w:val="1"/>
    <w:qFormat/>
    <w:uiPriority w:val="34"/>
    <w:pPr>
      <w:widowControl w:val="0"/>
      <w:ind w:firstLine="420" w:firstLineChars="200"/>
      <w:jc w:val="both"/>
    </w:pPr>
    <w:rPr>
      <w:rFonts w:ascii="Calibri" w:hAnsi="Calibri"/>
      <w:kern w:val="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a16ce497-df9c-45f5-a2da-de96db1286f4</errorID>
      <errorWord>-</errorWord>
      <group>L1_Format</group>
      <groupName>格式问题</groupName>
      <ability>L2_HalfPunc</ability>
      <abilityName>全半角检查</abilityName>
      <candidateList>
        <item>－</item>
      </candidateList>
      <explain>文本全半角错误。</explain>
      <paraID>6EEF30E1</paraID>
      <start>147</start>
      <end>148</end>
      <status>unmodified</status>
      <modifiedWord/>
      <trackRevisions>false</trackRevisions>
    </reviewItem>
    <reviewItem>
      <errorID>c99934f0-2857-4bb0-bd40-fd162b4810bc</errorID>
      <errorWord>,</errorWord>
      <group>L1_Format</group>
      <groupName>格式问题</groupName>
      <ability>L2_HalfPunc</ability>
      <abilityName>全半角检查</abilityName>
      <candidateList>
        <item>，</item>
      </candidateList>
      <explain>文本全半角错误。</explain>
      <paraID>7D5B073E</paraID>
      <start>7</start>
      <end>8</end>
      <status>unmodified</status>
      <modifiedWord/>
      <trackRevisions>false</trackRevisions>
    </reviewItem>
    <reviewItem>
      <errorID>f3c77741-9494-4e82-b683-73167978c862</errorID>
      <errorWord>-</errorWord>
      <group>L1_Format</group>
      <groupName>格式问题</groupName>
      <ability>L2_HalfPunc</ability>
      <abilityName>全半角检查</abilityName>
      <candidateList>
        <item>－</item>
      </candidateList>
      <explain>文本全半角错误。</explain>
      <paraID>7D5B073E</paraID>
      <start>21</start>
      <end>22</end>
      <status>unmodified</status>
      <modifiedWord/>
      <trackRevisions>false</trackRevisions>
    </reviewItem>
    <reviewItem>
      <errorID>d76a39b3-bc28-4cb7-aabd-ad30cebbe60e</errorID>
      <errorWord>进入到</errorWord>
      <group>L1_Word</group>
      <groupName>字词问题</groupName>
      <ability>L2_Typo</ability>
      <abilityName>字词错误</abilityName>
      <candidateList>
        <item>进入</item>
      </candidateList>
      <explain>〈动〉支进到某个范围或某个时期里：～学校｜～新阶段◇～角色。</explain>
      <paraID>6805EC63</paraID>
      <start>70</start>
      <end>73</end>
      <status>unmodified</status>
      <modifiedWord/>
      <trackRevisions>false</trackRevisions>
    </reviewItem>
    <reviewItem>
      <errorID>ef4fd1df-cfec-43fb-8c16-0ecc24b7bd3f</errorID>
      <errorWord>：</errorWord>
      <group>L1_Word</group>
      <groupName>字词问题</groupName>
      <ability>L2_Typo</ability>
      <abilityName>字词错误</abilityName>
      <candidateList>
        <item>：在</item>
      </candidateList>
      <explain/>
      <paraID>60643196</paraID>
      <start>70</start>
      <end>71</end>
      <status>unmodified</status>
      <modifiedWord/>
      <trackRevisions>false</trackRevisions>
    </reviewItem>
    <reviewItem>
      <errorID>79012575-45f9-44eb-baad-490aa729c2b6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6E92E3C</paraID>
      <start>0</start>
      <end>2</end>
      <status>unmodified</status>
      <modifiedWord/>
      <trackRevisions>false</trackRevisions>
    </reviewItem>
    <reviewItem>
      <errorID>52a02663-1698-463c-9709-9c3bcc3f0e60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589036A8</paraID>
      <start>0</start>
      <end>2</end>
      <status>unmodified</status>
      <modifiedWord/>
      <trackRevisions>false</trackRevisions>
    </reviewItem>
    <reviewItem>
      <errorID>37902ae3-54b4-48f8-bde5-5ab5f1da0c0e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684C868D</paraID>
      <start>0</start>
      <end>2</end>
      <status>unmodified</status>
      <modifiedWord/>
      <trackRevisions>false</trackRevisions>
    </reviewItem>
    <reviewItem>
      <errorID>f77802db-4269-4c92-9e29-f10522ef17d3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5F40A1F6</paraID>
      <start>0</start>
      <end>2</end>
      <status>unmodified</status>
      <modifiedWord/>
      <trackRevisions>false</trackRevisions>
    </reviewItem>
    <reviewItem>
      <errorID>1050e4b4-3825-4162-8547-2e49e2451081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6699E215</paraID>
      <start>0</start>
      <end>2</end>
      <status>unmodified</status>
      <modifiedWord/>
      <trackRevisions>false</trackRevisions>
    </reviewItem>
    <reviewItem>
      <errorID>6e85a300-f7ef-43ae-8d56-0f980d2758f9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4C8E3C28</paraID>
      <start>0</start>
      <end>2</end>
      <status>unmodified</status>
      <modifiedWord/>
      <trackRevisions>false</trackRevisions>
    </reviewItem>
    <reviewItem>
      <errorID>2f161c28-39ed-41e7-a5ef-2282361cfdab</errorID>
      <errorWord>价</errorWord>
      <group>L1_Word</group>
      <groupName>字词问题</groupName>
      <ability>L2_Typo</ability>
      <abilityName>字词错误</abilityName>
      <candidateList>
        <item>价格</item>
      </candidateList>
      <explain/>
      <paraID>301C9E59</paraID>
      <start>101</start>
      <end>102</end>
      <status>unmodified</status>
      <modifiedWord/>
      <trackRevisions>false</trackRevisions>
    </reviewItem>
    <reviewItem>
      <errorID>f1023756-0980-4f9c-aaaa-7b97ce47f031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2893A183</paraID>
      <start>0</start>
      <end>2</end>
      <status>unmodified</status>
      <modifiedWord/>
      <trackRevisions>false</trackRevisions>
    </reviewItem>
    <reviewItem>
      <errorID>01c8d5c0-9d63-4749-8f55-8dccd8c7da90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5B92322D</paraID>
      <start>0</start>
      <end>2</end>
      <status>unmodified</status>
      <modifiedWord/>
      <trackRevisions>false</trackRevisions>
    </reviewItem>
    <reviewItem>
      <errorID>14d67384-a39e-4fe5-a335-d12657689b63</errorID>
      <errorWord>(</errorWord>
      <group>L1_Format</group>
      <groupName>格式问题</groupName>
      <ability>L2_HalfPunc</ability>
      <abilityName>全半角检查</abilityName>
      <candidateList>
        <item>（</item>
      </candidateList>
      <explain>文本全半角错误。</explain>
      <paraID>18FD6C66</paraID>
      <start>20</start>
      <end>21</end>
      <status>unmodified</status>
      <modifiedWord/>
      <trackRevisions>false</trackRevisions>
    </reviewItem>
    <reviewItem>
      <errorID>17ec8dc1-a5c2-42f8-bf21-59291d40b654</errorID>
      <errorWord>)</errorWord>
      <group>L1_Format</group>
      <groupName>格式问题</groupName>
      <ability>L2_HalfPunc</ability>
      <abilityName>全半角检查</abilityName>
      <candidateList>
        <item>）</item>
      </candidateList>
      <explain>文本全半角错误。</explain>
      <paraID>18FD6C66</paraID>
      <start>24</start>
      <end>25</end>
      <status>unmodified</status>
      <modifiedWord/>
      <trackRevisions>false</trackRevisions>
    </reviewItem>
    <reviewItem>
      <errorID>9bd0eb40-bb0b-481b-99bb-5f07cec4d01e</errorID>
      <errorWord>,</errorWord>
      <group>L1_Format</group>
      <groupName>格式问题</groupName>
      <ability>L2_HalfPunc</ability>
      <abilityName>全半角检查</abilityName>
      <candidateList>
        <item>，</item>
      </candidateList>
      <explain>文本全半角错误。</explain>
      <paraID>18FD6C66</paraID>
      <start>209</start>
      <end>210</end>
      <status>unmodified</status>
      <modifiedWord/>
      <trackRevisions>false</trackRevisions>
    </reviewItem>
    <reviewItem>
      <errorID>793f10f1-f98a-4265-a6ea-87a196911cb7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38E4A6AF</paraID>
      <start>0</start>
      <end>2</end>
      <status>unmodified</status>
      <modifiedWord/>
      <trackRevisions>false</trackRevisions>
    </reviewItem>
    <reviewItem>
      <errorID>a21031db-8d91-4ca7-9f99-5c00f30e5ff0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3DF8BBB8</paraID>
      <start>0</start>
      <end>3</end>
      <status>unmodified</status>
      <modifiedWord/>
      <trackRevisions>false</trackRevisions>
    </reviewItem>
    <reviewItem>
      <errorID>66550b7f-b712-4671-8bd0-0dfdac823fd9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2D936B6B</paraID>
      <start>0</start>
      <end>3</end>
      <status>unmodified</status>
      <modifiedWord/>
      <trackRevisions>false</trackRevisions>
    </reviewItem>
    <reviewItem>
      <errorID>ae5ee567-a159-4c03-8c3e-51b360710965</errorID>
      <errorWord>。；</errorWord>
      <group>L1_Punc</group>
      <groupName>标点问题</groupName>
      <ability>L2_Punc</ability>
      <abilityName>标点符号检查</abilityName>
      <candidateList>
        <item>。</item>
      </candidateList>
      <explain/>
      <paraID>25E21223</paraID>
      <start>68</start>
      <end>70</end>
      <status>unmodified</status>
      <modifiedWord/>
      <trackRevisions>false</trackRevisions>
    </reviewItem>
    <reviewItem>
      <errorID>7550be80-b5de-4401-84c2-c91a71118fb6</errorID>
      <errorWord>噪音</errorWord>
      <group>L1_Word</group>
      <groupName>字词问题</groupName>
      <ability>L2_Alias</ability>
      <abilityName>也作/曾用词</abilityName>
      <candidateList>
        <item>噪声</item>
      </candidateList>
      <explain>词汇[噪音]为不规范表述或旧称，其规范书面表述为[噪声]。</explain>
      <paraID>3A758B4F</paraID>
      <start>231</start>
      <end>233</end>
      <status>unmodified</status>
      <modifiedWord/>
      <trackRevisions>false</trackRevisions>
    </reviewItem>
    <reviewItem>
      <errorID>1501ab60-200c-40bd-a006-49475d704d9a</errorID>
      <errorWord>噪音</errorWord>
      <group>L1_Word</group>
      <groupName>字词问题</groupName>
      <ability>L2_Alias</ability>
      <abilityName>也作/曾用词</abilityName>
      <candidateList>
        <item>噪声</item>
      </candidateList>
      <explain>词汇[噪音]为不规范表述或旧称，其规范书面表述为[噪声]。</explain>
      <paraID>3A758B4F</paraID>
      <start>252</start>
      <end>254</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659ba-66f4-45a6-804a-93ae7ee4bcd9}">
  <ds:schemaRefs/>
</ds:datastoreItem>
</file>

<file path=customXml/itemProps2.xml><?xml version="1.0" encoding="utf-8"?>
<ds:datastoreItem xmlns:ds="http://schemas.openxmlformats.org/officeDocument/2006/customXml" ds:itemID="{94E44456-92EA-4044-827D-0B9D73C4EC90}">
  <ds:schemaRefs/>
</ds:datastoreItem>
</file>

<file path=docProps/app.xml><?xml version="1.0" encoding="utf-8"?>
<Properties xmlns="http://schemas.openxmlformats.org/officeDocument/2006/extended-properties" xmlns:vt="http://schemas.openxmlformats.org/officeDocument/2006/docPropsVTypes">
  <Template>Normal.dotm</Template>
  <Pages>5</Pages>
  <Words>5085</Words>
  <Characters>5646</Characters>
  <Lines>52</Lines>
  <Paragraphs>14</Paragraphs>
  <TotalTime>24</TotalTime>
  <ScaleCrop>false</ScaleCrop>
  <LinksUpToDate>false</LinksUpToDate>
  <CharactersWithSpaces>5700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2023-05-06T03:21:00Z</dcterms:created>
  <dc:creator>mao olivia</dc:creator>
  <cp:lastModifiedBy>Z</cp:lastModifiedBy>
  <cp:lastPrinted>2026-05-09T07:52:00Z</cp:lastPrinted>
  <dcterms:modified xsi:type="dcterms:W3CDTF">2026-08-31T06:17:06Z</dcterms:modified>
  <cp:revision>235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eyJoZGlkIjoiZmY4MTAyOGUxMjRhZDJjMzg1MjZlYzZkNzk5NmI3ZWQiLCJ1c2VySWQiOiIzODI0ODA0MDcifQ==</vt:lpwstr>
  </property>
  <property fmtid="{D5CDD505-2E9C-101B-9397-08002B2CF9AE}" pid="4" name="ICV">
    <vt:lpwstr>BEB4A39D87D74692B819E220F31EAAB6_12</vt:lpwstr>
  </property>
</Properties>
</file>