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BBEBD3">
      <w:pPr>
        <w:keepNext/>
        <w:keepLines/>
        <w:spacing w:before="260" w:after="260" w:line="360" w:lineRule="auto"/>
        <w:jc w:val="center"/>
        <w:outlineLvl w:val="1"/>
        <w:rPr>
          <w:rFonts w:ascii="Times New Roman" w:hAnsi="Times New Roman" w:cs="Times New Roman"/>
          <w:b/>
          <w:bCs/>
          <w:iCs/>
          <w:sz w:val="24"/>
        </w:rPr>
      </w:pPr>
      <w:r>
        <w:rPr>
          <w:rFonts w:hint="eastAsia" w:ascii="Times New Roman" w:hAnsi="Times New Roman" w:eastAsia="宋体" w:cs="Times New Roman"/>
          <w:b/>
          <w:bCs/>
          <w:iCs/>
          <w:sz w:val="24"/>
          <w:lang w:bidi="ar"/>
        </w:rPr>
        <w:t>证券简称：莱特光电</w:t>
      </w:r>
      <w:r>
        <w:rPr>
          <w:rFonts w:ascii="Times New Roman" w:hAnsi="Times New Roman" w:eastAsia="宋体" w:cs="Times New Roman"/>
          <w:b/>
          <w:bCs/>
          <w:iCs/>
          <w:sz w:val="24"/>
          <w:lang w:bidi="ar"/>
        </w:rPr>
        <w:t xml:space="preserve">                                      </w:t>
      </w:r>
      <w:r>
        <w:rPr>
          <w:rFonts w:hint="eastAsia" w:ascii="Times New Roman" w:hAnsi="Times New Roman" w:eastAsia="宋体" w:cs="Times New Roman"/>
          <w:b/>
          <w:bCs/>
          <w:iCs/>
          <w:sz w:val="24"/>
          <w:lang w:bidi="ar"/>
        </w:rPr>
        <w:t>证券代码：</w:t>
      </w:r>
      <w:r>
        <w:rPr>
          <w:rFonts w:ascii="Times New Roman" w:hAnsi="Times New Roman" w:eastAsia="宋体" w:cs="Times New Roman"/>
          <w:b/>
          <w:bCs/>
          <w:iCs/>
          <w:sz w:val="24"/>
          <w:lang w:bidi="ar"/>
        </w:rPr>
        <w:t>688150</w:t>
      </w:r>
    </w:p>
    <w:p w14:paraId="5C0ED973">
      <w:pPr>
        <w:keepNext/>
        <w:keepLines/>
        <w:spacing w:before="156" w:beforeLines="50" w:after="156" w:afterLines="50" w:line="360" w:lineRule="auto"/>
        <w:jc w:val="center"/>
        <w:outlineLvl w:val="1"/>
        <w:rPr>
          <w:rFonts w:ascii="Times New Roman" w:hAnsi="Times New Roman" w:cs="Times New Roman"/>
          <w:b/>
          <w:bCs/>
          <w:sz w:val="32"/>
          <w:szCs w:val="32"/>
        </w:rPr>
      </w:pPr>
      <w:r>
        <w:rPr>
          <w:rFonts w:hint="eastAsia" w:ascii="Times New Roman" w:hAnsi="Times New Roman" w:eastAsia="宋体" w:cs="Times New Roman"/>
          <w:b/>
          <w:bCs/>
          <w:sz w:val="32"/>
          <w:szCs w:val="32"/>
          <w:lang w:bidi="ar"/>
        </w:rPr>
        <w:t>陕西莱特光电材料股份有限公司</w:t>
      </w:r>
    </w:p>
    <w:p w14:paraId="4BE72FEF">
      <w:pPr>
        <w:keepNext/>
        <w:keepLines/>
        <w:spacing w:before="156" w:beforeLines="50" w:after="156" w:afterLines="50" w:line="360" w:lineRule="auto"/>
        <w:jc w:val="center"/>
        <w:outlineLvl w:val="1"/>
        <w:rPr>
          <w:rFonts w:ascii="Times New Roman" w:hAnsi="Times New Roman" w:cs="Times New Roman"/>
          <w:b/>
          <w:bCs/>
          <w:sz w:val="32"/>
          <w:szCs w:val="32"/>
        </w:rPr>
      </w:pPr>
      <w:r>
        <w:rPr>
          <w:rFonts w:hint="eastAsia" w:ascii="Times New Roman" w:hAnsi="Times New Roman" w:eastAsia="宋体" w:cs="Times New Roman"/>
          <w:b/>
          <w:bCs/>
          <w:sz w:val="32"/>
          <w:szCs w:val="32"/>
          <w:lang w:bidi="ar"/>
        </w:rPr>
        <w:t>投资者关系活动记录表</w:t>
      </w:r>
    </w:p>
    <w:p w14:paraId="00A6509C">
      <w:pPr>
        <w:keepNext/>
        <w:keepLines/>
        <w:spacing w:before="260" w:after="260" w:line="360" w:lineRule="auto"/>
        <w:jc w:val="right"/>
        <w:outlineLvl w:val="1"/>
        <w:rPr>
          <w:rFonts w:hint="eastAsia" w:ascii="Times New Roman" w:hAnsi="Times New Roman" w:eastAsia="宋体" w:cs="Times New Roman"/>
          <w:b/>
          <w:bCs/>
          <w:sz w:val="24"/>
          <w:lang w:val="en-US" w:eastAsia="zh-CN"/>
        </w:rPr>
      </w:pPr>
      <w:r>
        <w:rPr>
          <w:rFonts w:hint="eastAsia" w:ascii="Times New Roman" w:hAnsi="Times New Roman" w:eastAsia="宋体" w:cs="Times New Roman"/>
          <w:b/>
          <w:bCs/>
          <w:sz w:val="24"/>
          <w:lang w:bidi="ar"/>
        </w:rPr>
        <w:t>编号：</w:t>
      </w:r>
      <w:r>
        <w:rPr>
          <w:rFonts w:ascii="Times New Roman" w:hAnsi="Times New Roman" w:eastAsia="宋体" w:cs="Times New Roman"/>
          <w:b/>
          <w:bCs/>
          <w:sz w:val="24"/>
          <w:lang w:bidi="ar"/>
        </w:rPr>
        <w:t>202</w:t>
      </w:r>
      <w:r>
        <w:rPr>
          <w:rFonts w:hint="eastAsia" w:ascii="Times New Roman" w:hAnsi="Times New Roman" w:eastAsia="宋体" w:cs="Times New Roman"/>
          <w:b/>
          <w:bCs/>
          <w:sz w:val="24"/>
          <w:lang w:bidi="ar"/>
        </w:rPr>
        <w:t>6</w:t>
      </w:r>
      <w:r>
        <w:rPr>
          <w:rFonts w:ascii="Times New Roman" w:hAnsi="Times New Roman" w:eastAsia="宋体" w:cs="Times New Roman"/>
          <w:b/>
          <w:bCs/>
          <w:sz w:val="24"/>
          <w:lang w:bidi="ar"/>
        </w:rPr>
        <w:t>-</w:t>
      </w:r>
      <w:r>
        <w:rPr>
          <w:rFonts w:hint="eastAsia" w:ascii="Times New Roman" w:hAnsi="Times New Roman" w:eastAsia="宋体" w:cs="Times New Roman"/>
          <w:b/>
          <w:bCs/>
          <w:sz w:val="24"/>
          <w:lang w:bidi="ar"/>
        </w:rPr>
        <w:t>00</w:t>
      </w:r>
      <w:r>
        <w:rPr>
          <w:rFonts w:hint="eastAsia" w:ascii="Times New Roman" w:hAnsi="Times New Roman" w:eastAsia="宋体" w:cs="Times New Roman"/>
          <w:b/>
          <w:bCs/>
          <w:sz w:val="24"/>
          <w:lang w:val="en-US" w:eastAsia="zh-CN" w:bidi="ar"/>
        </w:rPr>
        <w:t>5</w:t>
      </w:r>
    </w:p>
    <w:tbl>
      <w:tblPr>
        <w:tblStyle w:val="7"/>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1"/>
        <w:gridCol w:w="8160"/>
      </w:tblGrid>
      <w:tr w14:paraId="2E10A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dxa"/>
            <w:tcBorders>
              <w:top w:val="single" w:color="auto" w:sz="4" w:space="0"/>
              <w:left w:val="single" w:color="auto" w:sz="4" w:space="0"/>
              <w:bottom w:val="single" w:color="auto" w:sz="4" w:space="0"/>
              <w:right w:val="single" w:color="auto" w:sz="4" w:space="0"/>
            </w:tcBorders>
            <w:vAlign w:val="center"/>
          </w:tcPr>
          <w:p w14:paraId="1910807B">
            <w:pPr>
              <w:spacing w:line="400" w:lineRule="exact"/>
              <w:jc w:val="center"/>
              <w:rPr>
                <w:rFonts w:ascii="Times New Roman" w:hAnsi="Times New Roman" w:cs="Times New Roman"/>
                <w:b/>
                <w:bCs/>
                <w:iCs/>
                <w:sz w:val="24"/>
              </w:rPr>
            </w:pPr>
            <w:r>
              <w:rPr>
                <w:rFonts w:hint="eastAsia" w:ascii="Times New Roman" w:hAnsi="Times New Roman" w:eastAsia="宋体" w:cs="Times New Roman"/>
                <w:b/>
                <w:bCs/>
                <w:iCs/>
                <w:sz w:val="24"/>
                <w:lang w:bidi="ar"/>
              </w:rPr>
              <w:t>投资者关系活动类别</w:t>
            </w:r>
          </w:p>
        </w:tc>
        <w:tc>
          <w:tcPr>
            <w:tcW w:w="8160" w:type="dxa"/>
            <w:tcBorders>
              <w:top w:val="single" w:color="auto" w:sz="4" w:space="0"/>
              <w:left w:val="single" w:color="auto" w:sz="4" w:space="0"/>
              <w:bottom w:val="single" w:color="auto" w:sz="4" w:space="0"/>
              <w:right w:val="single" w:color="auto" w:sz="4" w:space="0"/>
            </w:tcBorders>
          </w:tcPr>
          <w:p w14:paraId="23E85CD0">
            <w:pPr>
              <w:spacing w:line="360" w:lineRule="auto"/>
              <w:jc w:val="left"/>
              <w:rPr>
                <w:rFonts w:ascii="Times New Roman" w:hAnsi="Times New Roman" w:cs="Times New Roman"/>
                <w:sz w:val="24"/>
              </w:rPr>
            </w:pPr>
            <w:r>
              <w:rPr>
                <w:rFonts w:ascii="Wingdings 2" w:hAnsi="Wingdings 2" w:eastAsia="Wingdings 2" w:cs="Times New Roman"/>
                <w:sz w:val="24"/>
                <w:szCs w:val="22"/>
                <w:lang w:bidi="ar"/>
              </w:rPr>
              <w:sym w:font="Wingdings 2" w:char="0052"/>
            </w:r>
            <w:r>
              <w:rPr>
                <w:rFonts w:hint="eastAsia" w:ascii="Wingdings 2" w:hAnsi="Wingdings 2" w:eastAsia="宋体" w:cs="Times New Roman"/>
                <w:sz w:val="24"/>
                <w:lang w:bidi="ar"/>
              </w:rPr>
              <w:t>特定</w:t>
            </w:r>
            <w:r>
              <w:rPr>
                <w:rFonts w:hint="eastAsia" w:ascii="Times New Roman" w:hAnsi="Times New Roman" w:eastAsia="宋体" w:cs="Times New Roman"/>
                <w:sz w:val="24"/>
                <w:lang w:bidi="ar"/>
              </w:rPr>
              <w:t>对象调研</w:t>
            </w:r>
            <w:r>
              <w:rPr>
                <w:rFonts w:ascii="Times New Roman" w:hAnsi="Times New Roman" w:eastAsia="宋体" w:cs="Times New Roman"/>
                <w:sz w:val="24"/>
                <w:lang w:bidi="ar"/>
              </w:rPr>
              <w:t xml:space="preserve">          </w:t>
            </w:r>
            <w:r>
              <w:rPr>
                <w:rFonts w:ascii="Wingdings 2" w:hAnsi="Wingdings 2" w:eastAsia="Wingdings 2" w:cs="Times New Roman"/>
                <w:sz w:val="24"/>
                <w:szCs w:val="22"/>
                <w:lang w:bidi="ar"/>
              </w:rPr>
              <w:sym w:font="Wingdings 2" w:char="00A3"/>
            </w:r>
            <w:r>
              <w:rPr>
                <w:rFonts w:hint="eastAsia" w:ascii="Times New Roman" w:hAnsi="Times New Roman" w:eastAsia="宋体" w:cs="Times New Roman"/>
                <w:sz w:val="24"/>
                <w:lang w:bidi="ar"/>
              </w:rPr>
              <w:t>分析师会议</w:t>
            </w:r>
            <w:r>
              <w:rPr>
                <w:rFonts w:ascii="Times New Roman" w:hAnsi="Times New Roman" w:eastAsia="宋体" w:cs="Times New Roman"/>
                <w:bCs/>
                <w:iCs/>
                <w:sz w:val="24"/>
                <w:lang w:bidi="ar"/>
              </w:rPr>
              <w:t xml:space="preserve">          </w:t>
            </w:r>
            <w:r>
              <w:rPr>
                <w:rFonts w:ascii="Wingdings 2" w:hAnsi="Wingdings 2" w:eastAsia="Wingdings 2" w:cs="Times New Roman"/>
                <w:sz w:val="24"/>
                <w:szCs w:val="22"/>
                <w:lang w:bidi="ar"/>
              </w:rPr>
              <w:sym w:font="Wingdings 2" w:char="00A3"/>
            </w:r>
            <w:r>
              <w:rPr>
                <w:rFonts w:hint="eastAsia" w:ascii="Times New Roman" w:hAnsi="Times New Roman" w:eastAsia="宋体" w:cs="Times New Roman"/>
                <w:sz w:val="24"/>
                <w:lang w:bidi="ar"/>
              </w:rPr>
              <w:t>媒体采访</w:t>
            </w:r>
            <w:r>
              <w:rPr>
                <w:rFonts w:ascii="Times New Roman" w:hAnsi="Times New Roman" w:eastAsia="宋体" w:cs="Times New Roman"/>
                <w:sz w:val="24"/>
                <w:lang w:bidi="ar"/>
              </w:rPr>
              <w:br w:type="textWrapping"/>
            </w:r>
            <w:r>
              <w:rPr>
                <w:rFonts w:ascii="Wingdings 2" w:hAnsi="Wingdings 2" w:eastAsia="Wingdings 2" w:cs="Times New Roman"/>
                <w:sz w:val="24"/>
                <w:szCs w:val="22"/>
                <w:lang w:bidi="ar"/>
              </w:rPr>
              <w:sym w:font="Wingdings 2" w:char="00A3"/>
            </w:r>
            <w:r>
              <w:rPr>
                <w:rFonts w:hint="eastAsia" w:ascii="Times New Roman" w:hAnsi="Times New Roman" w:eastAsia="宋体" w:cs="Times New Roman"/>
                <w:sz w:val="24"/>
                <w:lang w:bidi="ar"/>
              </w:rPr>
              <w:t>业绩说明会</w:t>
            </w:r>
            <w:r>
              <w:rPr>
                <w:rFonts w:ascii="Times New Roman" w:hAnsi="Times New Roman" w:eastAsia="宋体" w:cs="Times New Roman"/>
                <w:bCs/>
                <w:iCs/>
                <w:sz w:val="24"/>
                <w:lang w:bidi="ar"/>
              </w:rPr>
              <w:t xml:space="preserve">           </w:t>
            </w:r>
            <w:bookmarkStart w:id="0" w:name="OLE_LINK9"/>
            <w:r>
              <w:rPr>
                <w:rFonts w:hint="eastAsia" w:ascii="Times New Roman" w:hAnsi="Times New Roman" w:eastAsia="宋体" w:cs="Times New Roman"/>
                <w:bCs/>
                <w:iCs/>
                <w:sz w:val="24"/>
                <w:lang w:val="en-US" w:eastAsia="zh-CN" w:bidi="ar"/>
              </w:rPr>
              <w:t xml:space="preserve"> </w:t>
            </w:r>
            <w:r>
              <w:rPr>
                <w:rFonts w:ascii="Wingdings 2" w:hAnsi="Wingdings 2" w:eastAsia="Wingdings 2" w:cs="Times New Roman"/>
                <w:sz w:val="24"/>
                <w:szCs w:val="22"/>
                <w:lang w:bidi="ar"/>
              </w:rPr>
              <w:sym w:font="Wingdings 2" w:char="00A3"/>
            </w:r>
            <w:bookmarkEnd w:id="0"/>
            <w:r>
              <w:rPr>
                <w:rFonts w:hint="eastAsia" w:ascii="Times New Roman" w:hAnsi="Times New Roman" w:eastAsia="宋体" w:cs="Times New Roman"/>
                <w:sz w:val="24"/>
                <w:lang w:bidi="ar"/>
              </w:rPr>
              <w:t>新闻发布会</w:t>
            </w:r>
            <w:r>
              <w:rPr>
                <w:rFonts w:ascii="Times New Roman" w:hAnsi="Times New Roman" w:eastAsia="宋体" w:cs="Times New Roman"/>
                <w:sz w:val="24"/>
                <w:lang w:bidi="ar"/>
              </w:rPr>
              <w:t xml:space="preserve">          </w:t>
            </w:r>
            <w:r>
              <w:rPr>
                <w:rFonts w:ascii="Wingdings 2" w:hAnsi="Wingdings 2" w:eastAsia="Wingdings 2" w:cs="Times New Roman"/>
                <w:sz w:val="24"/>
                <w:szCs w:val="22"/>
                <w:lang w:bidi="ar"/>
              </w:rPr>
              <w:sym w:font="Wingdings 2" w:char="00A3"/>
            </w:r>
            <w:r>
              <w:rPr>
                <w:rFonts w:hint="eastAsia" w:ascii="Times New Roman" w:hAnsi="Times New Roman" w:eastAsia="宋体" w:cs="Times New Roman"/>
                <w:sz w:val="24"/>
                <w:lang w:bidi="ar"/>
              </w:rPr>
              <w:t>路演活动</w:t>
            </w:r>
          </w:p>
          <w:p w14:paraId="407AAC8C">
            <w:pPr>
              <w:tabs>
                <w:tab w:val="left" w:pos="2690"/>
                <w:tab w:val="center" w:pos="3199"/>
              </w:tabs>
              <w:spacing w:line="360" w:lineRule="auto"/>
              <w:jc w:val="left"/>
              <w:rPr>
                <w:rFonts w:ascii="Times New Roman" w:hAnsi="Times New Roman" w:cs="Times New Roman"/>
                <w:bCs/>
                <w:iCs/>
                <w:sz w:val="24"/>
              </w:rPr>
            </w:pPr>
            <w:r>
              <w:rPr>
                <w:rFonts w:ascii="Wingdings 2" w:hAnsi="Wingdings 2" w:eastAsia="Wingdings 2" w:cs="Times New Roman"/>
                <w:sz w:val="24"/>
                <w:szCs w:val="22"/>
                <w:lang w:bidi="ar"/>
              </w:rPr>
              <w:sym w:font="Wingdings 2" w:char="00A3"/>
            </w:r>
            <w:r>
              <w:rPr>
                <w:rFonts w:hint="eastAsia" w:ascii="Wingdings 2" w:hAnsi="Wingdings 2" w:eastAsia="宋体" w:cs="Times New Roman"/>
                <w:sz w:val="24"/>
                <w:lang w:bidi="ar"/>
              </w:rPr>
              <w:t>现</w:t>
            </w:r>
            <w:r>
              <w:rPr>
                <w:rFonts w:hint="eastAsia" w:ascii="Times New Roman" w:hAnsi="Times New Roman" w:eastAsia="宋体" w:cs="Times New Roman"/>
                <w:sz w:val="24"/>
                <w:lang w:bidi="ar"/>
              </w:rPr>
              <w:t>场参观</w:t>
            </w:r>
            <w:r>
              <w:rPr>
                <w:rFonts w:ascii="Times New Roman" w:hAnsi="Times New Roman" w:eastAsia="宋体" w:cs="Times New Roman"/>
                <w:sz w:val="24"/>
                <w:lang w:bidi="ar"/>
              </w:rPr>
              <w:t xml:space="preserve">              </w:t>
            </w:r>
            <w:r>
              <w:rPr>
                <w:rFonts w:ascii="Wingdings 2" w:hAnsi="Wingdings 2" w:eastAsia="Wingdings 2" w:cs="Times New Roman"/>
                <w:sz w:val="24"/>
                <w:szCs w:val="22"/>
                <w:lang w:bidi="ar"/>
              </w:rPr>
              <w:sym w:font="Wingdings 2" w:char="0052"/>
            </w:r>
            <w:r>
              <w:rPr>
                <w:rFonts w:hint="eastAsia" w:ascii="Wingdings 2" w:hAnsi="Wingdings 2" w:eastAsia="宋体" w:cs="Times New Roman"/>
                <w:sz w:val="24"/>
                <w:lang w:bidi="ar"/>
              </w:rPr>
              <w:t>电话会议</w:t>
            </w:r>
            <w:r>
              <w:rPr>
                <w:rFonts w:ascii="Times New Roman" w:hAnsi="Times New Roman" w:eastAsia="宋体" w:cs="Times New Roman"/>
                <w:bCs/>
                <w:iCs/>
                <w:sz w:val="24"/>
                <w:lang w:bidi="ar"/>
              </w:rPr>
              <w:t xml:space="preserve">         </w:t>
            </w:r>
            <w:r>
              <w:rPr>
                <w:rFonts w:hint="eastAsia" w:ascii="Times New Roman" w:hAnsi="Times New Roman" w:eastAsia="宋体" w:cs="Times New Roman"/>
                <w:bCs/>
                <w:iCs/>
                <w:sz w:val="24"/>
                <w:lang w:bidi="ar"/>
              </w:rPr>
              <w:t xml:space="preserve"> </w:t>
            </w:r>
            <w:r>
              <w:rPr>
                <w:rFonts w:ascii="Wingdings 2" w:hAnsi="Wingdings 2" w:eastAsia="Wingdings 2" w:cs="Wingdings 2"/>
                <w:bCs/>
                <w:iCs/>
                <w:sz w:val="24"/>
                <w:lang w:bidi="ar"/>
              </w:rPr>
              <w:t></w:t>
            </w:r>
            <w:r>
              <w:rPr>
                <w:rFonts w:ascii="Wingdings 2" w:hAnsi="Wingdings 2" w:eastAsia="Wingdings 2" w:cs="Times New Roman"/>
                <w:sz w:val="24"/>
                <w:szCs w:val="22"/>
                <w:lang w:bidi="ar"/>
              </w:rPr>
              <w:sym w:font="Wingdings 2" w:char="00A3"/>
            </w:r>
            <w:r>
              <w:rPr>
                <w:rFonts w:hint="eastAsia" w:ascii="Wingdings 2" w:hAnsi="Wingdings 2" w:eastAsia="宋体" w:cs="Wingdings 2"/>
                <w:sz w:val="24"/>
                <w:szCs w:val="22"/>
                <w:lang w:bidi="ar"/>
              </w:rPr>
              <w:t>其他</w:t>
            </w:r>
            <w:r>
              <w:rPr>
                <w:rFonts w:ascii="Wingdings 2" w:hAnsi="Wingdings 2" w:eastAsia="Wingdings 2" w:cs="Wingdings 2"/>
                <w:sz w:val="24"/>
                <w:szCs w:val="22"/>
                <w:u w:val="single"/>
                <w:lang w:bidi="ar"/>
              </w:rPr>
              <w:t></w:t>
            </w:r>
          </w:p>
        </w:tc>
      </w:tr>
      <w:tr w14:paraId="47896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dxa"/>
            <w:tcBorders>
              <w:top w:val="single" w:color="auto" w:sz="4" w:space="0"/>
              <w:left w:val="single" w:color="auto" w:sz="4" w:space="0"/>
              <w:bottom w:val="single" w:color="auto" w:sz="4" w:space="0"/>
              <w:right w:val="single" w:color="auto" w:sz="4" w:space="0"/>
            </w:tcBorders>
            <w:vAlign w:val="center"/>
          </w:tcPr>
          <w:p w14:paraId="15470C74">
            <w:pPr>
              <w:spacing w:line="300" w:lineRule="exact"/>
              <w:jc w:val="center"/>
              <w:rPr>
                <w:rFonts w:ascii="Times New Roman" w:hAnsi="Times New Roman" w:cs="Times New Roman"/>
                <w:b/>
                <w:bCs/>
                <w:iCs/>
                <w:sz w:val="24"/>
              </w:rPr>
            </w:pPr>
            <w:r>
              <w:rPr>
                <w:rFonts w:ascii="Times New Roman" w:hAnsi="Times New Roman" w:cs="Times New Roman"/>
                <w:b/>
                <w:bCs/>
                <w:iCs/>
                <w:sz w:val="24"/>
                <w:lang w:bidi="ar"/>
              </w:rPr>
              <w:t>参与单位名称及人员姓名</w:t>
            </w:r>
          </w:p>
        </w:tc>
        <w:tc>
          <w:tcPr>
            <w:tcW w:w="8160" w:type="dxa"/>
            <w:tcBorders>
              <w:top w:val="single" w:color="auto" w:sz="4" w:space="0"/>
              <w:left w:val="single" w:color="auto" w:sz="4" w:space="0"/>
              <w:bottom w:val="single" w:color="auto" w:sz="4" w:space="0"/>
              <w:right w:val="single" w:color="auto" w:sz="4" w:space="0"/>
            </w:tcBorders>
            <w:vAlign w:val="center"/>
          </w:tcPr>
          <w:p w14:paraId="6725F8F6">
            <w:pPr>
              <w:tabs>
                <w:tab w:val="center" w:pos="2798"/>
              </w:tabs>
              <w:spacing w:line="360" w:lineRule="auto"/>
              <w:jc w:val="left"/>
              <w:rPr>
                <w:rFonts w:hint="eastAsia" w:ascii="Times New Roman" w:hAnsi="Times New Roman" w:cs="Times New Roman" w:eastAsiaTheme="minorEastAsia"/>
                <w:bCs/>
                <w:iCs/>
                <w:sz w:val="24"/>
                <w:lang w:val="en-US" w:eastAsia="zh-CN" w:bidi="ar"/>
              </w:rPr>
            </w:pPr>
            <w:r>
              <w:rPr>
                <w:rFonts w:hint="eastAsia" w:ascii="Times New Roman" w:hAnsi="Times New Roman" w:cs="Times New Roman" w:eastAsiaTheme="minorEastAsia"/>
                <w:bCs/>
                <w:iCs/>
                <w:sz w:val="24"/>
                <w:lang w:val="en-US" w:eastAsia="zh-CN" w:bidi="ar"/>
              </w:rPr>
              <w:t>见附件《陕西莱特光电材料股份有限公司2026年</w:t>
            </w:r>
            <w:r>
              <w:rPr>
                <w:rFonts w:hint="eastAsia" w:ascii="Times New Roman" w:hAnsi="Times New Roman" w:cs="Times New Roman"/>
                <w:bCs/>
                <w:iCs/>
                <w:sz w:val="24"/>
                <w:lang w:val="en-US" w:eastAsia="zh-CN" w:bidi="ar"/>
              </w:rPr>
              <w:t>8</w:t>
            </w:r>
            <w:r>
              <w:rPr>
                <w:rFonts w:hint="eastAsia" w:ascii="Times New Roman" w:hAnsi="Times New Roman" w:cs="Times New Roman" w:eastAsiaTheme="minorEastAsia"/>
                <w:bCs/>
                <w:iCs/>
                <w:sz w:val="24"/>
                <w:lang w:val="en-US" w:eastAsia="zh-CN" w:bidi="ar"/>
              </w:rPr>
              <w:t>月</w:t>
            </w:r>
            <w:r>
              <w:rPr>
                <w:rFonts w:hint="eastAsia" w:ascii="Times New Roman" w:hAnsi="Times New Roman" w:cs="Times New Roman"/>
                <w:bCs/>
                <w:iCs/>
                <w:sz w:val="24"/>
                <w:lang w:val="en-US" w:eastAsia="zh-CN" w:bidi="ar"/>
              </w:rPr>
              <w:t>31</w:t>
            </w:r>
            <w:r>
              <w:rPr>
                <w:rFonts w:hint="eastAsia" w:ascii="Times New Roman" w:hAnsi="Times New Roman" w:cs="Times New Roman" w:eastAsiaTheme="minorEastAsia"/>
                <w:bCs/>
                <w:iCs/>
                <w:sz w:val="24"/>
                <w:lang w:val="en-US" w:eastAsia="zh-CN" w:bidi="ar"/>
              </w:rPr>
              <w:t>日参会名单》</w:t>
            </w:r>
          </w:p>
        </w:tc>
      </w:tr>
      <w:tr w14:paraId="107D2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dxa"/>
            <w:tcBorders>
              <w:top w:val="single" w:color="auto" w:sz="4" w:space="0"/>
              <w:left w:val="single" w:color="auto" w:sz="4" w:space="0"/>
              <w:bottom w:val="single" w:color="auto" w:sz="4" w:space="0"/>
              <w:right w:val="single" w:color="auto" w:sz="4" w:space="0"/>
            </w:tcBorders>
            <w:vAlign w:val="center"/>
          </w:tcPr>
          <w:p w14:paraId="586E9C3C">
            <w:pPr>
              <w:spacing w:line="400" w:lineRule="exact"/>
              <w:jc w:val="center"/>
              <w:rPr>
                <w:rFonts w:ascii="Times New Roman" w:hAnsi="Times New Roman" w:cs="Times New Roman"/>
                <w:b/>
                <w:bCs/>
                <w:iCs/>
                <w:sz w:val="24"/>
              </w:rPr>
            </w:pPr>
            <w:r>
              <w:rPr>
                <w:rFonts w:ascii="Times New Roman" w:hAnsi="Times New Roman" w:cs="Times New Roman"/>
                <w:b/>
                <w:bCs/>
                <w:iCs/>
                <w:sz w:val="24"/>
                <w:lang w:bidi="ar"/>
              </w:rPr>
              <w:t>会议时间</w:t>
            </w:r>
          </w:p>
        </w:tc>
        <w:tc>
          <w:tcPr>
            <w:tcW w:w="8160" w:type="dxa"/>
            <w:tcBorders>
              <w:top w:val="single" w:color="auto" w:sz="4" w:space="0"/>
              <w:left w:val="single" w:color="auto" w:sz="4" w:space="0"/>
              <w:bottom w:val="single" w:color="auto" w:sz="4" w:space="0"/>
              <w:right w:val="single" w:color="auto" w:sz="4" w:space="0"/>
            </w:tcBorders>
          </w:tcPr>
          <w:p w14:paraId="2A7F312F">
            <w:pPr>
              <w:spacing w:line="360" w:lineRule="auto"/>
              <w:rPr>
                <w:rFonts w:hint="eastAsia" w:ascii="Times New Roman" w:hAnsi="Times New Roman" w:cs="Times New Roman" w:eastAsiaTheme="minorEastAsia"/>
                <w:bCs/>
                <w:iCs/>
                <w:sz w:val="24"/>
                <w:lang w:val="en-US" w:eastAsia="zh-CN"/>
              </w:rPr>
            </w:pPr>
            <w:r>
              <w:rPr>
                <w:rFonts w:ascii="Times New Roman" w:hAnsi="Times New Roman" w:cs="Times New Roman"/>
                <w:bCs/>
                <w:iCs/>
                <w:sz w:val="24"/>
                <w:lang w:bidi="ar"/>
              </w:rPr>
              <w:t>202</w:t>
            </w:r>
            <w:r>
              <w:rPr>
                <w:rFonts w:hint="eastAsia" w:ascii="Times New Roman" w:hAnsi="Times New Roman" w:cs="Times New Roman"/>
                <w:bCs/>
                <w:iCs/>
                <w:sz w:val="24"/>
                <w:lang w:bidi="ar"/>
              </w:rPr>
              <w:t>6</w:t>
            </w:r>
            <w:r>
              <w:rPr>
                <w:rFonts w:ascii="Times New Roman" w:hAnsi="Times New Roman" w:cs="Times New Roman"/>
                <w:bCs/>
                <w:iCs/>
                <w:sz w:val="24"/>
                <w:lang w:bidi="ar"/>
              </w:rPr>
              <w:t>年</w:t>
            </w:r>
            <w:r>
              <w:rPr>
                <w:rFonts w:hint="eastAsia" w:ascii="Times New Roman" w:hAnsi="Times New Roman" w:cs="Times New Roman"/>
                <w:bCs/>
                <w:iCs/>
                <w:sz w:val="24"/>
                <w:lang w:val="en-US" w:eastAsia="zh-CN" w:bidi="ar"/>
              </w:rPr>
              <w:t>8</w:t>
            </w:r>
            <w:r>
              <w:rPr>
                <w:rFonts w:hint="eastAsia" w:ascii="Times New Roman" w:hAnsi="Times New Roman" w:cs="Times New Roman"/>
                <w:bCs/>
                <w:iCs/>
                <w:sz w:val="24"/>
                <w:lang w:bidi="ar"/>
              </w:rPr>
              <w:t>月</w:t>
            </w:r>
            <w:r>
              <w:rPr>
                <w:rFonts w:hint="eastAsia" w:ascii="Times New Roman" w:hAnsi="Times New Roman" w:cs="Times New Roman"/>
                <w:bCs/>
                <w:iCs/>
                <w:sz w:val="24"/>
                <w:lang w:val="en-US" w:eastAsia="zh-CN" w:bidi="ar"/>
              </w:rPr>
              <w:t>31</w:t>
            </w:r>
            <w:r>
              <w:rPr>
                <w:rFonts w:hint="eastAsia" w:ascii="Times New Roman" w:hAnsi="Times New Roman" w:cs="Times New Roman"/>
                <w:bCs/>
                <w:iCs/>
                <w:sz w:val="24"/>
                <w:lang w:bidi="ar"/>
              </w:rPr>
              <w:t>日</w:t>
            </w:r>
          </w:p>
        </w:tc>
      </w:tr>
      <w:tr w14:paraId="46E30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dxa"/>
            <w:tcBorders>
              <w:top w:val="single" w:color="auto" w:sz="4" w:space="0"/>
              <w:left w:val="single" w:color="auto" w:sz="4" w:space="0"/>
              <w:bottom w:val="single" w:color="auto" w:sz="4" w:space="0"/>
              <w:right w:val="single" w:color="auto" w:sz="4" w:space="0"/>
            </w:tcBorders>
            <w:vAlign w:val="center"/>
          </w:tcPr>
          <w:p w14:paraId="2A148884">
            <w:pPr>
              <w:spacing w:line="400" w:lineRule="exact"/>
              <w:jc w:val="center"/>
              <w:rPr>
                <w:rFonts w:ascii="Times New Roman" w:hAnsi="Times New Roman" w:cs="Times New Roman"/>
                <w:b/>
                <w:bCs/>
                <w:iCs/>
                <w:sz w:val="24"/>
              </w:rPr>
            </w:pPr>
            <w:r>
              <w:rPr>
                <w:rFonts w:ascii="Times New Roman" w:hAnsi="Times New Roman" w:cs="Times New Roman"/>
                <w:b/>
                <w:bCs/>
                <w:iCs/>
                <w:sz w:val="24"/>
                <w:lang w:bidi="ar"/>
              </w:rPr>
              <w:t>会议地点</w:t>
            </w:r>
          </w:p>
        </w:tc>
        <w:tc>
          <w:tcPr>
            <w:tcW w:w="8160" w:type="dxa"/>
            <w:tcBorders>
              <w:top w:val="single" w:color="auto" w:sz="4" w:space="0"/>
              <w:left w:val="single" w:color="auto" w:sz="4" w:space="0"/>
              <w:bottom w:val="single" w:color="auto" w:sz="4" w:space="0"/>
              <w:right w:val="single" w:color="auto" w:sz="4" w:space="0"/>
            </w:tcBorders>
          </w:tcPr>
          <w:p w14:paraId="4B30D48C">
            <w:pPr>
              <w:spacing w:line="360" w:lineRule="auto"/>
              <w:rPr>
                <w:rFonts w:hint="default" w:ascii="Times New Roman" w:hAnsi="Times New Roman" w:cs="Times New Roman" w:eastAsiaTheme="minorEastAsia"/>
                <w:bCs/>
                <w:iCs/>
                <w:sz w:val="24"/>
                <w:lang w:val="en-US" w:eastAsia="zh-CN"/>
              </w:rPr>
            </w:pPr>
            <w:r>
              <w:rPr>
                <w:rFonts w:hint="eastAsia" w:ascii="Times New Roman" w:hAnsi="Times New Roman" w:cs="Times New Roman"/>
                <w:bCs/>
                <w:iCs/>
                <w:sz w:val="24"/>
                <w:lang w:val="en-US" w:eastAsia="zh-CN" w:bidi="ar"/>
              </w:rPr>
              <w:t>线上</w:t>
            </w:r>
          </w:p>
        </w:tc>
      </w:tr>
      <w:tr w14:paraId="5F1C0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1191" w:type="dxa"/>
            <w:tcBorders>
              <w:top w:val="single" w:color="auto" w:sz="4" w:space="0"/>
              <w:left w:val="single" w:color="auto" w:sz="4" w:space="0"/>
              <w:bottom w:val="single" w:color="auto" w:sz="4" w:space="0"/>
              <w:right w:val="single" w:color="auto" w:sz="4" w:space="0"/>
            </w:tcBorders>
            <w:vAlign w:val="center"/>
          </w:tcPr>
          <w:p w14:paraId="604F7CB7">
            <w:pPr>
              <w:spacing w:line="300" w:lineRule="exact"/>
              <w:jc w:val="center"/>
              <w:rPr>
                <w:rFonts w:ascii="Times New Roman" w:hAnsi="Times New Roman" w:cs="Times New Roman"/>
                <w:b/>
                <w:bCs/>
                <w:iCs/>
                <w:sz w:val="24"/>
              </w:rPr>
            </w:pPr>
            <w:r>
              <w:rPr>
                <w:rFonts w:ascii="Times New Roman" w:hAnsi="Times New Roman" w:cs="Times New Roman"/>
                <w:b/>
                <w:bCs/>
                <w:iCs/>
                <w:sz w:val="24"/>
                <w:lang w:bidi="ar"/>
              </w:rPr>
              <w:t>上市公司接待人员姓名</w:t>
            </w:r>
          </w:p>
        </w:tc>
        <w:tc>
          <w:tcPr>
            <w:tcW w:w="8160" w:type="dxa"/>
            <w:tcBorders>
              <w:top w:val="single" w:color="auto" w:sz="4" w:space="0"/>
              <w:left w:val="single" w:color="auto" w:sz="4" w:space="0"/>
              <w:bottom w:val="single" w:color="auto" w:sz="4" w:space="0"/>
              <w:right w:val="single" w:color="auto" w:sz="4" w:space="0"/>
            </w:tcBorders>
            <w:vAlign w:val="center"/>
          </w:tcPr>
          <w:p w14:paraId="540DB609">
            <w:pPr>
              <w:spacing w:line="360" w:lineRule="auto"/>
              <w:rPr>
                <w:rFonts w:hint="default" w:ascii="Times New Roman" w:hAnsi="Times New Roman" w:eastAsia="宋体" w:cs="Times New Roman"/>
                <w:bCs/>
                <w:iCs/>
                <w:sz w:val="24"/>
                <w:lang w:val="en-US" w:eastAsia="zh-CN" w:bidi="ar"/>
              </w:rPr>
            </w:pPr>
            <w:r>
              <w:rPr>
                <w:rFonts w:ascii="monospace" w:hAnsi="monospace" w:eastAsia="monospace" w:cs="monospace"/>
                <w:sz w:val="24"/>
                <w:shd w:val="clear" w:color="auto" w:fill="FFFFFF"/>
              </w:rPr>
              <w:t>投资者关系总监</w:t>
            </w:r>
            <w:r>
              <w:rPr>
                <w:rFonts w:hint="eastAsia" w:ascii="monospace" w:hAnsi="monospace" w:eastAsia="宋体" w:cs="monospace"/>
                <w:sz w:val="24"/>
                <w:shd w:val="clear" w:color="auto" w:fill="FFFFFF"/>
              </w:rPr>
              <w:t>：</w:t>
            </w:r>
            <w:r>
              <w:rPr>
                <w:rFonts w:ascii="monospace" w:hAnsi="monospace" w:eastAsia="monospace" w:cs="monospace"/>
                <w:sz w:val="24"/>
                <w:shd w:val="clear" w:color="auto" w:fill="FFFFFF"/>
              </w:rPr>
              <w:t>周立汉</w:t>
            </w:r>
            <w:r>
              <w:rPr>
                <w:rFonts w:hint="eastAsia" w:ascii="monospace" w:hAnsi="monospace" w:eastAsia="宋体" w:cs="monospace"/>
                <w:sz w:val="24"/>
                <w:shd w:val="clear" w:color="auto" w:fill="FFFFFF"/>
                <w:lang w:val="en-US" w:eastAsia="zh-CN"/>
              </w:rPr>
              <w:t xml:space="preserve">            投资者关系专员：张尊睿</w:t>
            </w:r>
          </w:p>
        </w:tc>
      </w:tr>
      <w:tr w14:paraId="48414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dxa"/>
            <w:tcBorders>
              <w:top w:val="single" w:color="auto" w:sz="4" w:space="0"/>
              <w:left w:val="single" w:color="auto" w:sz="4" w:space="0"/>
              <w:bottom w:val="single" w:color="auto" w:sz="4" w:space="0"/>
              <w:right w:val="single" w:color="auto" w:sz="4" w:space="0"/>
            </w:tcBorders>
            <w:vAlign w:val="center"/>
          </w:tcPr>
          <w:p w14:paraId="2772EBEA">
            <w:pPr>
              <w:spacing w:line="400" w:lineRule="exact"/>
              <w:jc w:val="center"/>
              <w:rPr>
                <w:rFonts w:ascii="Times New Roman" w:hAnsi="Times New Roman" w:cs="Times New Roman"/>
                <w:b/>
                <w:bCs/>
                <w:iCs/>
                <w:sz w:val="24"/>
              </w:rPr>
            </w:pPr>
            <w:r>
              <w:rPr>
                <w:rFonts w:ascii="Times New Roman" w:hAnsi="Times New Roman" w:cs="Times New Roman"/>
                <w:b/>
                <w:bCs/>
                <w:iCs/>
                <w:sz w:val="24"/>
                <w:lang w:bidi="ar"/>
              </w:rPr>
              <w:t>投资者关系活动主要内容介绍</w:t>
            </w:r>
          </w:p>
        </w:tc>
        <w:tc>
          <w:tcPr>
            <w:tcW w:w="8160" w:type="dxa"/>
            <w:tcBorders>
              <w:top w:val="single" w:color="auto" w:sz="4" w:space="0"/>
              <w:left w:val="single" w:color="auto" w:sz="4" w:space="0"/>
              <w:bottom w:val="single" w:color="auto" w:sz="4" w:space="0"/>
              <w:right w:val="single" w:color="auto" w:sz="4" w:space="0"/>
            </w:tcBorders>
          </w:tcPr>
          <w:p w14:paraId="54DF5435">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default" w:ascii="Times New Roman" w:hAnsi="Times New Roman" w:eastAsia="宋体" w:cs="Times New Roman"/>
                <w:b/>
                <w:bCs/>
                <w:lang w:val="en-US" w:eastAsia="zh-CN"/>
              </w:rPr>
            </w:pPr>
            <w:r>
              <w:rPr>
                <w:rFonts w:ascii="Times New Roman" w:hAnsi="Times New Roman" w:eastAsia="宋体" w:cs="Times New Roman"/>
                <w:b/>
                <w:szCs w:val="21"/>
                <w:lang w:bidi="ar"/>
              </w:rPr>
              <w:t>问题1：</w:t>
            </w:r>
            <w:r>
              <w:rPr>
                <w:rFonts w:hint="default" w:ascii="Times New Roman" w:hAnsi="Times New Roman" w:eastAsia="宋体" w:cs="Times New Roman"/>
                <w:b/>
                <w:bCs/>
                <w:lang w:val="en-US" w:eastAsia="zh-CN"/>
              </w:rPr>
              <w:t>请公司介绍一下2026年上半年的整体经营业绩表现及其变动的主要原因。</w:t>
            </w:r>
          </w:p>
          <w:p w14:paraId="3A4BC21E">
            <w:pPr>
              <w:widowControl/>
              <w:spacing w:before="50" w:line="360" w:lineRule="auto"/>
              <w:ind w:firstLine="420" w:firstLineChars="200"/>
              <w:rPr>
                <w:rFonts w:hint="eastAsia" w:ascii="Times New Roman" w:hAnsi="Times New Roman" w:eastAsia="宋体" w:cs="Times New Roman"/>
                <w:color w:val="000000" w:themeColor="text1"/>
                <w:lang w:bidi="ar"/>
                <w14:textFill>
                  <w14:solidFill>
                    <w14:schemeClr w14:val="tx1"/>
                  </w14:solidFill>
                </w14:textFill>
              </w:rPr>
            </w:pPr>
            <w:bookmarkStart w:id="1" w:name="OLE_LINK10"/>
            <w:bookmarkStart w:id="2" w:name="OLE_LINK11"/>
            <w:bookmarkStart w:id="3" w:name="OLE_LINK6"/>
            <w:bookmarkStart w:id="4" w:name="OLE_LINK5"/>
            <w:r>
              <w:rPr>
                <w:rFonts w:hint="eastAsia" w:ascii="Times New Roman" w:hAnsi="Times New Roman" w:eastAsia="宋体" w:cs="Times New Roman"/>
                <w:color w:val="000000" w:themeColor="text1"/>
                <w:lang w:bidi="ar"/>
                <w14:textFill>
                  <w14:solidFill>
                    <w14:schemeClr w14:val="tx1"/>
                  </w14:solidFill>
                </w14:textFill>
              </w:rPr>
              <w:t>答：2026年上半年，公司整体经营呈现稳步向好态势，已实现连续三个季度营业收入、归母净利润双双环比增长，经营基本面持续改善。上半年公司实现营业收入3.07亿元，同比增长5.09%；归母净利润1.1亿元，同比下降13.00%。收入层面，受2025年以来存储涨价影响，2026年终端需求承压，OLED在手机领域增长节奏放缓，公司一季度营业收入同比下滑8.20%，伴随2026年行业内第8.6代OLED产线陆续开始量产，受此催化公司二季度陆续收到新产线材料订单，因此二季度营业收入环比增长30.54%，推动上半年整体营收规模保持正增长。利润层面，公司综合毛利率继续维持</w:t>
            </w:r>
            <w:r>
              <w:rPr>
                <w:rFonts w:hint="eastAsia" w:ascii="Times New Roman" w:hAnsi="Times New Roman" w:eastAsia="宋体" w:cs="Times New Roman"/>
                <w:color w:val="000000" w:themeColor="text1"/>
                <w:lang w:val="en-US" w:eastAsia="zh-CN" w:bidi="ar"/>
                <w14:textFill>
                  <w14:solidFill>
                    <w14:schemeClr w14:val="tx1"/>
                  </w14:solidFill>
                </w14:textFill>
              </w:rPr>
              <w:t>较好</w:t>
            </w:r>
            <w:r>
              <w:rPr>
                <w:rFonts w:hint="eastAsia" w:ascii="Times New Roman" w:hAnsi="Times New Roman" w:eastAsia="宋体" w:cs="Times New Roman"/>
                <w:color w:val="000000" w:themeColor="text1"/>
                <w:lang w:bidi="ar"/>
                <w14:textFill>
                  <w14:solidFill>
                    <w14:schemeClr w14:val="tx1"/>
                  </w14:solidFill>
                </w14:textFill>
              </w:rPr>
              <w:t>水平，上半年公司研发投入3,844.04万元，同比增长19.88%，叠加Q布新业务新增管理团队，导致研发费用及管理费用同比有所增加，叠加美元汇率波动带来汇兑损失同比上升，多重因素共同造成上半年归母净利润同比回落。但从季度趋势来看，二季度归母净利润环比增长39.30%，公司盈利水平已呈现环比改善态势。</w:t>
            </w:r>
          </w:p>
          <w:p w14:paraId="4739AC80">
            <w:pPr>
              <w:widowControl/>
              <w:spacing w:before="50" w:line="360" w:lineRule="auto"/>
              <w:ind w:firstLine="422" w:firstLineChars="200"/>
              <w:rPr>
                <w:rFonts w:ascii="Times New Roman" w:hAnsi="Times New Roman" w:eastAsia="宋体" w:cs="Times New Roman"/>
                <w:b/>
                <w:szCs w:val="21"/>
                <w:lang w:bidi="ar"/>
              </w:rPr>
            </w:pPr>
            <w:r>
              <w:rPr>
                <w:rFonts w:ascii="Times New Roman" w:hAnsi="Times New Roman" w:eastAsia="宋体" w:cs="Times New Roman"/>
                <w:b/>
                <w:szCs w:val="21"/>
                <w:lang w:bidi="ar"/>
              </w:rPr>
              <w:t>问题</w:t>
            </w:r>
            <w:r>
              <w:rPr>
                <w:rFonts w:hint="eastAsia" w:ascii="Times New Roman" w:hAnsi="Times New Roman" w:eastAsia="宋体" w:cs="Times New Roman"/>
                <w:b/>
                <w:szCs w:val="21"/>
                <w:lang w:val="en-US" w:eastAsia="zh-CN" w:bidi="ar"/>
              </w:rPr>
              <w:t>2</w:t>
            </w:r>
            <w:r>
              <w:rPr>
                <w:rFonts w:ascii="Times New Roman" w:hAnsi="Times New Roman" w:eastAsia="宋体" w:cs="Times New Roman"/>
                <w:b/>
                <w:szCs w:val="21"/>
                <w:lang w:bidi="ar"/>
              </w:rPr>
              <w:t>：</w:t>
            </w:r>
            <w:r>
              <w:rPr>
                <w:rFonts w:hint="eastAsia" w:ascii="Times New Roman" w:hAnsi="Times New Roman" w:eastAsia="宋体" w:cs="Times New Roman"/>
                <w:b/>
                <w:szCs w:val="21"/>
                <w:lang w:bidi="ar"/>
              </w:rPr>
              <w:t>公司OLED终端材料业务进展情况如何？</w:t>
            </w:r>
          </w:p>
          <w:p w14:paraId="33708FF5">
            <w:pPr>
              <w:widowControl/>
              <w:spacing w:before="50" w:line="360" w:lineRule="auto"/>
              <w:ind w:firstLine="420" w:firstLineChars="200"/>
              <w:rPr>
                <w:rFonts w:ascii="Times New Roman" w:hAnsi="Times New Roman" w:eastAsia="宋体" w:cs="Times New Roman"/>
                <w:szCs w:val="21"/>
                <w:lang w:bidi="ar"/>
              </w:rPr>
            </w:pPr>
            <w:r>
              <w:rPr>
                <w:rFonts w:hint="eastAsia" w:ascii="Times New Roman" w:hAnsi="Times New Roman" w:eastAsia="宋体" w:cs="Times New Roman"/>
                <w:szCs w:val="21"/>
                <w:lang w:bidi="ar"/>
              </w:rPr>
              <w:t>答：</w:t>
            </w:r>
            <w:r>
              <w:rPr>
                <w:rFonts w:hint="default" w:ascii="Times New Roman" w:hAnsi="Times New Roman" w:eastAsia="宋体" w:cs="Times New Roman"/>
                <w:lang w:val="en-US" w:eastAsia="zh-CN"/>
              </w:rPr>
              <w:t>公司持续践行“产品系列化、客户全覆盖”的市场战略，不断丰富产品品类，持续推进新客户及新产品拓展，为主营业务稳健增长建立良好基础。2026年上半年，公司OLED终端材料实现销售收入2.76亿元，同比增长5.20%，其中二季度较一季度环比增长37.88%。公司</w:t>
            </w:r>
            <w:r>
              <w:rPr>
                <w:rFonts w:hint="default" w:ascii="Times New Roman" w:hAnsi="Times New Roman" w:eastAsia="宋体" w:cs="Times New Roman"/>
              </w:rPr>
              <w:t>Red Prime、Green Host、Red Host材料</w:t>
            </w:r>
            <w:r>
              <w:rPr>
                <w:rFonts w:hint="default" w:ascii="Times New Roman" w:hAnsi="Times New Roman" w:eastAsia="宋体" w:cs="Times New Roman"/>
                <w:lang w:val="en-US" w:eastAsia="zh-CN"/>
              </w:rPr>
              <w:t>在现有6代线稳定</w:t>
            </w:r>
            <w:r>
              <w:rPr>
                <w:rFonts w:hint="default" w:ascii="Times New Roman" w:hAnsi="Times New Roman" w:eastAsia="宋体" w:cs="Times New Roman"/>
              </w:rPr>
              <w:t>规模化量产</w:t>
            </w:r>
            <w:r>
              <w:rPr>
                <w:rFonts w:hint="default" w:ascii="Times New Roman" w:hAnsi="Times New Roman" w:eastAsia="宋体" w:cs="Times New Roman"/>
                <w:lang w:val="en-US" w:eastAsia="zh-CN"/>
              </w:rPr>
              <w:t>的基础上</w:t>
            </w:r>
            <w:r>
              <w:rPr>
                <w:rFonts w:hint="default" w:ascii="Times New Roman" w:hAnsi="Times New Roman" w:eastAsia="宋体" w:cs="Times New Roman"/>
                <w:lang w:eastAsia="zh-CN"/>
              </w:rPr>
              <w:t>，</w:t>
            </w:r>
            <w:r>
              <w:rPr>
                <w:rFonts w:hint="default" w:ascii="Times New Roman" w:hAnsi="Times New Roman" w:eastAsia="宋体" w:cs="Times New Roman"/>
              </w:rPr>
              <w:t>顺利进入京东方8.6代AMOLED产线实现量产供货，</w:t>
            </w:r>
            <w:r>
              <w:rPr>
                <w:rFonts w:hint="default" w:ascii="Times New Roman" w:hAnsi="Times New Roman" w:eastAsia="宋体" w:cs="Times New Roman"/>
                <w:lang w:val="en-US" w:eastAsia="zh-CN"/>
              </w:rPr>
              <w:t>收入</w:t>
            </w:r>
            <w:r>
              <w:rPr>
                <w:rFonts w:hint="default" w:ascii="Times New Roman" w:hAnsi="Times New Roman" w:eastAsia="宋体" w:cs="Times New Roman"/>
              </w:rPr>
              <w:t>季度环比均实现增长</w:t>
            </w:r>
            <w:r>
              <w:rPr>
                <w:rFonts w:hint="default" w:ascii="Times New Roman" w:hAnsi="Times New Roman" w:eastAsia="宋体" w:cs="Times New Roman"/>
                <w:lang w:eastAsia="zh-CN"/>
              </w:rPr>
              <w:t>；</w:t>
            </w:r>
            <w:r>
              <w:rPr>
                <w:rFonts w:hint="default" w:ascii="Times New Roman" w:hAnsi="Times New Roman" w:eastAsia="宋体" w:cs="Times New Roman"/>
                <w:lang w:val="en-US" w:eastAsia="zh-CN"/>
              </w:rPr>
              <w:t>新产品Green Prime材料顺利达成量产；蓝光系列材料、热活化延迟荧光类</w:t>
            </w:r>
            <w:r>
              <w:rPr>
                <w:rFonts w:hint="eastAsia" w:ascii="Times New Roman" w:hAnsi="Times New Roman" w:eastAsia="宋体" w:cs="Times New Roman"/>
                <w:lang w:val="en-US" w:eastAsia="zh-CN"/>
              </w:rPr>
              <w:t>Green Dopant</w:t>
            </w:r>
            <w:r>
              <w:rPr>
                <w:rFonts w:hint="default" w:ascii="Times New Roman" w:hAnsi="Times New Roman" w:eastAsia="宋体" w:cs="Times New Roman"/>
                <w:lang w:val="en-US" w:eastAsia="zh-CN"/>
              </w:rPr>
              <w:t>材料、CGL材料持续推进客户端导入验证工作。同时，蓝色磷光、窄光谱高色域MR-TADF等前沿技术产品研发进展有序推进，公司持续开展产品性能测试与客户验证工作。印刷OLED终端材料领域，公司已搭建旋涂器件验证平台，具备独立开展喷墨材料验证测试能力，凭借长期技术积淀，结合机器学习与仿真计算，实现喷墨打印材料分子结构精细化调控，攻克材料高溶解度与高迁移率难以协同的行业难题，持续推进多款印刷类OLED终端材料的研发及送样测试工作。</w:t>
            </w:r>
            <w:r>
              <w:rPr>
                <w:rFonts w:hint="default" w:ascii="Times New Roman" w:hAnsi="Times New Roman" w:eastAsia="宋体" w:cs="Times New Roman"/>
              </w:rPr>
              <w:t>公司始终维持高强度研发投入，持续完善产品矩阵，夯实主业发展根基，为后续业绩增长积蓄动能。</w:t>
            </w:r>
          </w:p>
          <w:p w14:paraId="626F3562">
            <w:pPr>
              <w:widowControl/>
              <w:spacing w:before="50" w:line="360" w:lineRule="auto"/>
              <w:ind w:firstLine="422" w:firstLineChars="200"/>
              <w:rPr>
                <w:rFonts w:ascii="Times New Roman" w:hAnsi="Times New Roman" w:eastAsia="宋体" w:cs="Times New Roman"/>
                <w:b/>
                <w:szCs w:val="21"/>
                <w:lang w:bidi="ar"/>
              </w:rPr>
            </w:pPr>
            <w:r>
              <w:rPr>
                <w:rFonts w:ascii="Times New Roman" w:hAnsi="Times New Roman" w:eastAsia="宋体" w:cs="Times New Roman"/>
                <w:b/>
                <w:szCs w:val="21"/>
                <w:lang w:bidi="ar"/>
              </w:rPr>
              <w:t>问题</w:t>
            </w:r>
            <w:r>
              <w:rPr>
                <w:rFonts w:hint="eastAsia" w:ascii="Times New Roman" w:hAnsi="Times New Roman" w:eastAsia="宋体" w:cs="Times New Roman"/>
                <w:b/>
                <w:szCs w:val="21"/>
                <w:lang w:val="en-US" w:eastAsia="zh-CN" w:bidi="ar"/>
              </w:rPr>
              <w:t>3</w:t>
            </w:r>
            <w:r>
              <w:rPr>
                <w:rFonts w:hint="eastAsia" w:ascii="Times New Roman" w:hAnsi="Times New Roman" w:eastAsia="宋体" w:cs="Times New Roman"/>
                <w:b/>
                <w:szCs w:val="21"/>
                <w:lang w:bidi="ar"/>
              </w:rPr>
              <w:t>：</w:t>
            </w:r>
            <w:r>
              <w:rPr>
                <w:rFonts w:hint="eastAsia" w:ascii="Times New Roman" w:hAnsi="Times New Roman" w:eastAsia="宋体" w:cs="Times New Roman"/>
                <w:b/>
                <w:bCs/>
                <w:lang w:val="en-US" w:eastAsia="zh-CN"/>
              </w:rPr>
              <w:t>能看到</w:t>
            </w:r>
            <w:r>
              <w:rPr>
                <w:rFonts w:hint="default" w:ascii="Times New Roman" w:hAnsi="Times New Roman" w:eastAsia="宋体" w:cs="Times New Roman"/>
                <w:b/>
                <w:bCs/>
                <w:lang w:val="en-US" w:eastAsia="zh-CN"/>
              </w:rPr>
              <w:t>公司OLED终端材料</w:t>
            </w:r>
            <w:r>
              <w:rPr>
                <w:rFonts w:hint="eastAsia" w:ascii="Times New Roman" w:hAnsi="Times New Roman" w:eastAsia="宋体" w:cs="Times New Roman"/>
                <w:b/>
                <w:bCs/>
                <w:lang w:val="en-US" w:eastAsia="zh-CN"/>
              </w:rPr>
              <w:t>品类不断丰富，请问</w:t>
            </w:r>
            <w:r>
              <w:rPr>
                <w:rFonts w:hint="default" w:ascii="Times New Roman" w:hAnsi="Times New Roman" w:eastAsia="宋体" w:cs="Times New Roman"/>
                <w:b/>
                <w:bCs/>
                <w:lang w:val="en-US" w:eastAsia="zh-CN"/>
              </w:rPr>
              <w:t>客户拓展</w:t>
            </w:r>
            <w:r>
              <w:rPr>
                <w:rFonts w:hint="eastAsia" w:ascii="Times New Roman" w:hAnsi="Times New Roman" w:eastAsia="宋体" w:cs="Times New Roman"/>
                <w:b/>
                <w:bCs/>
                <w:lang w:val="en-US" w:eastAsia="zh-CN"/>
              </w:rPr>
              <w:t>方面</w:t>
            </w:r>
            <w:r>
              <w:rPr>
                <w:rFonts w:hint="default" w:ascii="Times New Roman" w:hAnsi="Times New Roman" w:eastAsia="宋体" w:cs="Times New Roman"/>
                <w:b/>
                <w:bCs/>
                <w:lang w:val="en-US" w:eastAsia="zh-CN"/>
              </w:rPr>
              <w:t>进展如何？</w:t>
            </w:r>
          </w:p>
          <w:p w14:paraId="0AF0DF7E">
            <w:pPr>
              <w:widowControl/>
              <w:spacing w:before="50"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答：</w:t>
            </w:r>
            <w:r>
              <w:rPr>
                <w:rFonts w:hint="default" w:ascii="Times New Roman" w:hAnsi="Times New Roman" w:eastAsia="宋体" w:cs="Times New Roman"/>
                <w:lang w:val="en-US" w:eastAsia="zh-CN"/>
              </w:rPr>
              <w:t>公司与京东方、天马、华星光电、信利、惠科、视涯科技等国内主流OLED面板厂商、硅基OLED微型显示屏厂商建立长期稳定合作关系，采用公司OLED终端材料生产的面板，已广泛应用于华为、荣耀、OPPO、VIVO、联想、北美某知名电子企业及车载显示终端等国内外知名终端品牌产品。同时</w:t>
            </w:r>
            <w:r>
              <w:rPr>
                <w:rFonts w:hint="eastAsia" w:ascii="Times New Roman" w:hAnsi="Times New Roman" w:eastAsia="宋体" w:cs="Times New Roman"/>
                <w:lang w:val="en-US" w:eastAsia="zh-CN"/>
              </w:rPr>
              <w:t>，公司</w:t>
            </w:r>
            <w:r>
              <w:rPr>
                <w:rFonts w:hint="default" w:ascii="Times New Roman" w:hAnsi="Times New Roman" w:eastAsia="宋体" w:cs="Times New Roman"/>
                <w:lang w:val="en-US" w:eastAsia="zh-CN"/>
              </w:rPr>
              <w:t>积极对接海外OLED面板厂商，多款终端材料持续测试验证中，有望为公司开拓海外增量市场、完善全球化布局提供重要支撑，进一步提升国际市场综合竞争力。</w:t>
            </w:r>
          </w:p>
          <w:p w14:paraId="4CA257B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ascii="Times New Roman" w:hAnsi="Times New Roman" w:eastAsia="宋体" w:cs="Times New Roman"/>
                <w:b/>
                <w:szCs w:val="21"/>
                <w:lang w:bidi="ar"/>
              </w:rPr>
            </w:pPr>
            <w:r>
              <w:rPr>
                <w:rFonts w:ascii="Times New Roman" w:hAnsi="Times New Roman" w:eastAsia="宋体" w:cs="Times New Roman"/>
                <w:b/>
                <w:szCs w:val="21"/>
                <w:lang w:bidi="ar"/>
              </w:rPr>
              <w:t>问题</w:t>
            </w:r>
            <w:r>
              <w:rPr>
                <w:rFonts w:hint="eastAsia" w:ascii="Times New Roman" w:hAnsi="Times New Roman" w:eastAsia="宋体" w:cs="Times New Roman"/>
                <w:b/>
                <w:szCs w:val="21"/>
                <w:lang w:val="en-US" w:eastAsia="zh-CN" w:bidi="ar"/>
              </w:rPr>
              <w:t>4</w:t>
            </w:r>
            <w:r>
              <w:rPr>
                <w:rFonts w:ascii="Times New Roman" w:hAnsi="Times New Roman" w:eastAsia="宋体" w:cs="Times New Roman"/>
                <w:b/>
                <w:szCs w:val="21"/>
                <w:lang w:bidi="ar"/>
              </w:rPr>
              <w:t>：</w:t>
            </w:r>
            <w:r>
              <w:rPr>
                <w:rFonts w:hint="default" w:ascii="Times New Roman" w:hAnsi="Times New Roman" w:eastAsia="宋体" w:cs="Times New Roman"/>
                <w:b/>
                <w:bCs/>
                <w:lang w:val="en-US" w:eastAsia="zh-CN"/>
              </w:rPr>
              <w:t>公司OLED中间体业务进展？</w:t>
            </w:r>
          </w:p>
          <w:bookmarkEnd w:id="1"/>
          <w:bookmarkEnd w:id="2"/>
          <w:p w14:paraId="25919498">
            <w:pPr>
              <w:spacing w:before="50" w:line="360" w:lineRule="auto"/>
              <w:ind w:firstLine="420" w:firstLineChars="200"/>
              <w:rPr>
                <w:rFonts w:ascii="Times New Roman" w:hAnsi="Times New Roman" w:eastAsia="宋体" w:cs="Times New Roman"/>
                <w:szCs w:val="21"/>
                <w:lang w:bidi="ar"/>
              </w:rPr>
            </w:pPr>
            <w:bookmarkStart w:id="5" w:name="OLE_LINK7"/>
            <w:r>
              <w:rPr>
                <w:rFonts w:hint="eastAsia" w:ascii="Times New Roman" w:hAnsi="Times New Roman" w:eastAsia="宋体" w:cs="Times New Roman"/>
                <w:szCs w:val="21"/>
                <w:lang w:bidi="ar"/>
              </w:rPr>
              <w:t>答：</w:t>
            </w:r>
            <w:r>
              <w:rPr>
                <w:rFonts w:hint="default" w:ascii="Times New Roman" w:hAnsi="Times New Roman" w:eastAsia="宋体" w:cs="Times New Roman"/>
                <w:lang w:val="en-US" w:eastAsia="zh-CN"/>
              </w:rPr>
              <w:t>公司OLED中间体业务稳步增长，</w:t>
            </w:r>
            <w:r>
              <w:rPr>
                <w:rFonts w:hint="eastAsia" w:ascii="Times New Roman" w:hAnsi="Times New Roman" w:eastAsia="宋体" w:cs="Times New Roman"/>
                <w:lang w:val="en-US" w:eastAsia="zh-CN"/>
              </w:rPr>
              <w:t>上半年</w:t>
            </w:r>
            <w:r>
              <w:rPr>
                <w:rFonts w:hint="default" w:ascii="Times New Roman" w:hAnsi="Times New Roman" w:eastAsia="宋体" w:cs="Times New Roman"/>
                <w:lang w:val="en-US" w:eastAsia="zh-CN"/>
              </w:rPr>
              <w:t>实现销售收入1,505.00万元，同比增长10.04%。产品结构持续优化，高附加值的核心氘代中间体收入稳步提升，产品核心竞争力进一步增强。客户方面，公司积极拓展海外终端材料客户，目前已实现对Solus、PH Tech、LGC、DSTP等客户的量产供货。同时，公司持续跟进客户新项目的产品研发与验证测试，多个新项目已顺利通过客户验证测试，有望在2026年下半年进入量产供货，为后续业务增量及海外市场拓展奠定坚实基础。</w:t>
            </w:r>
          </w:p>
          <w:p w14:paraId="3257B8E9">
            <w:pPr>
              <w:numPr>
                <w:ilvl w:val="0"/>
                <w:numId w:val="0"/>
              </w:numPr>
              <w:adjustRightInd w:val="0"/>
              <w:snapToGrid w:val="0"/>
              <w:spacing w:before="72" w:beforeLines="30" w:after="72" w:afterLines="30" w:line="400" w:lineRule="exact"/>
              <w:ind w:firstLine="422" w:firstLineChars="200"/>
              <w:rPr>
                <w:rFonts w:ascii="Times New Roman" w:hAnsi="Times New Roman" w:cs="Times New Roman"/>
                <w:b/>
                <w:szCs w:val="21"/>
                <w:lang w:bidi="ar"/>
              </w:rPr>
            </w:pPr>
            <w:r>
              <w:rPr>
                <w:rFonts w:hint="eastAsia" w:ascii="Times New Roman" w:hAnsi="Times New Roman" w:cs="Times New Roman"/>
                <w:b/>
                <w:szCs w:val="21"/>
                <w:lang w:bidi="ar"/>
              </w:rPr>
              <w:t>问题</w:t>
            </w:r>
            <w:r>
              <w:rPr>
                <w:rFonts w:hint="eastAsia" w:ascii="Times New Roman" w:hAnsi="Times New Roman" w:cs="Times New Roman"/>
                <w:b/>
                <w:szCs w:val="21"/>
                <w:lang w:val="en-US" w:eastAsia="zh-CN" w:bidi="ar"/>
              </w:rPr>
              <w:t>5</w:t>
            </w:r>
            <w:r>
              <w:rPr>
                <w:rFonts w:hint="eastAsia" w:ascii="Times New Roman" w:hAnsi="Times New Roman" w:cs="Times New Roman"/>
                <w:b/>
                <w:szCs w:val="21"/>
                <w:lang w:bidi="ar"/>
              </w:rPr>
              <w:t>：</w:t>
            </w:r>
            <w:r>
              <w:rPr>
                <w:rFonts w:hint="default" w:ascii="Times New Roman" w:hAnsi="Times New Roman" w:cs="Times New Roman"/>
                <w:b/>
                <w:bCs/>
              </w:rPr>
              <w:t>Q布项目</w:t>
            </w:r>
            <w:r>
              <w:rPr>
                <w:rFonts w:hint="eastAsia" w:ascii="Times New Roman" w:hAnsi="Times New Roman" w:cs="Times New Roman"/>
                <w:b/>
                <w:bCs/>
                <w:lang w:val="en-US" w:eastAsia="zh-CN"/>
              </w:rPr>
              <w:t>作为公司</w:t>
            </w:r>
            <w:r>
              <w:rPr>
                <w:rFonts w:hint="default" w:ascii="Times New Roman" w:hAnsi="Times New Roman" w:cs="Times New Roman"/>
                <w:b/>
                <w:bCs/>
              </w:rPr>
              <w:t>“第二增长曲线”</w:t>
            </w:r>
            <w:r>
              <w:rPr>
                <w:rFonts w:hint="eastAsia" w:ascii="Times New Roman" w:hAnsi="Times New Roman" w:cs="Times New Roman"/>
                <w:b/>
                <w:bCs/>
                <w:lang w:eastAsia="zh-CN"/>
              </w:rPr>
              <w:t>，</w:t>
            </w:r>
            <w:r>
              <w:rPr>
                <w:rFonts w:hint="eastAsia" w:ascii="Times New Roman" w:hAnsi="Times New Roman" w:cs="Times New Roman"/>
                <w:b/>
                <w:bCs/>
                <w:lang w:val="en-US" w:eastAsia="zh-CN"/>
              </w:rPr>
              <w:t>最新</w:t>
            </w:r>
            <w:r>
              <w:rPr>
                <w:rFonts w:hint="default" w:ascii="Times New Roman" w:hAnsi="Times New Roman" w:cs="Times New Roman"/>
                <w:b/>
                <w:bCs/>
              </w:rPr>
              <w:t>进展</w:t>
            </w:r>
            <w:r>
              <w:rPr>
                <w:rFonts w:hint="eastAsia" w:ascii="Times New Roman" w:hAnsi="Times New Roman" w:cs="Times New Roman"/>
                <w:b/>
                <w:bCs/>
                <w:lang w:val="en-US" w:eastAsia="zh-CN"/>
              </w:rPr>
              <w:t>如何</w:t>
            </w:r>
            <w:r>
              <w:rPr>
                <w:rFonts w:hint="default" w:ascii="Times New Roman" w:hAnsi="Times New Roman" w:cs="Times New Roman"/>
                <w:b/>
                <w:bCs/>
                <w:lang w:val="en-US" w:eastAsia="zh-CN"/>
              </w:rPr>
              <w:t>？</w:t>
            </w:r>
          </w:p>
          <w:bookmarkEnd w:id="3"/>
          <w:bookmarkEnd w:id="4"/>
          <w:bookmarkEnd w:id="5"/>
          <w:p w14:paraId="66EE4AB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lang w:val="en-US" w:eastAsia="zh-CN"/>
              </w:rPr>
            </w:pPr>
            <w:r>
              <w:rPr>
                <w:rFonts w:hint="eastAsia" w:ascii="Times New Roman" w:hAnsi="Times New Roman" w:eastAsia="宋体" w:cs="Times New Roman"/>
                <w:color w:val="000000" w:themeColor="text1"/>
                <w:lang w:bidi="ar"/>
                <w14:textFill>
                  <w14:solidFill>
                    <w14:schemeClr w14:val="tx1"/>
                  </w14:solidFill>
                </w14:textFill>
              </w:rPr>
              <w:t>答：</w:t>
            </w:r>
            <w:r>
              <w:rPr>
                <w:rFonts w:hint="default" w:ascii="Times New Roman" w:hAnsi="Times New Roman" w:eastAsia="宋体" w:cs="Times New Roman"/>
                <w:lang w:val="en-US" w:eastAsia="zh-CN"/>
              </w:rPr>
              <w:t>2026年上半年，</w:t>
            </w:r>
            <w:r>
              <w:rPr>
                <w:rFonts w:hint="eastAsia" w:ascii="Times New Roman" w:hAnsi="Times New Roman" w:eastAsia="宋体" w:cs="Times New Roman"/>
                <w:lang w:val="en-US" w:eastAsia="zh-CN"/>
              </w:rPr>
              <w:t>Q布</w:t>
            </w:r>
            <w:r>
              <w:rPr>
                <w:rFonts w:hint="default" w:ascii="Times New Roman" w:hAnsi="Times New Roman" w:eastAsia="宋体" w:cs="Times New Roman"/>
                <w:lang w:val="en-US" w:eastAsia="zh-CN"/>
              </w:rPr>
              <w:t>项目取得了里程碑式的进展：产能建设方面，厂房建设加速施工，预计下半年实现全面封顶，主要生产设备已悉数完成采购，预计三季度将迎来首批设备交付安装，为规模化产能释放构筑可靠基础；产品研发方面，公司聚焦高频高速覆铜板需求，中试线已完成石英电子纱产品开发及小批量生产，并开展多种型号超薄电子布样品的织造开发及评测，储备了行业先进技术，同时持续优化原材料适配、拉丝、织造等关键工艺，产品性能指标持续对标国际领先水平，为顺利通过客户认证、落地批量供货夯实技术支撑；团队建设方面，公司持续优化人才梯队，重点引进多名行业内具备深厚影响力的核心技术人才，生产、研发、质量、工艺等核心岗位均拥有头部国际企业从业背景，精通全流程生产工艺，积累了多年拉丝、织布规模化量产实操经验；同时公司提前配齐一线生产人员、搭建标准化培训道场，从人才储备、技能培训层面全方位保障项目顺利落地。现阶段公司已利用现有厂房搭建中试线，中试线运行情况良好，各项指标符合内测预期，正抢抓进度推进正式客户送样。</w:t>
            </w:r>
          </w:p>
          <w:p w14:paraId="5649DB0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color w:val="000000" w:themeColor="text1"/>
                <w:lang w:bidi="ar"/>
                <w14:textFill>
                  <w14:solidFill>
                    <w14:schemeClr w14:val="tx1"/>
                  </w14:solidFill>
                </w14:textFill>
              </w:rPr>
            </w:pPr>
            <w:r>
              <w:rPr>
                <w:rFonts w:hint="default" w:ascii="Times New Roman" w:hAnsi="Times New Roman" w:eastAsia="宋体" w:cs="Times New Roman"/>
                <w:lang w:val="en-US" w:eastAsia="zh-CN"/>
              </w:rPr>
              <w:t>Q布项目各关键环节进展顺利，预计2027年二季度可形成100万米/月的电子布产能。后续将协同公司实控人在上游高纯石英砂的资源优势，持续优化拉丝、织布全流程工艺，稳步提升产品良率与生产稳定性。伴随下游终端市场需求放量，公司将快速匹配Q布项目产能，牢牢把握行业需求增长窗口期，持续打开Q布业务长期增长空间，提前完成产能、工艺、客户验证全链条储备，为未来终端市场需求集中释放做好充分准备。公司Q布业务尚未产生销售收入，短期内不会对公司经营业绩构成重大影响。</w:t>
            </w:r>
          </w:p>
          <w:p w14:paraId="6FF9E59C">
            <w:pPr>
              <w:widowControl/>
              <w:spacing w:before="50" w:line="360" w:lineRule="auto"/>
              <w:ind w:firstLine="422" w:firstLineChars="200"/>
              <w:rPr>
                <w:rFonts w:ascii="Times New Roman" w:hAnsi="Times New Roman" w:cs="Times New Roman"/>
                <w:b/>
                <w:szCs w:val="21"/>
                <w:lang w:bidi="ar"/>
              </w:rPr>
            </w:pPr>
            <w:r>
              <w:rPr>
                <w:rFonts w:hint="eastAsia" w:ascii="Times New Roman" w:hAnsi="Times New Roman" w:cs="Times New Roman"/>
                <w:b/>
                <w:szCs w:val="21"/>
                <w:lang w:bidi="ar"/>
              </w:rPr>
              <w:t>问题</w:t>
            </w:r>
            <w:r>
              <w:rPr>
                <w:rFonts w:hint="eastAsia" w:ascii="Times New Roman" w:hAnsi="Times New Roman" w:cs="Times New Roman"/>
                <w:b/>
                <w:szCs w:val="21"/>
                <w:lang w:val="en-US" w:eastAsia="zh-CN" w:bidi="ar"/>
              </w:rPr>
              <w:t>6</w:t>
            </w:r>
            <w:r>
              <w:rPr>
                <w:rFonts w:hint="eastAsia" w:ascii="Times New Roman" w:hAnsi="Times New Roman" w:cs="Times New Roman"/>
                <w:b/>
                <w:szCs w:val="21"/>
                <w:lang w:bidi="ar"/>
              </w:rPr>
              <w:t>：</w:t>
            </w:r>
            <w:r>
              <w:rPr>
                <w:rFonts w:hint="default" w:ascii="Times New Roman" w:hAnsi="Times New Roman" w:eastAsia="宋体" w:cs="Times New Roman"/>
                <w:b/>
                <w:bCs/>
                <w:lang w:val="en-US" w:eastAsia="zh-CN"/>
              </w:rPr>
              <w:t>公司钙钛矿业务</w:t>
            </w:r>
            <w:r>
              <w:rPr>
                <w:rFonts w:hint="default" w:ascii="Times New Roman" w:hAnsi="Times New Roman" w:cs="Times New Roman"/>
                <w:b/>
                <w:bCs/>
              </w:rPr>
              <w:t>进展</w:t>
            </w:r>
            <w:r>
              <w:rPr>
                <w:rFonts w:hint="default" w:ascii="Times New Roman" w:hAnsi="Times New Roman" w:cs="Times New Roman"/>
                <w:b/>
                <w:bCs/>
                <w:lang w:val="en-US" w:eastAsia="zh-CN"/>
              </w:rPr>
              <w:t>？</w:t>
            </w:r>
          </w:p>
          <w:p w14:paraId="745AFF40">
            <w:pPr>
              <w:widowControl/>
              <w:spacing w:before="50" w:line="360" w:lineRule="auto"/>
              <w:ind w:firstLine="420" w:firstLineChars="200"/>
              <w:rPr>
                <w:rFonts w:hint="default" w:ascii="Times New Roman" w:hAnsi="Times New Roman" w:cs="Times New Roman"/>
              </w:rPr>
            </w:pPr>
            <w:r>
              <w:rPr>
                <w:rFonts w:hint="eastAsia" w:ascii="Times New Roman" w:hAnsi="Times New Roman" w:eastAsia="宋体" w:cs="Times New Roman"/>
                <w:color w:val="000000" w:themeColor="text1"/>
                <w:lang w:bidi="ar"/>
                <w14:textFill>
                  <w14:solidFill>
                    <w14:schemeClr w14:val="tx1"/>
                  </w14:solidFill>
                </w14:textFill>
              </w:rPr>
              <w:t>答：</w:t>
            </w:r>
            <w:r>
              <w:rPr>
                <w:rFonts w:hint="default" w:ascii="Times New Roman" w:hAnsi="Times New Roman" w:eastAsia="宋体" w:cs="Times New Roman"/>
                <w:lang w:val="en-US" w:eastAsia="zh-CN"/>
              </w:rPr>
              <w:t>公司</w:t>
            </w:r>
            <w:r>
              <w:rPr>
                <w:rFonts w:hint="default" w:ascii="Times New Roman" w:hAnsi="Times New Roman" w:cs="Times New Roman"/>
              </w:rPr>
              <w:t>钙钛矿材料项目围绕材料研发、客户协同、知识产权布局和团队建设等多方面稳步推进，针对钙钛矿前驱体材料、缺陷调控添加剂、SAM材料、传输层材料等关键方向开展系统性攻关，相关材料已在下游客户持续测试验证中。产学研合作方面，公司与高校及科研机构协同创新，结合AI智能体辅助新材料开发，深入研究材料结构与器件老化底层关联逻辑，加速技术突破。客户协同方面，公司已与仁烁光能、京东方、隆基绿能分别签署相关合作协议，积极推进钙钛矿材料开发、验证与产业化落地，多款材料在客户端持续验证测试中，进展良好。</w:t>
            </w:r>
          </w:p>
          <w:p w14:paraId="7B3AD9E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ascii="Times New Roman" w:hAnsi="Times New Roman" w:cs="Times New Roman"/>
                <w:b/>
                <w:szCs w:val="21"/>
                <w:lang w:bidi="ar"/>
              </w:rPr>
            </w:pPr>
            <w:r>
              <w:rPr>
                <w:rFonts w:hint="eastAsia" w:ascii="Times New Roman" w:hAnsi="Times New Roman" w:cs="Times New Roman"/>
                <w:b/>
                <w:szCs w:val="21"/>
                <w:lang w:bidi="ar"/>
              </w:rPr>
              <w:t>问题</w:t>
            </w:r>
            <w:r>
              <w:rPr>
                <w:rFonts w:hint="eastAsia" w:ascii="Times New Roman" w:hAnsi="Times New Roman" w:cs="Times New Roman"/>
                <w:b/>
                <w:szCs w:val="21"/>
                <w:lang w:val="en-US" w:eastAsia="zh-CN" w:bidi="ar"/>
              </w:rPr>
              <w:t>7</w:t>
            </w:r>
            <w:r>
              <w:rPr>
                <w:rFonts w:hint="eastAsia" w:ascii="Times New Roman" w:hAnsi="Times New Roman" w:cs="Times New Roman"/>
                <w:b/>
                <w:szCs w:val="21"/>
                <w:lang w:bidi="ar"/>
              </w:rPr>
              <w:t>：</w:t>
            </w:r>
            <w:r>
              <w:rPr>
                <w:rFonts w:hint="eastAsia" w:ascii="Times New Roman" w:hAnsi="Times New Roman" w:eastAsia="宋体" w:cs="Times New Roman"/>
                <w:b/>
                <w:bCs/>
                <w:lang w:val="en-US" w:eastAsia="zh-CN"/>
              </w:rPr>
              <w:t>公司未来整体的战略规划？</w:t>
            </w:r>
          </w:p>
          <w:p w14:paraId="187AF9B0">
            <w:pPr>
              <w:widowControl/>
              <w:spacing w:before="50" w:line="360" w:lineRule="auto"/>
              <w:ind w:firstLine="420" w:firstLineChars="200"/>
              <w:rPr>
                <w:rFonts w:hint="eastAsia" w:ascii="Times New Roman" w:hAnsi="Times New Roman" w:eastAsia="宋体" w:cs="Times New Roman"/>
                <w:lang w:val="en-US" w:eastAsia="zh-CN"/>
              </w:rPr>
            </w:pPr>
            <w:r>
              <w:rPr>
                <w:rFonts w:hint="eastAsia" w:ascii="Times New Roman" w:hAnsi="Times New Roman" w:eastAsia="宋体" w:cs="Times New Roman"/>
                <w:color w:val="000000" w:themeColor="text1"/>
                <w:lang w:bidi="ar"/>
                <w14:textFill>
                  <w14:solidFill>
                    <w14:schemeClr w14:val="tx1"/>
                  </w14:solidFill>
                </w14:textFill>
              </w:rPr>
              <w:t>答：</w:t>
            </w:r>
            <w:r>
              <w:rPr>
                <w:rFonts w:hint="eastAsia" w:ascii="Times New Roman" w:hAnsi="Times New Roman" w:eastAsia="宋体" w:cs="Times New Roman"/>
                <w:lang w:val="en-US" w:eastAsia="zh-CN"/>
              </w:rPr>
              <w:t>公司始终坚持“新材料平台型企业”的战略发展定位，在深耕、做强、做优OLED有机材料核心主业的基础上，充分依托现有技术同源性优势与产业运营管理经验，业务延伸至医药中间体、钙钛矿材料、Q布等高潜赛道，持续拓宽业务版图、丰富产品结构，培育新的业务增长点，推动公司综合行业竞争力持续提升，助力企业实现长期稳健、可持续的高质量发展。</w:t>
            </w:r>
          </w:p>
          <w:p w14:paraId="20B8D82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ascii="Times New Roman" w:hAnsi="Times New Roman" w:cs="Times New Roman"/>
                <w:b/>
                <w:szCs w:val="21"/>
                <w:lang w:bidi="ar"/>
              </w:rPr>
            </w:pPr>
            <w:r>
              <w:rPr>
                <w:rFonts w:hint="eastAsia" w:ascii="Times New Roman" w:hAnsi="Times New Roman" w:cs="Times New Roman"/>
                <w:b/>
                <w:szCs w:val="21"/>
                <w:lang w:bidi="ar"/>
              </w:rPr>
              <w:t>问题</w:t>
            </w:r>
            <w:r>
              <w:rPr>
                <w:rFonts w:hint="eastAsia" w:ascii="Times New Roman" w:hAnsi="Times New Roman" w:cs="Times New Roman"/>
                <w:b/>
                <w:szCs w:val="21"/>
                <w:lang w:val="en-US" w:eastAsia="zh-CN" w:bidi="ar"/>
              </w:rPr>
              <w:t>8</w:t>
            </w:r>
            <w:r>
              <w:rPr>
                <w:rFonts w:hint="eastAsia" w:ascii="Times New Roman" w:hAnsi="Times New Roman" w:cs="Times New Roman"/>
                <w:b/>
                <w:szCs w:val="21"/>
                <w:lang w:bidi="ar"/>
              </w:rPr>
              <w:t>：</w:t>
            </w:r>
            <w:r>
              <w:rPr>
                <w:rFonts w:hint="eastAsia" w:ascii="Times New Roman" w:hAnsi="Times New Roman" w:eastAsia="宋体" w:cs="Times New Roman"/>
                <w:b/>
                <w:bCs/>
                <w:lang w:val="en-US" w:eastAsia="zh-CN"/>
              </w:rPr>
              <w:t>公司可转债当前进展？</w:t>
            </w:r>
          </w:p>
          <w:p w14:paraId="4CFB2AD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lang w:val="en-US" w:eastAsia="zh-CN"/>
              </w:rPr>
            </w:pPr>
            <w:r>
              <w:rPr>
                <w:rFonts w:hint="eastAsia" w:ascii="Times New Roman" w:hAnsi="Times New Roman" w:eastAsia="宋体" w:cs="Times New Roman"/>
                <w:color w:val="000000" w:themeColor="text1"/>
                <w:lang w:bidi="ar"/>
                <w14:textFill>
                  <w14:solidFill>
                    <w14:schemeClr w14:val="tx1"/>
                  </w14:solidFill>
                </w14:textFill>
              </w:rPr>
              <w:t>答：</w:t>
            </w:r>
            <w:r>
              <w:rPr>
                <w:rFonts w:hint="default" w:ascii="Times New Roman" w:hAnsi="Times New Roman" w:eastAsia="宋体" w:cs="Times New Roman"/>
                <w:lang w:val="en-US" w:eastAsia="zh-CN"/>
              </w:rPr>
              <w:t>为扩大公司经营规模，增强公司的综合竞争力和持续盈利能力，公司在陕西省渭南市蒲城县高新技术产业开发区计划新建生产车间及其配套的辅助工程和服务设施，用于OLED中间体、OLED升华前材料、医药中间体和钙钛矿材料等产品的研发与生产。为满足公司业务发展的资金需求，依据有关法律法规、规范性文件和《公司章程》的规定，公司拟向不特定对象发行可转换公司债券，募集资金总额（含发行费用）不超过人民币52,477.98万元（含本数）。本次可转债已通过上交所上市审核委员会审议，目前尚待获取中国证监会同意注册的批文。</w:t>
            </w:r>
          </w:p>
        </w:tc>
      </w:tr>
      <w:tr w14:paraId="41F5E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1191" w:type="dxa"/>
            <w:tcBorders>
              <w:top w:val="single" w:color="auto" w:sz="4" w:space="0"/>
              <w:left w:val="single" w:color="auto" w:sz="4" w:space="0"/>
              <w:bottom w:val="single" w:color="auto" w:sz="4" w:space="0"/>
              <w:right w:val="single" w:color="auto" w:sz="4" w:space="0"/>
            </w:tcBorders>
            <w:vAlign w:val="center"/>
          </w:tcPr>
          <w:p w14:paraId="6C088B37">
            <w:pPr>
              <w:spacing w:line="400" w:lineRule="exact"/>
              <w:jc w:val="center"/>
              <w:rPr>
                <w:rFonts w:ascii="Times New Roman" w:hAnsi="Times New Roman" w:cs="Times New Roman"/>
                <w:b/>
                <w:bCs/>
                <w:iCs/>
                <w:sz w:val="24"/>
              </w:rPr>
            </w:pPr>
            <w:r>
              <w:rPr>
                <w:rFonts w:ascii="Times New Roman" w:hAnsi="Times New Roman" w:cs="Times New Roman"/>
                <w:b/>
                <w:bCs/>
                <w:iCs/>
                <w:sz w:val="24"/>
                <w:lang w:bidi="ar"/>
              </w:rPr>
              <w:t>是否涉及应当披露重大信息</w:t>
            </w:r>
          </w:p>
        </w:tc>
        <w:tc>
          <w:tcPr>
            <w:tcW w:w="8160" w:type="dxa"/>
            <w:tcBorders>
              <w:top w:val="single" w:color="auto" w:sz="4" w:space="0"/>
              <w:left w:val="single" w:color="auto" w:sz="4" w:space="0"/>
              <w:bottom w:val="single" w:color="auto" w:sz="4" w:space="0"/>
              <w:right w:val="single" w:color="auto" w:sz="4" w:space="0"/>
            </w:tcBorders>
            <w:vAlign w:val="center"/>
          </w:tcPr>
          <w:p w14:paraId="4F42992D">
            <w:pPr>
              <w:widowControl/>
              <w:spacing w:before="156" w:beforeLines="50" w:after="156" w:afterLines="50" w:line="360" w:lineRule="auto"/>
              <w:jc w:val="left"/>
              <w:rPr>
                <w:rFonts w:ascii="Times New Roman" w:hAnsi="Times New Roman" w:cs="Times New Roman"/>
                <w:sz w:val="24"/>
                <w:szCs w:val="22"/>
              </w:rPr>
            </w:pPr>
            <w:r>
              <w:rPr>
                <w:rFonts w:ascii="Times New Roman" w:hAnsi="Times New Roman" w:cs="Times New Roman"/>
                <w:sz w:val="24"/>
                <w:szCs w:val="22"/>
                <w:lang w:bidi="ar"/>
              </w:rPr>
              <w:t>否</w:t>
            </w:r>
          </w:p>
        </w:tc>
      </w:tr>
      <w:tr w14:paraId="2A64C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dxa"/>
            <w:tcBorders>
              <w:top w:val="single" w:color="auto" w:sz="4" w:space="0"/>
              <w:left w:val="single" w:color="auto" w:sz="4" w:space="0"/>
              <w:bottom w:val="single" w:color="auto" w:sz="4" w:space="0"/>
              <w:right w:val="single" w:color="auto" w:sz="4" w:space="0"/>
            </w:tcBorders>
            <w:vAlign w:val="center"/>
          </w:tcPr>
          <w:p w14:paraId="69494DE9">
            <w:pPr>
              <w:spacing w:line="400" w:lineRule="exact"/>
              <w:jc w:val="center"/>
              <w:rPr>
                <w:rFonts w:ascii="Times New Roman" w:hAnsi="Times New Roman" w:cs="Times New Roman"/>
                <w:b/>
                <w:bCs/>
                <w:iCs/>
                <w:sz w:val="24"/>
              </w:rPr>
            </w:pPr>
            <w:r>
              <w:rPr>
                <w:rFonts w:ascii="Times New Roman" w:hAnsi="Times New Roman" w:cs="Times New Roman"/>
                <w:b/>
                <w:bCs/>
                <w:iCs/>
                <w:sz w:val="24"/>
                <w:lang w:bidi="ar"/>
              </w:rPr>
              <w:t>附件清单（如有）</w:t>
            </w:r>
          </w:p>
        </w:tc>
        <w:tc>
          <w:tcPr>
            <w:tcW w:w="8160" w:type="dxa"/>
            <w:tcBorders>
              <w:top w:val="single" w:color="auto" w:sz="4" w:space="0"/>
              <w:left w:val="single" w:color="auto" w:sz="4" w:space="0"/>
              <w:bottom w:val="single" w:color="auto" w:sz="4" w:space="0"/>
              <w:right w:val="single" w:color="auto" w:sz="4" w:space="0"/>
            </w:tcBorders>
            <w:vAlign w:val="center"/>
          </w:tcPr>
          <w:p w14:paraId="461F2613">
            <w:pPr>
              <w:widowControl/>
              <w:spacing w:before="156" w:beforeLines="50" w:after="156" w:afterLines="50" w:line="360" w:lineRule="auto"/>
              <w:jc w:val="left"/>
              <w:rPr>
                <w:rFonts w:hint="eastAsia" w:ascii="Times New Roman" w:hAnsi="Times New Roman" w:cs="Times New Roman" w:eastAsiaTheme="minorEastAsia"/>
                <w:sz w:val="24"/>
                <w:szCs w:val="22"/>
                <w:lang w:val="en-US" w:eastAsia="zh-CN"/>
              </w:rPr>
            </w:pPr>
            <w:r>
              <w:rPr>
                <w:rFonts w:hint="eastAsia" w:ascii="Times New Roman" w:hAnsi="Times New Roman" w:cs="Times New Roman" w:eastAsiaTheme="minorEastAsia"/>
                <w:bCs/>
                <w:iCs/>
                <w:sz w:val="24"/>
                <w:lang w:val="en-US" w:eastAsia="zh-CN" w:bidi="ar"/>
              </w:rPr>
              <w:t>《陕西莱特光电材料股份有限公司2026年</w:t>
            </w:r>
            <w:r>
              <w:rPr>
                <w:rFonts w:hint="eastAsia" w:ascii="Times New Roman" w:hAnsi="Times New Roman" w:cs="Times New Roman"/>
                <w:bCs/>
                <w:iCs/>
                <w:sz w:val="24"/>
                <w:lang w:val="en-US" w:eastAsia="zh-CN" w:bidi="ar"/>
              </w:rPr>
              <w:t>8</w:t>
            </w:r>
            <w:r>
              <w:rPr>
                <w:rFonts w:hint="eastAsia" w:ascii="Times New Roman" w:hAnsi="Times New Roman" w:cs="Times New Roman" w:eastAsiaTheme="minorEastAsia"/>
                <w:bCs/>
                <w:iCs/>
                <w:sz w:val="24"/>
                <w:lang w:val="en-US" w:eastAsia="zh-CN" w:bidi="ar"/>
              </w:rPr>
              <w:t>月</w:t>
            </w:r>
            <w:r>
              <w:rPr>
                <w:rFonts w:hint="eastAsia" w:ascii="Times New Roman" w:hAnsi="Times New Roman" w:cs="Times New Roman"/>
                <w:bCs/>
                <w:iCs/>
                <w:sz w:val="24"/>
                <w:lang w:val="en-US" w:eastAsia="zh-CN" w:bidi="ar"/>
              </w:rPr>
              <w:t>31</w:t>
            </w:r>
            <w:r>
              <w:rPr>
                <w:rFonts w:hint="eastAsia" w:ascii="Times New Roman" w:hAnsi="Times New Roman" w:cs="Times New Roman" w:eastAsiaTheme="minorEastAsia"/>
                <w:bCs/>
                <w:iCs/>
                <w:sz w:val="24"/>
                <w:lang w:val="en-US" w:eastAsia="zh-CN" w:bidi="ar"/>
              </w:rPr>
              <w:t>日参会名单》</w:t>
            </w:r>
          </w:p>
        </w:tc>
      </w:tr>
      <w:tr w14:paraId="79855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1191" w:type="dxa"/>
            <w:tcBorders>
              <w:top w:val="single" w:color="auto" w:sz="4" w:space="0"/>
              <w:left w:val="single" w:color="auto" w:sz="4" w:space="0"/>
              <w:bottom w:val="single" w:color="auto" w:sz="4" w:space="0"/>
              <w:right w:val="single" w:color="auto" w:sz="4" w:space="0"/>
            </w:tcBorders>
            <w:vAlign w:val="center"/>
          </w:tcPr>
          <w:p w14:paraId="7F4FFA1D">
            <w:pPr>
              <w:spacing w:line="400" w:lineRule="exact"/>
              <w:jc w:val="center"/>
              <w:rPr>
                <w:rFonts w:ascii="Times New Roman" w:hAnsi="Times New Roman" w:cs="Times New Roman"/>
                <w:b/>
                <w:bCs/>
                <w:iCs/>
                <w:sz w:val="24"/>
              </w:rPr>
            </w:pPr>
            <w:r>
              <w:rPr>
                <w:rFonts w:ascii="Times New Roman" w:hAnsi="Times New Roman" w:cs="Times New Roman"/>
                <w:b/>
                <w:bCs/>
                <w:iCs/>
                <w:sz w:val="24"/>
                <w:lang w:bidi="ar"/>
              </w:rPr>
              <w:t>日期</w:t>
            </w:r>
          </w:p>
        </w:tc>
        <w:tc>
          <w:tcPr>
            <w:tcW w:w="8160" w:type="dxa"/>
            <w:tcBorders>
              <w:top w:val="single" w:color="auto" w:sz="4" w:space="0"/>
              <w:left w:val="single" w:color="auto" w:sz="4" w:space="0"/>
              <w:bottom w:val="single" w:color="auto" w:sz="4" w:space="0"/>
              <w:right w:val="single" w:color="auto" w:sz="4" w:space="0"/>
            </w:tcBorders>
            <w:vAlign w:val="center"/>
          </w:tcPr>
          <w:p w14:paraId="5E438439">
            <w:pPr>
              <w:widowControl/>
              <w:spacing w:before="156" w:beforeLines="50" w:after="156" w:afterLines="50" w:line="360" w:lineRule="auto"/>
              <w:jc w:val="left"/>
              <w:rPr>
                <w:rFonts w:ascii="Times New Roman" w:hAnsi="Times New Roman" w:cs="Times New Roman"/>
                <w:iCs/>
                <w:sz w:val="24"/>
              </w:rPr>
            </w:pPr>
            <w:r>
              <w:rPr>
                <w:rFonts w:ascii="Times New Roman" w:hAnsi="Times New Roman" w:cs="Times New Roman"/>
                <w:bCs/>
                <w:iCs/>
                <w:sz w:val="24"/>
                <w:lang w:bidi="ar"/>
              </w:rPr>
              <w:t>202</w:t>
            </w:r>
            <w:r>
              <w:rPr>
                <w:rFonts w:hint="eastAsia" w:ascii="Times New Roman" w:hAnsi="Times New Roman" w:cs="Times New Roman"/>
                <w:bCs/>
                <w:iCs/>
                <w:sz w:val="24"/>
                <w:lang w:bidi="ar"/>
              </w:rPr>
              <w:t>6</w:t>
            </w:r>
            <w:r>
              <w:rPr>
                <w:rFonts w:ascii="Times New Roman" w:hAnsi="Times New Roman" w:cs="Times New Roman"/>
                <w:bCs/>
                <w:iCs/>
                <w:sz w:val="24"/>
                <w:lang w:bidi="ar"/>
              </w:rPr>
              <w:t>年</w:t>
            </w:r>
            <w:r>
              <w:rPr>
                <w:rFonts w:hint="eastAsia" w:ascii="Times New Roman" w:hAnsi="Times New Roman" w:cs="Times New Roman"/>
                <w:bCs/>
                <w:iCs/>
                <w:sz w:val="24"/>
                <w:lang w:val="en-US" w:eastAsia="zh-CN" w:bidi="ar"/>
              </w:rPr>
              <w:t>8</w:t>
            </w:r>
            <w:r>
              <w:rPr>
                <w:rFonts w:hint="eastAsia" w:ascii="Times New Roman" w:hAnsi="Times New Roman" w:cs="Times New Roman"/>
                <w:bCs/>
                <w:iCs/>
                <w:sz w:val="24"/>
                <w:lang w:bidi="ar"/>
              </w:rPr>
              <w:t>月</w:t>
            </w:r>
            <w:r>
              <w:rPr>
                <w:rFonts w:hint="eastAsia" w:ascii="Times New Roman" w:hAnsi="Times New Roman" w:cs="Times New Roman"/>
                <w:bCs/>
                <w:iCs/>
                <w:sz w:val="24"/>
                <w:lang w:val="en-US" w:eastAsia="zh-CN" w:bidi="ar"/>
              </w:rPr>
              <w:t>31</w:t>
            </w:r>
            <w:r>
              <w:rPr>
                <w:rFonts w:hint="eastAsia" w:ascii="Times New Roman" w:hAnsi="Times New Roman" w:cs="Times New Roman"/>
                <w:bCs/>
                <w:iCs/>
                <w:sz w:val="24"/>
                <w:lang w:bidi="ar"/>
              </w:rPr>
              <w:t>日</w:t>
            </w:r>
          </w:p>
        </w:tc>
      </w:tr>
    </w:tbl>
    <w:p w14:paraId="6853BF83">
      <w:r>
        <w:br w:type="page"/>
      </w:r>
    </w:p>
    <w:p w14:paraId="25D0770B">
      <w:pPr>
        <w:rPr>
          <w:rFonts w:hint="eastAsia" w:ascii="Times New Roman" w:hAnsi="Times New Roman" w:cs="Times New Roman" w:eastAsiaTheme="minorEastAsia"/>
          <w:b/>
          <w:bCs w:val="0"/>
          <w:iCs/>
          <w:sz w:val="24"/>
          <w:lang w:val="en-US" w:eastAsia="zh-CN" w:bidi="ar"/>
        </w:rPr>
      </w:pPr>
      <w:r>
        <w:rPr>
          <w:rFonts w:hint="eastAsia" w:ascii="Times New Roman" w:hAnsi="Times New Roman" w:cs="Times New Roman"/>
          <w:b/>
          <w:bCs w:val="0"/>
          <w:iCs/>
          <w:sz w:val="24"/>
          <w:lang w:val="en-US" w:eastAsia="zh-CN" w:bidi="ar"/>
        </w:rPr>
        <w:t>附件：</w:t>
      </w:r>
      <w:r>
        <w:rPr>
          <w:rFonts w:hint="eastAsia" w:ascii="Times New Roman" w:hAnsi="Times New Roman" w:cs="Times New Roman" w:eastAsiaTheme="minorEastAsia"/>
          <w:b/>
          <w:bCs w:val="0"/>
          <w:iCs/>
          <w:sz w:val="24"/>
          <w:lang w:val="en-US" w:eastAsia="zh-CN" w:bidi="ar"/>
        </w:rPr>
        <w:t>《陕西莱特光电材料股份有限公司2026年</w:t>
      </w:r>
      <w:r>
        <w:rPr>
          <w:rFonts w:hint="eastAsia" w:ascii="Times New Roman" w:hAnsi="Times New Roman" w:cs="Times New Roman"/>
          <w:b/>
          <w:bCs w:val="0"/>
          <w:iCs/>
          <w:sz w:val="24"/>
          <w:lang w:val="en-US" w:eastAsia="zh-CN" w:bidi="ar"/>
        </w:rPr>
        <w:t>8</w:t>
      </w:r>
      <w:r>
        <w:rPr>
          <w:rFonts w:hint="eastAsia" w:ascii="Times New Roman" w:hAnsi="Times New Roman" w:cs="Times New Roman" w:eastAsiaTheme="minorEastAsia"/>
          <w:b/>
          <w:bCs w:val="0"/>
          <w:iCs/>
          <w:sz w:val="24"/>
          <w:lang w:val="en-US" w:eastAsia="zh-CN" w:bidi="ar"/>
        </w:rPr>
        <w:t>月</w:t>
      </w:r>
      <w:r>
        <w:rPr>
          <w:rFonts w:hint="eastAsia" w:ascii="Times New Roman" w:hAnsi="Times New Roman" w:cs="Times New Roman"/>
          <w:b/>
          <w:bCs w:val="0"/>
          <w:iCs/>
          <w:sz w:val="24"/>
          <w:lang w:val="en-US" w:eastAsia="zh-CN" w:bidi="ar"/>
        </w:rPr>
        <w:t>31</w:t>
      </w:r>
      <w:r>
        <w:rPr>
          <w:rFonts w:hint="eastAsia" w:ascii="Times New Roman" w:hAnsi="Times New Roman" w:cs="Times New Roman" w:eastAsiaTheme="minorEastAsia"/>
          <w:b/>
          <w:bCs w:val="0"/>
          <w:iCs/>
          <w:sz w:val="24"/>
          <w:lang w:val="en-US" w:eastAsia="zh-CN" w:bidi="ar"/>
        </w:rPr>
        <w:t>日参会名单》</w:t>
      </w:r>
    </w:p>
    <w:p w14:paraId="78597F53">
      <w:pPr>
        <w:rPr>
          <w:rFonts w:hint="eastAsia" w:ascii="Times New Roman" w:hAnsi="Times New Roman" w:cs="Times New Roman" w:eastAsiaTheme="minorEastAsia"/>
          <w:b/>
          <w:bCs w:val="0"/>
          <w:iCs/>
          <w:sz w:val="24"/>
          <w:lang w:val="en-US" w:eastAsia="zh-CN" w:bidi="ar"/>
        </w:rPr>
      </w:pPr>
      <w:bookmarkStart w:id="6" w:name="_GoBack"/>
      <w:bookmarkEnd w:id="6"/>
    </w:p>
    <w:tbl>
      <w:tblPr>
        <w:tblStyle w:val="7"/>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78"/>
        <w:gridCol w:w="7572"/>
      </w:tblGrid>
      <w:tr w14:paraId="233E3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994EE">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2"/>
                <w:szCs w:val="22"/>
                <w:u w:val="none"/>
              </w:rPr>
            </w:pPr>
            <w:r>
              <w:rPr>
                <w:rStyle w:val="16"/>
                <w:lang w:val="en-US" w:eastAsia="zh-CN" w:bidi="ar"/>
              </w:rPr>
              <w:t>序号</w:t>
            </w:r>
          </w:p>
        </w:tc>
        <w:tc>
          <w:tcPr>
            <w:tcW w:w="38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6E56C">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2"/>
                <w:szCs w:val="22"/>
                <w:u w:val="none"/>
              </w:rPr>
            </w:pPr>
            <w:r>
              <w:rPr>
                <w:rStyle w:val="16"/>
                <w:lang w:val="en-US" w:eastAsia="zh-CN" w:bidi="ar"/>
              </w:rPr>
              <w:t>机构名称</w:t>
            </w:r>
          </w:p>
        </w:tc>
      </w:tr>
      <w:tr w14:paraId="6A2CF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D0414">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1</w:t>
            </w:r>
          </w:p>
        </w:tc>
        <w:tc>
          <w:tcPr>
            <w:tcW w:w="38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1346D6">
            <w:pPr>
              <w:keepNext w:val="0"/>
              <w:keepLines w:val="0"/>
              <w:widowControl/>
              <w:suppressLineNumbers w:val="0"/>
              <w:jc w:val="center"/>
              <w:textAlignment w:val="bottom"/>
              <w:rPr>
                <w:rFonts w:hint="default" w:ascii="Times New Roman" w:hAnsi="Times New Roman" w:eastAsia="等线" w:cs="Times New Roman"/>
                <w:i w:val="0"/>
                <w:iCs w:val="0"/>
                <w:color w:val="000000"/>
                <w:sz w:val="22"/>
                <w:szCs w:val="22"/>
                <w:u w:val="none"/>
              </w:rPr>
            </w:pPr>
            <w:r>
              <w:rPr>
                <w:rStyle w:val="17"/>
                <w:lang w:val="en-US" w:eastAsia="zh-CN" w:bidi="ar"/>
              </w:rPr>
              <w:t>兴业银行股份有限公司</w:t>
            </w:r>
          </w:p>
        </w:tc>
      </w:tr>
      <w:tr w14:paraId="6E791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A3A3C">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2</w:t>
            </w:r>
          </w:p>
        </w:tc>
        <w:tc>
          <w:tcPr>
            <w:tcW w:w="38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525949">
            <w:pPr>
              <w:keepNext w:val="0"/>
              <w:keepLines w:val="0"/>
              <w:widowControl/>
              <w:suppressLineNumbers w:val="0"/>
              <w:jc w:val="center"/>
              <w:textAlignment w:val="bottom"/>
              <w:rPr>
                <w:rFonts w:hint="default" w:ascii="Times New Roman" w:hAnsi="Times New Roman" w:eastAsia="等线" w:cs="Times New Roman"/>
                <w:i w:val="0"/>
                <w:iCs w:val="0"/>
                <w:color w:val="000000"/>
                <w:sz w:val="22"/>
                <w:szCs w:val="22"/>
                <w:u w:val="none"/>
              </w:rPr>
            </w:pPr>
            <w:r>
              <w:rPr>
                <w:rStyle w:val="17"/>
                <w:lang w:val="en-US" w:eastAsia="zh-CN" w:bidi="ar"/>
              </w:rPr>
              <w:t>北京丰誉私募基金管理有限公司</w:t>
            </w:r>
          </w:p>
        </w:tc>
      </w:tr>
      <w:tr w14:paraId="3B79E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644AB">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3</w:t>
            </w:r>
          </w:p>
        </w:tc>
        <w:tc>
          <w:tcPr>
            <w:tcW w:w="38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D4C094">
            <w:pPr>
              <w:keepNext w:val="0"/>
              <w:keepLines w:val="0"/>
              <w:widowControl/>
              <w:suppressLineNumbers w:val="0"/>
              <w:jc w:val="center"/>
              <w:textAlignment w:val="bottom"/>
              <w:rPr>
                <w:rFonts w:hint="default" w:ascii="Times New Roman" w:hAnsi="Times New Roman" w:eastAsia="等线" w:cs="Times New Roman"/>
                <w:i w:val="0"/>
                <w:iCs w:val="0"/>
                <w:color w:val="000000"/>
                <w:sz w:val="22"/>
                <w:szCs w:val="22"/>
                <w:u w:val="none"/>
              </w:rPr>
            </w:pPr>
            <w:r>
              <w:rPr>
                <w:rStyle w:val="17"/>
                <w:lang w:val="en-US" w:eastAsia="zh-CN" w:bidi="ar"/>
              </w:rPr>
              <w:t>长盛基金管理有限公司</w:t>
            </w:r>
          </w:p>
        </w:tc>
      </w:tr>
      <w:tr w14:paraId="1393C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8BDFC">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4</w:t>
            </w:r>
          </w:p>
        </w:tc>
        <w:tc>
          <w:tcPr>
            <w:tcW w:w="38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80B406">
            <w:pPr>
              <w:keepNext w:val="0"/>
              <w:keepLines w:val="0"/>
              <w:widowControl/>
              <w:suppressLineNumbers w:val="0"/>
              <w:jc w:val="center"/>
              <w:textAlignment w:val="bottom"/>
              <w:rPr>
                <w:rFonts w:hint="default" w:ascii="Times New Roman" w:hAnsi="Times New Roman" w:eastAsia="等线" w:cs="Times New Roman"/>
                <w:i w:val="0"/>
                <w:iCs w:val="0"/>
                <w:color w:val="000000"/>
                <w:sz w:val="22"/>
                <w:szCs w:val="22"/>
                <w:u w:val="none"/>
              </w:rPr>
            </w:pPr>
            <w:r>
              <w:rPr>
                <w:rStyle w:val="17"/>
                <w:lang w:val="en-US" w:eastAsia="zh-CN" w:bidi="ar"/>
              </w:rPr>
              <w:t>富国基金管理有限公司</w:t>
            </w:r>
          </w:p>
        </w:tc>
      </w:tr>
      <w:tr w14:paraId="5C105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4378B">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5</w:t>
            </w:r>
          </w:p>
        </w:tc>
        <w:tc>
          <w:tcPr>
            <w:tcW w:w="38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9D6236">
            <w:pPr>
              <w:keepNext w:val="0"/>
              <w:keepLines w:val="0"/>
              <w:widowControl/>
              <w:suppressLineNumbers w:val="0"/>
              <w:jc w:val="center"/>
              <w:textAlignment w:val="bottom"/>
              <w:rPr>
                <w:rFonts w:hint="default" w:ascii="Times New Roman" w:hAnsi="Times New Roman" w:eastAsia="等线" w:cs="Times New Roman"/>
                <w:i w:val="0"/>
                <w:iCs w:val="0"/>
                <w:color w:val="000000"/>
                <w:sz w:val="22"/>
                <w:szCs w:val="22"/>
                <w:u w:val="none"/>
              </w:rPr>
            </w:pPr>
            <w:r>
              <w:rPr>
                <w:rStyle w:val="17"/>
                <w:lang w:val="en-US" w:eastAsia="zh-CN" w:bidi="ar"/>
              </w:rPr>
              <w:t>鹏华基金管理有限公司</w:t>
            </w:r>
          </w:p>
        </w:tc>
      </w:tr>
      <w:tr w14:paraId="517CD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D9A36">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6</w:t>
            </w:r>
          </w:p>
        </w:tc>
        <w:tc>
          <w:tcPr>
            <w:tcW w:w="38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79D9DE">
            <w:pPr>
              <w:keepNext w:val="0"/>
              <w:keepLines w:val="0"/>
              <w:widowControl/>
              <w:suppressLineNumbers w:val="0"/>
              <w:jc w:val="center"/>
              <w:textAlignment w:val="bottom"/>
              <w:rPr>
                <w:rFonts w:hint="default" w:ascii="Times New Roman" w:hAnsi="Times New Roman" w:eastAsia="等线" w:cs="Times New Roman"/>
                <w:i w:val="0"/>
                <w:iCs w:val="0"/>
                <w:color w:val="000000"/>
                <w:sz w:val="22"/>
                <w:szCs w:val="22"/>
                <w:u w:val="none"/>
              </w:rPr>
            </w:pPr>
            <w:r>
              <w:rPr>
                <w:rStyle w:val="17"/>
                <w:lang w:val="en-US" w:eastAsia="zh-CN" w:bidi="ar"/>
              </w:rPr>
              <w:t>上海明河投资管理有限公司</w:t>
            </w:r>
          </w:p>
        </w:tc>
      </w:tr>
      <w:tr w14:paraId="54266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3BA44">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7</w:t>
            </w:r>
          </w:p>
        </w:tc>
        <w:tc>
          <w:tcPr>
            <w:tcW w:w="38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DCC077">
            <w:pPr>
              <w:keepNext w:val="0"/>
              <w:keepLines w:val="0"/>
              <w:widowControl/>
              <w:suppressLineNumbers w:val="0"/>
              <w:jc w:val="center"/>
              <w:textAlignment w:val="bottom"/>
              <w:rPr>
                <w:rFonts w:hint="default" w:ascii="Times New Roman" w:hAnsi="Times New Roman" w:eastAsia="等线" w:cs="Times New Roman"/>
                <w:i w:val="0"/>
                <w:iCs w:val="0"/>
                <w:color w:val="000000"/>
                <w:sz w:val="22"/>
                <w:szCs w:val="22"/>
                <w:u w:val="none"/>
              </w:rPr>
            </w:pPr>
            <w:r>
              <w:rPr>
                <w:rStyle w:val="17"/>
                <w:lang w:val="en-US" w:eastAsia="zh-CN" w:bidi="ar"/>
              </w:rPr>
              <w:t>中国人保资产管理有限公司</w:t>
            </w:r>
          </w:p>
        </w:tc>
      </w:tr>
      <w:tr w14:paraId="5039D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5CCA4">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8</w:t>
            </w:r>
          </w:p>
        </w:tc>
        <w:tc>
          <w:tcPr>
            <w:tcW w:w="38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2B4F23">
            <w:pPr>
              <w:keepNext w:val="0"/>
              <w:keepLines w:val="0"/>
              <w:widowControl/>
              <w:suppressLineNumbers w:val="0"/>
              <w:jc w:val="center"/>
              <w:textAlignment w:val="bottom"/>
              <w:rPr>
                <w:rFonts w:hint="default" w:ascii="Times New Roman" w:hAnsi="Times New Roman" w:eastAsia="等线" w:cs="Times New Roman"/>
                <w:i w:val="0"/>
                <w:iCs w:val="0"/>
                <w:color w:val="000000"/>
                <w:sz w:val="22"/>
                <w:szCs w:val="22"/>
                <w:u w:val="none"/>
              </w:rPr>
            </w:pPr>
            <w:r>
              <w:rPr>
                <w:rStyle w:val="17"/>
                <w:lang w:val="en-US" w:eastAsia="zh-CN" w:bidi="ar"/>
              </w:rPr>
              <w:t>上海磐厚投资管理有限公司</w:t>
            </w:r>
          </w:p>
        </w:tc>
      </w:tr>
      <w:tr w14:paraId="4EA4E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C0B8B">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9</w:t>
            </w:r>
          </w:p>
        </w:tc>
        <w:tc>
          <w:tcPr>
            <w:tcW w:w="38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F1E625">
            <w:pPr>
              <w:keepNext w:val="0"/>
              <w:keepLines w:val="0"/>
              <w:widowControl/>
              <w:suppressLineNumbers w:val="0"/>
              <w:jc w:val="center"/>
              <w:textAlignment w:val="bottom"/>
              <w:rPr>
                <w:rFonts w:hint="default" w:ascii="Times New Roman" w:hAnsi="Times New Roman" w:eastAsia="等线" w:cs="Times New Roman"/>
                <w:i w:val="0"/>
                <w:iCs w:val="0"/>
                <w:color w:val="000000"/>
                <w:sz w:val="22"/>
                <w:szCs w:val="22"/>
                <w:u w:val="none"/>
              </w:rPr>
            </w:pPr>
            <w:r>
              <w:rPr>
                <w:rStyle w:val="17"/>
                <w:lang w:val="en-US" w:eastAsia="zh-CN" w:bidi="ar"/>
              </w:rPr>
              <w:t>圆信永丰基金管理有限公司</w:t>
            </w:r>
          </w:p>
        </w:tc>
      </w:tr>
      <w:tr w14:paraId="18ADC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C168E">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10</w:t>
            </w:r>
          </w:p>
        </w:tc>
        <w:tc>
          <w:tcPr>
            <w:tcW w:w="38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560B19">
            <w:pPr>
              <w:keepNext w:val="0"/>
              <w:keepLines w:val="0"/>
              <w:widowControl/>
              <w:suppressLineNumbers w:val="0"/>
              <w:jc w:val="center"/>
              <w:textAlignment w:val="bottom"/>
              <w:rPr>
                <w:rFonts w:hint="default" w:ascii="Times New Roman" w:hAnsi="Times New Roman" w:eastAsia="等线" w:cs="Times New Roman"/>
                <w:i w:val="0"/>
                <w:iCs w:val="0"/>
                <w:color w:val="000000"/>
                <w:sz w:val="22"/>
                <w:szCs w:val="22"/>
                <w:u w:val="none"/>
              </w:rPr>
            </w:pPr>
            <w:r>
              <w:rPr>
                <w:rStyle w:val="17"/>
                <w:lang w:val="en-US" w:eastAsia="zh-CN" w:bidi="ar"/>
              </w:rPr>
              <w:t>北京宏道投资管理有限公司</w:t>
            </w:r>
          </w:p>
        </w:tc>
      </w:tr>
      <w:tr w14:paraId="2D91F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B731F">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11</w:t>
            </w:r>
          </w:p>
        </w:tc>
        <w:tc>
          <w:tcPr>
            <w:tcW w:w="38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F9B4E4">
            <w:pPr>
              <w:keepNext w:val="0"/>
              <w:keepLines w:val="0"/>
              <w:widowControl/>
              <w:suppressLineNumbers w:val="0"/>
              <w:jc w:val="center"/>
              <w:textAlignment w:val="bottom"/>
              <w:rPr>
                <w:rFonts w:hint="default" w:ascii="Times New Roman" w:hAnsi="Times New Roman" w:eastAsia="等线" w:cs="Times New Roman"/>
                <w:i w:val="0"/>
                <w:iCs w:val="0"/>
                <w:color w:val="000000"/>
                <w:sz w:val="22"/>
                <w:szCs w:val="22"/>
                <w:u w:val="none"/>
              </w:rPr>
            </w:pPr>
            <w:r>
              <w:rPr>
                <w:rStyle w:val="17"/>
                <w:lang w:val="en-US" w:eastAsia="zh-CN" w:bidi="ar"/>
              </w:rPr>
              <w:t>北京泓澄投资管理有限公司</w:t>
            </w:r>
          </w:p>
        </w:tc>
      </w:tr>
      <w:tr w14:paraId="3298E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2C7EF">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12</w:t>
            </w:r>
          </w:p>
        </w:tc>
        <w:tc>
          <w:tcPr>
            <w:tcW w:w="38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04A6DA">
            <w:pPr>
              <w:keepNext w:val="0"/>
              <w:keepLines w:val="0"/>
              <w:widowControl/>
              <w:suppressLineNumbers w:val="0"/>
              <w:jc w:val="center"/>
              <w:textAlignment w:val="bottom"/>
              <w:rPr>
                <w:rFonts w:hint="default" w:ascii="Times New Roman" w:hAnsi="Times New Roman" w:eastAsia="等线" w:cs="Times New Roman"/>
                <w:i w:val="0"/>
                <w:iCs w:val="0"/>
                <w:color w:val="000000"/>
                <w:sz w:val="22"/>
                <w:szCs w:val="22"/>
                <w:u w:val="none"/>
              </w:rPr>
            </w:pPr>
            <w:r>
              <w:rPr>
                <w:rStyle w:val="17"/>
                <w:lang w:val="en-US" w:eastAsia="zh-CN" w:bidi="ar"/>
              </w:rPr>
              <w:t>东方证券股份有限公司</w:t>
            </w:r>
          </w:p>
        </w:tc>
      </w:tr>
      <w:tr w14:paraId="012CB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39103">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13</w:t>
            </w:r>
          </w:p>
        </w:tc>
        <w:tc>
          <w:tcPr>
            <w:tcW w:w="38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06B3D2">
            <w:pPr>
              <w:keepNext w:val="0"/>
              <w:keepLines w:val="0"/>
              <w:widowControl/>
              <w:suppressLineNumbers w:val="0"/>
              <w:jc w:val="center"/>
              <w:textAlignment w:val="bottom"/>
              <w:rPr>
                <w:rFonts w:hint="default" w:ascii="Times New Roman" w:hAnsi="Times New Roman" w:eastAsia="等线" w:cs="Times New Roman"/>
                <w:i w:val="0"/>
                <w:iCs w:val="0"/>
                <w:color w:val="000000"/>
                <w:sz w:val="22"/>
                <w:szCs w:val="22"/>
                <w:u w:val="none"/>
              </w:rPr>
            </w:pPr>
            <w:r>
              <w:rPr>
                <w:rStyle w:val="17"/>
                <w:lang w:val="en-US" w:eastAsia="zh-CN" w:bidi="ar"/>
              </w:rPr>
              <w:t>蓝海启程（北京）投资管理有限公司</w:t>
            </w:r>
          </w:p>
        </w:tc>
      </w:tr>
      <w:tr w14:paraId="508E6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65930">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14</w:t>
            </w:r>
          </w:p>
        </w:tc>
        <w:tc>
          <w:tcPr>
            <w:tcW w:w="38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0F0C27">
            <w:pPr>
              <w:keepNext w:val="0"/>
              <w:keepLines w:val="0"/>
              <w:widowControl/>
              <w:suppressLineNumbers w:val="0"/>
              <w:jc w:val="center"/>
              <w:textAlignment w:val="bottom"/>
              <w:rPr>
                <w:rFonts w:hint="default" w:ascii="Times New Roman" w:hAnsi="Times New Roman" w:eastAsia="等线" w:cs="Times New Roman"/>
                <w:i w:val="0"/>
                <w:iCs w:val="0"/>
                <w:color w:val="000000"/>
                <w:sz w:val="22"/>
                <w:szCs w:val="22"/>
                <w:u w:val="none"/>
              </w:rPr>
            </w:pPr>
            <w:r>
              <w:rPr>
                <w:rStyle w:val="17"/>
                <w:lang w:val="en-US" w:eastAsia="zh-CN" w:bidi="ar"/>
              </w:rPr>
              <w:t>中新融创资本管理有限公司</w:t>
            </w:r>
          </w:p>
        </w:tc>
      </w:tr>
      <w:tr w14:paraId="58373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30FE6">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15</w:t>
            </w:r>
          </w:p>
        </w:tc>
        <w:tc>
          <w:tcPr>
            <w:tcW w:w="38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7D9E81">
            <w:pPr>
              <w:keepNext w:val="0"/>
              <w:keepLines w:val="0"/>
              <w:widowControl/>
              <w:suppressLineNumbers w:val="0"/>
              <w:jc w:val="center"/>
              <w:textAlignment w:val="bottom"/>
              <w:rPr>
                <w:rFonts w:hint="default" w:ascii="Times New Roman" w:hAnsi="Times New Roman" w:eastAsia="等线" w:cs="Times New Roman"/>
                <w:i w:val="0"/>
                <w:iCs w:val="0"/>
                <w:color w:val="000000"/>
                <w:sz w:val="22"/>
                <w:szCs w:val="22"/>
                <w:u w:val="none"/>
              </w:rPr>
            </w:pPr>
            <w:r>
              <w:rPr>
                <w:rStyle w:val="17"/>
                <w:lang w:val="en-US" w:eastAsia="zh-CN" w:bidi="ar"/>
              </w:rPr>
              <w:t>碧云资本管理有限公司</w:t>
            </w:r>
          </w:p>
        </w:tc>
      </w:tr>
      <w:tr w14:paraId="55521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1035D">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16</w:t>
            </w:r>
          </w:p>
        </w:tc>
        <w:tc>
          <w:tcPr>
            <w:tcW w:w="38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581DA8">
            <w:pPr>
              <w:keepNext w:val="0"/>
              <w:keepLines w:val="0"/>
              <w:widowControl/>
              <w:suppressLineNumbers w:val="0"/>
              <w:jc w:val="center"/>
              <w:textAlignment w:val="bottom"/>
              <w:rPr>
                <w:rFonts w:hint="default" w:ascii="Times New Roman" w:hAnsi="Times New Roman" w:eastAsia="等线" w:cs="Times New Roman"/>
                <w:i w:val="0"/>
                <w:iCs w:val="0"/>
                <w:color w:val="000000"/>
                <w:sz w:val="22"/>
                <w:szCs w:val="22"/>
                <w:u w:val="none"/>
              </w:rPr>
            </w:pPr>
            <w:r>
              <w:rPr>
                <w:rStyle w:val="17"/>
                <w:lang w:val="en-US" w:eastAsia="zh-CN" w:bidi="ar"/>
              </w:rPr>
              <w:t>珠海横琴粤信投资有限公司</w:t>
            </w:r>
          </w:p>
        </w:tc>
      </w:tr>
      <w:tr w14:paraId="46B80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17FF4">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17</w:t>
            </w:r>
          </w:p>
        </w:tc>
        <w:tc>
          <w:tcPr>
            <w:tcW w:w="38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366655">
            <w:pPr>
              <w:keepNext w:val="0"/>
              <w:keepLines w:val="0"/>
              <w:widowControl/>
              <w:suppressLineNumbers w:val="0"/>
              <w:jc w:val="center"/>
              <w:textAlignment w:val="bottom"/>
              <w:rPr>
                <w:rFonts w:hint="default" w:ascii="Times New Roman" w:hAnsi="Times New Roman" w:eastAsia="等线" w:cs="Times New Roman"/>
                <w:i w:val="0"/>
                <w:iCs w:val="0"/>
                <w:color w:val="000000"/>
                <w:sz w:val="22"/>
                <w:szCs w:val="22"/>
                <w:u w:val="none"/>
              </w:rPr>
            </w:pPr>
            <w:r>
              <w:rPr>
                <w:rStyle w:val="17"/>
                <w:lang w:val="en-US" w:eastAsia="zh-CN" w:bidi="ar"/>
              </w:rPr>
              <w:t>上海泾溪投资管理合伙企业（有限合伙）</w:t>
            </w:r>
          </w:p>
        </w:tc>
      </w:tr>
      <w:tr w14:paraId="7BC98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E1207">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18</w:t>
            </w:r>
          </w:p>
        </w:tc>
        <w:tc>
          <w:tcPr>
            <w:tcW w:w="38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25F2C4">
            <w:pPr>
              <w:keepNext w:val="0"/>
              <w:keepLines w:val="0"/>
              <w:widowControl/>
              <w:suppressLineNumbers w:val="0"/>
              <w:jc w:val="center"/>
              <w:textAlignment w:val="bottom"/>
              <w:rPr>
                <w:rFonts w:hint="default" w:ascii="Times New Roman" w:hAnsi="Times New Roman" w:eastAsia="等线" w:cs="Times New Roman"/>
                <w:i w:val="0"/>
                <w:iCs w:val="0"/>
                <w:color w:val="000000"/>
                <w:sz w:val="22"/>
                <w:szCs w:val="22"/>
                <w:u w:val="none"/>
              </w:rPr>
            </w:pPr>
            <w:r>
              <w:rPr>
                <w:rStyle w:val="17"/>
                <w:lang w:val="en-US" w:eastAsia="zh-CN" w:bidi="ar"/>
              </w:rPr>
              <w:t>招银理财有限责任公司</w:t>
            </w:r>
          </w:p>
        </w:tc>
      </w:tr>
      <w:tr w14:paraId="3EFEA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F60FC">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19</w:t>
            </w:r>
          </w:p>
        </w:tc>
        <w:tc>
          <w:tcPr>
            <w:tcW w:w="38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6682A4">
            <w:pPr>
              <w:keepNext w:val="0"/>
              <w:keepLines w:val="0"/>
              <w:widowControl/>
              <w:suppressLineNumbers w:val="0"/>
              <w:jc w:val="center"/>
              <w:textAlignment w:val="bottom"/>
              <w:rPr>
                <w:rFonts w:hint="default" w:ascii="Times New Roman" w:hAnsi="Times New Roman" w:eastAsia="等线" w:cs="Times New Roman"/>
                <w:i w:val="0"/>
                <w:iCs w:val="0"/>
                <w:color w:val="000000"/>
                <w:sz w:val="22"/>
                <w:szCs w:val="22"/>
                <w:u w:val="none"/>
              </w:rPr>
            </w:pPr>
            <w:r>
              <w:rPr>
                <w:rStyle w:val="17"/>
                <w:lang w:val="en-US" w:eastAsia="zh-CN" w:bidi="ar"/>
              </w:rPr>
              <w:t>深圳创富兆业金融管理有限公司</w:t>
            </w:r>
          </w:p>
        </w:tc>
      </w:tr>
      <w:tr w14:paraId="0771B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1C3A7">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20</w:t>
            </w:r>
          </w:p>
        </w:tc>
        <w:tc>
          <w:tcPr>
            <w:tcW w:w="38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9AAC23">
            <w:pPr>
              <w:keepNext w:val="0"/>
              <w:keepLines w:val="0"/>
              <w:widowControl/>
              <w:suppressLineNumbers w:val="0"/>
              <w:jc w:val="center"/>
              <w:textAlignment w:val="bottom"/>
              <w:rPr>
                <w:rFonts w:hint="default" w:ascii="Times New Roman" w:hAnsi="Times New Roman" w:eastAsia="等线" w:cs="Times New Roman"/>
                <w:i w:val="0"/>
                <w:iCs w:val="0"/>
                <w:color w:val="000000"/>
                <w:sz w:val="22"/>
                <w:szCs w:val="22"/>
                <w:u w:val="none"/>
              </w:rPr>
            </w:pPr>
            <w:r>
              <w:rPr>
                <w:rStyle w:val="17"/>
                <w:lang w:val="en-US" w:eastAsia="zh-CN" w:bidi="ar"/>
              </w:rPr>
              <w:t>红杉中国投资管理有限公司</w:t>
            </w:r>
          </w:p>
        </w:tc>
      </w:tr>
      <w:tr w14:paraId="1C82B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B5DB0">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21</w:t>
            </w:r>
          </w:p>
        </w:tc>
        <w:tc>
          <w:tcPr>
            <w:tcW w:w="38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FD95BE">
            <w:pPr>
              <w:keepNext w:val="0"/>
              <w:keepLines w:val="0"/>
              <w:widowControl/>
              <w:suppressLineNumbers w:val="0"/>
              <w:jc w:val="center"/>
              <w:textAlignment w:val="bottom"/>
              <w:rPr>
                <w:rFonts w:hint="default" w:ascii="Times New Roman" w:hAnsi="Times New Roman" w:eastAsia="等线" w:cs="Times New Roman"/>
                <w:i w:val="0"/>
                <w:iCs w:val="0"/>
                <w:color w:val="000000"/>
                <w:sz w:val="22"/>
                <w:szCs w:val="22"/>
                <w:u w:val="none"/>
              </w:rPr>
            </w:pPr>
            <w:r>
              <w:rPr>
                <w:rStyle w:val="17"/>
                <w:lang w:val="en-US" w:eastAsia="zh-CN" w:bidi="ar"/>
              </w:rPr>
              <w:t>深圳市恒邦兆丰私募证券基金管理有限公司</w:t>
            </w:r>
          </w:p>
        </w:tc>
      </w:tr>
      <w:tr w14:paraId="6EEB1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00285">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22</w:t>
            </w:r>
          </w:p>
        </w:tc>
        <w:tc>
          <w:tcPr>
            <w:tcW w:w="38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B06789">
            <w:pPr>
              <w:keepNext w:val="0"/>
              <w:keepLines w:val="0"/>
              <w:widowControl/>
              <w:suppressLineNumbers w:val="0"/>
              <w:jc w:val="center"/>
              <w:textAlignment w:val="bottom"/>
              <w:rPr>
                <w:rFonts w:hint="default" w:ascii="Times New Roman" w:hAnsi="Times New Roman" w:eastAsia="等线" w:cs="Times New Roman"/>
                <w:i w:val="0"/>
                <w:iCs w:val="0"/>
                <w:color w:val="000000"/>
                <w:sz w:val="22"/>
                <w:szCs w:val="22"/>
                <w:u w:val="none"/>
              </w:rPr>
            </w:pPr>
            <w:r>
              <w:rPr>
                <w:rStyle w:val="17"/>
                <w:lang w:val="en-US" w:eastAsia="zh-CN" w:bidi="ar"/>
              </w:rPr>
              <w:t>广东德汇投资管理有限公司</w:t>
            </w:r>
          </w:p>
        </w:tc>
      </w:tr>
      <w:tr w14:paraId="11827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F1139">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23</w:t>
            </w:r>
          </w:p>
        </w:tc>
        <w:tc>
          <w:tcPr>
            <w:tcW w:w="38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2809FF">
            <w:pPr>
              <w:keepNext w:val="0"/>
              <w:keepLines w:val="0"/>
              <w:widowControl/>
              <w:suppressLineNumbers w:val="0"/>
              <w:jc w:val="center"/>
              <w:textAlignment w:val="bottom"/>
              <w:rPr>
                <w:rFonts w:hint="default" w:ascii="Times New Roman" w:hAnsi="Times New Roman" w:eastAsia="等线" w:cs="Times New Roman"/>
                <w:i w:val="0"/>
                <w:iCs w:val="0"/>
                <w:color w:val="000000"/>
                <w:sz w:val="22"/>
                <w:szCs w:val="22"/>
                <w:u w:val="none"/>
              </w:rPr>
            </w:pPr>
            <w:r>
              <w:rPr>
                <w:rStyle w:val="17"/>
                <w:lang w:val="en-US" w:eastAsia="zh-CN" w:bidi="ar"/>
              </w:rPr>
              <w:t>东证融汇证券资产管理有限公司</w:t>
            </w:r>
          </w:p>
        </w:tc>
      </w:tr>
      <w:tr w14:paraId="7F542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C9310">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24</w:t>
            </w:r>
          </w:p>
        </w:tc>
        <w:tc>
          <w:tcPr>
            <w:tcW w:w="38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4493AB">
            <w:pPr>
              <w:keepNext w:val="0"/>
              <w:keepLines w:val="0"/>
              <w:widowControl/>
              <w:suppressLineNumbers w:val="0"/>
              <w:jc w:val="center"/>
              <w:textAlignment w:val="bottom"/>
              <w:rPr>
                <w:rFonts w:hint="default" w:ascii="Times New Roman" w:hAnsi="Times New Roman" w:eastAsia="等线" w:cs="Times New Roman"/>
                <w:i w:val="0"/>
                <w:iCs w:val="0"/>
                <w:color w:val="000000"/>
                <w:sz w:val="22"/>
                <w:szCs w:val="22"/>
                <w:u w:val="none"/>
              </w:rPr>
            </w:pPr>
            <w:r>
              <w:rPr>
                <w:rStyle w:val="17"/>
                <w:lang w:val="en-US" w:eastAsia="zh-CN" w:bidi="ar"/>
              </w:rPr>
              <w:t>闻天私募证券投资基金管理（广州）有限公司</w:t>
            </w:r>
          </w:p>
        </w:tc>
      </w:tr>
      <w:tr w14:paraId="5BB23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67554">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25</w:t>
            </w:r>
          </w:p>
        </w:tc>
        <w:tc>
          <w:tcPr>
            <w:tcW w:w="38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B2054F">
            <w:pPr>
              <w:keepNext w:val="0"/>
              <w:keepLines w:val="0"/>
              <w:widowControl/>
              <w:suppressLineNumbers w:val="0"/>
              <w:jc w:val="center"/>
              <w:textAlignment w:val="bottom"/>
              <w:rPr>
                <w:rFonts w:hint="default" w:ascii="Times New Roman" w:hAnsi="Times New Roman" w:eastAsia="等线" w:cs="Times New Roman"/>
                <w:i w:val="0"/>
                <w:iCs w:val="0"/>
                <w:color w:val="000000"/>
                <w:sz w:val="22"/>
                <w:szCs w:val="22"/>
                <w:u w:val="none"/>
              </w:rPr>
            </w:pPr>
            <w:r>
              <w:rPr>
                <w:rStyle w:val="17"/>
                <w:lang w:val="en-US" w:eastAsia="zh-CN" w:bidi="ar"/>
              </w:rPr>
              <w:t>北京禹田资本管理有限公司</w:t>
            </w:r>
          </w:p>
        </w:tc>
      </w:tr>
      <w:tr w14:paraId="23055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70D1E">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26</w:t>
            </w:r>
          </w:p>
        </w:tc>
        <w:tc>
          <w:tcPr>
            <w:tcW w:w="38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121227">
            <w:pPr>
              <w:keepNext w:val="0"/>
              <w:keepLines w:val="0"/>
              <w:widowControl/>
              <w:suppressLineNumbers w:val="0"/>
              <w:jc w:val="center"/>
              <w:textAlignment w:val="bottom"/>
              <w:rPr>
                <w:rFonts w:hint="default" w:ascii="Times New Roman" w:hAnsi="Times New Roman" w:eastAsia="等线" w:cs="Times New Roman"/>
                <w:i w:val="0"/>
                <w:iCs w:val="0"/>
                <w:color w:val="000000"/>
                <w:sz w:val="22"/>
                <w:szCs w:val="22"/>
                <w:u w:val="none"/>
              </w:rPr>
            </w:pPr>
            <w:r>
              <w:rPr>
                <w:rStyle w:val="17"/>
                <w:lang w:val="en-US" w:eastAsia="zh-CN" w:bidi="ar"/>
              </w:rPr>
              <w:t>西安瀑布资产管理有限公司</w:t>
            </w:r>
          </w:p>
        </w:tc>
      </w:tr>
      <w:tr w14:paraId="29A13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EC15D">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27</w:t>
            </w:r>
          </w:p>
        </w:tc>
        <w:tc>
          <w:tcPr>
            <w:tcW w:w="38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FFEEB2">
            <w:pPr>
              <w:keepNext w:val="0"/>
              <w:keepLines w:val="0"/>
              <w:widowControl/>
              <w:suppressLineNumbers w:val="0"/>
              <w:jc w:val="center"/>
              <w:textAlignment w:val="bottom"/>
              <w:rPr>
                <w:rFonts w:hint="default" w:ascii="Times New Roman" w:hAnsi="Times New Roman" w:eastAsia="等线" w:cs="Times New Roman"/>
                <w:i w:val="0"/>
                <w:iCs w:val="0"/>
                <w:color w:val="000000"/>
                <w:sz w:val="22"/>
                <w:szCs w:val="22"/>
                <w:u w:val="none"/>
              </w:rPr>
            </w:pPr>
            <w:r>
              <w:rPr>
                <w:rStyle w:val="17"/>
                <w:lang w:val="en-US" w:eastAsia="zh-CN" w:bidi="ar"/>
              </w:rPr>
              <w:t>向三创股份公司</w:t>
            </w:r>
          </w:p>
        </w:tc>
      </w:tr>
      <w:tr w14:paraId="6B23D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B3569">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28</w:t>
            </w:r>
          </w:p>
        </w:tc>
        <w:tc>
          <w:tcPr>
            <w:tcW w:w="38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C129C7">
            <w:pPr>
              <w:keepNext w:val="0"/>
              <w:keepLines w:val="0"/>
              <w:widowControl/>
              <w:suppressLineNumbers w:val="0"/>
              <w:jc w:val="center"/>
              <w:textAlignment w:val="bottom"/>
              <w:rPr>
                <w:rFonts w:hint="default" w:ascii="Times New Roman" w:hAnsi="Times New Roman" w:eastAsia="等线" w:cs="Times New Roman"/>
                <w:i w:val="0"/>
                <w:iCs w:val="0"/>
                <w:color w:val="000000"/>
                <w:sz w:val="22"/>
                <w:szCs w:val="22"/>
                <w:u w:val="none"/>
              </w:rPr>
            </w:pPr>
            <w:r>
              <w:rPr>
                <w:rStyle w:val="17"/>
                <w:lang w:val="en-US" w:eastAsia="zh-CN" w:bidi="ar"/>
              </w:rPr>
              <w:t>鸿途私募基金管理（广东）有限公司</w:t>
            </w:r>
          </w:p>
        </w:tc>
      </w:tr>
      <w:tr w14:paraId="349F2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297DC">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29</w:t>
            </w:r>
          </w:p>
        </w:tc>
        <w:tc>
          <w:tcPr>
            <w:tcW w:w="38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21B086">
            <w:pPr>
              <w:keepNext w:val="0"/>
              <w:keepLines w:val="0"/>
              <w:widowControl/>
              <w:suppressLineNumbers w:val="0"/>
              <w:jc w:val="center"/>
              <w:textAlignment w:val="bottom"/>
              <w:rPr>
                <w:rFonts w:hint="default" w:ascii="Times New Roman" w:hAnsi="Times New Roman" w:eastAsia="等线" w:cs="Times New Roman"/>
                <w:i w:val="0"/>
                <w:iCs w:val="0"/>
                <w:color w:val="000000"/>
                <w:sz w:val="22"/>
                <w:szCs w:val="22"/>
                <w:u w:val="none"/>
              </w:rPr>
            </w:pPr>
            <w:r>
              <w:rPr>
                <w:rStyle w:val="17"/>
                <w:lang w:val="en-US" w:eastAsia="zh-CN" w:bidi="ar"/>
              </w:rPr>
              <w:t>德邦证券资产管理有限公司</w:t>
            </w:r>
          </w:p>
        </w:tc>
      </w:tr>
      <w:tr w14:paraId="15F23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2877B">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30</w:t>
            </w:r>
          </w:p>
        </w:tc>
        <w:tc>
          <w:tcPr>
            <w:tcW w:w="384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777C2C">
            <w:pPr>
              <w:keepNext w:val="0"/>
              <w:keepLines w:val="0"/>
              <w:widowControl/>
              <w:suppressLineNumbers w:val="0"/>
              <w:jc w:val="center"/>
              <w:textAlignment w:val="bottom"/>
              <w:rPr>
                <w:rFonts w:hint="default" w:ascii="Times New Roman" w:hAnsi="Times New Roman" w:eastAsia="等线" w:cs="Times New Roman"/>
                <w:i w:val="0"/>
                <w:iCs w:val="0"/>
                <w:color w:val="000000"/>
                <w:sz w:val="22"/>
                <w:szCs w:val="22"/>
                <w:u w:val="none"/>
              </w:rPr>
            </w:pPr>
            <w:r>
              <w:rPr>
                <w:rStyle w:val="17"/>
                <w:lang w:val="en-US" w:eastAsia="zh-CN" w:bidi="ar"/>
              </w:rPr>
              <w:t>国投瑞银基金管理有限公司</w:t>
            </w:r>
          </w:p>
        </w:tc>
      </w:tr>
      <w:tr w14:paraId="4980E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D8287">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31</w:t>
            </w:r>
          </w:p>
        </w:tc>
        <w:tc>
          <w:tcPr>
            <w:tcW w:w="38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F62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中信证券股份有限公司</w:t>
            </w:r>
          </w:p>
        </w:tc>
      </w:tr>
      <w:tr w14:paraId="5A2C3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2D284">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32</w:t>
            </w:r>
          </w:p>
        </w:tc>
        <w:tc>
          <w:tcPr>
            <w:tcW w:w="38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F50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天风证券股份有限公司</w:t>
            </w:r>
          </w:p>
        </w:tc>
      </w:tr>
    </w:tbl>
    <w:p w14:paraId="7888A429">
      <w:pPr>
        <w:rPr>
          <w:rFonts w:hint="eastAsia" w:ascii="Times New Roman" w:hAnsi="Times New Roman" w:cs="Times New Roman" w:eastAsiaTheme="minorEastAsia"/>
          <w:bCs/>
          <w:iCs/>
          <w:sz w:val="24"/>
          <w:lang w:val="en-US" w:eastAsia="zh-CN" w:bidi="ar"/>
        </w:rPr>
      </w:pPr>
    </w:p>
    <w:sectPr>
      <w:headerReference r:id="rId5" w:type="first"/>
      <w:footerReference r:id="rId8" w:type="first"/>
      <w:headerReference r:id="rId3" w:type="default"/>
      <w:footerReference r:id="rId6" w:type="default"/>
      <w:headerReference r:id="rId4" w:type="even"/>
      <w:footerReference r:id="rId7" w:type="even"/>
      <w:pgSz w:w="11906" w:h="16838"/>
      <w:pgMar w:top="1135" w:right="1135" w:bottom="851" w:left="1135"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panose1 w:val="05020102010507070707"/>
    <w:charset w:val="02"/>
    <w:family w:val="roman"/>
    <w:pitch w:val="default"/>
    <w:sig w:usb0="00000000" w:usb1="00000000" w:usb2="00000000" w:usb3="00000000" w:csb0="8000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B1E99">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8B9F7">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0A46C">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0D5FD">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D8AA4">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A9353">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M3ODUzMWNiZTkwMWIxNGVhZWZiMWI2NDI3ZTRlZjkifQ=="/>
  </w:docVars>
  <w:rsids>
    <w:rsidRoot w:val="09ED5870"/>
    <w:rsid w:val="00003C2A"/>
    <w:rsid w:val="0000515D"/>
    <w:rsid w:val="000577C7"/>
    <w:rsid w:val="00106CC9"/>
    <w:rsid w:val="001521CD"/>
    <w:rsid w:val="0016272C"/>
    <w:rsid w:val="0016293D"/>
    <w:rsid w:val="001C4830"/>
    <w:rsid w:val="001D76C4"/>
    <w:rsid w:val="0023619C"/>
    <w:rsid w:val="00237321"/>
    <w:rsid w:val="002642CC"/>
    <w:rsid w:val="00276EFF"/>
    <w:rsid w:val="002870D4"/>
    <w:rsid w:val="002C27AD"/>
    <w:rsid w:val="002C79EC"/>
    <w:rsid w:val="002E1B69"/>
    <w:rsid w:val="00303410"/>
    <w:rsid w:val="003523A7"/>
    <w:rsid w:val="003559FE"/>
    <w:rsid w:val="003B089E"/>
    <w:rsid w:val="003D0FEC"/>
    <w:rsid w:val="003E6839"/>
    <w:rsid w:val="0042313A"/>
    <w:rsid w:val="00427AC8"/>
    <w:rsid w:val="004359D4"/>
    <w:rsid w:val="00450E4E"/>
    <w:rsid w:val="00474F3C"/>
    <w:rsid w:val="004A0AB6"/>
    <w:rsid w:val="004A0BFB"/>
    <w:rsid w:val="004A7620"/>
    <w:rsid w:val="004C0AA3"/>
    <w:rsid w:val="004C6A57"/>
    <w:rsid w:val="004D43CB"/>
    <w:rsid w:val="004D65CB"/>
    <w:rsid w:val="00536222"/>
    <w:rsid w:val="00542842"/>
    <w:rsid w:val="00561F8B"/>
    <w:rsid w:val="0060627F"/>
    <w:rsid w:val="00615A3A"/>
    <w:rsid w:val="00620A46"/>
    <w:rsid w:val="006C294A"/>
    <w:rsid w:val="006D3370"/>
    <w:rsid w:val="006E4FF9"/>
    <w:rsid w:val="006F20B2"/>
    <w:rsid w:val="007148CA"/>
    <w:rsid w:val="0073706F"/>
    <w:rsid w:val="00740C6F"/>
    <w:rsid w:val="00746C9F"/>
    <w:rsid w:val="00766A28"/>
    <w:rsid w:val="00815C71"/>
    <w:rsid w:val="008461D2"/>
    <w:rsid w:val="008544B0"/>
    <w:rsid w:val="0085639F"/>
    <w:rsid w:val="00873154"/>
    <w:rsid w:val="008D1B2D"/>
    <w:rsid w:val="008E22D5"/>
    <w:rsid w:val="008E36A7"/>
    <w:rsid w:val="008E4F51"/>
    <w:rsid w:val="0091145E"/>
    <w:rsid w:val="0093731C"/>
    <w:rsid w:val="009E75B5"/>
    <w:rsid w:val="00A134AB"/>
    <w:rsid w:val="00A5717D"/>
    <w:rsid w:val="00A84A3B"/>
    <w:rsid w:val="00AA19BA"/>
    <w:rsid w:val="00AA4350"/>
    <w:rsid w:val="00AA68F1"/>
    <w:rsid w:val="00AC6E10"/>
    <w:rsid w:val="00B13BFE"/>
    <w:rsid w:val="00B31191"/>
    <w:rsid w:val="00B606CE"/>
    <w:rsid w:val="00B81268"/>
    <w:rsid w:val="00B85029"/>
    <w:rsid w:val="00BA1720"/>
    <w:rsid w:val="00C24C9F"/>
    <w:rsid w:val="00CE1C6F"/>
    <w:rsid w:val="00CE7835"/>
    <w:rsid w:val="00D12CC8"/>
    <w:rsid w:val="00D23546"/>
    <w:rsid w:val="00D348A8"/>
    <w:rsid w:val="00D532C9"/>
    <w:rsid w:val="00D617AF"/>
    <w:rsid w:val="00D707EA"/>
    <w:rsid w:val="00D92C52"/>
    <w:rsid w:val="00DE44F3"/>
    <w:rsid w:val="00DF2C40"/>
    <w:rsid w:val="00DF4262"/>
    <w:rsid w:val="00E32B36"/>
    <w:rsid w:val="00E503E9"/>
    <w:rsid w:val="00E63C4F"/>
    <w:rsid w:val="00E83E8E"/>
    <w:rsid w:val="00EB1320"/>
    <w:rsid w:val="00ED4DFD"/>
    <w:rsid w:val="00EE0FBE"/>
    <w:rsid w:val="00EF7F9D"/>
    <w:rsid w:val="00F10F74"/>
    <w:rsid w:val="00F62C66"/>
    <w:rsid w:val="00FA5753"/>
    <w:rsid w:val="00FC49A0"/>
    <w:rsid w:val="00FF05A7"/>
    <w:rsid w:val="01082668"/>
    <w:rsid w:val="010D7DD7"/>
    <w:rsid w:val="012F41F1"/>
    <w:rsid w:val="01975CC6"/>
    <w:rsid w:val="01D83502"/>
    <w:rsid w:val="02012CA2"/>
    <w:rsid w:val="024B505A"/>
    <w:rsid w:val="02510197"/>
    <w:rsid w:val="0296107E"/>
    <w:rsid w:val="029A6F7D"/>
    <w:rsid w:val="034161C8"/>
    <w:rsid w:val="03825496"/>
    <w:rsid w:val="039C3694"/>
    <w:rsid w:val="03F31506"/>
    <w:rsid w:val="04636074"/>
    <w:rsid w:val="04D81A19"/>
    <w:rsid w:val="053022E6"/>
    <w:rsid w:val="05314A48"/>
    <w:rsid w:val="05F371F7"/>
    <w:rsid w:val="062956B3"/>
    <w:rsid w:val="06AA7B12"/>
    <w:rsid w:val="07991C98"/>
    <w:rsid w:val="08323B19"/>
    <w:rsid w:val="08BB5C63"/>
    <w:rsid w:val="094D1160"/>
    <w:rsid w:val="09D426D0"/>
    <w:rsid w:val="09ED5870"/>
    <w:rsid w:val="0A791DB6"/>
    <w:rsid w:val="0AA10DD3"/>
    <w:rsid w:val="0BDB744F"/>
    <w:rsid w:val="0C9F69A2"/>
    <w:rsid w:val="0D972EDF"/>
    <w:rsid w:val="0E245572"/>
    <w:rsid w:val="0F344D93"/>
    <w:rsid w:val="0F6807A4"/>
    <w:rsid w:val="0F692FC4"/>
    <w:rsid w:val="10376C29"/>
    <w:rsid w:val="10D95CB2"/>
    <w:rsid w:val="113B45EF"/>
    <w:rsid w:val="11C81806"/>
    <w:rsid w:val="11EB4770"/>
    <w:rsid w:val="13256902"/>
    <w:rsid w:val="134D0507"/>
    <w:rsid w:val="13E25769"/>
    <w:rsid w:val="144B713C"/>
    <w:rsid w:val="155C2C83"/>
    <w:rsid w:val="16493207"/>
    <w:rsid w:val="170D42EA"/>
    <w:rsid w:val="17FF2717"/>
    <w:rsid w:val="188A51D8"/>
    <w:rsid w:val="18B0021C"/>
    <w:rsid w:val="190A1374"/>
    <w:rsid w:val="193F7174"/>
    <w:rsid w:val="19DE010A"/>
    <w:rsid w:val="1C9117EA"/>
    <w:rsid w:val="1CCA1BB8"/>
    <w:rsid w:val="1D2B0CBD"/>
    <w:rsid w:val="1E3C591E"/>
    <w:rsid w:val="1EBB0A1A"/>
    <w:rsid w:val="1ED657E9"/>
    <w:rsid w:val="1F0625DD"/>
    <w:rsid w:val="1FCF2ABC"/>
    <w:rsid w:val="1FF22B62"/>
    <w:rsid w:val="201B227F"/>
    <w:rsid w:val="204838A0"/>
    <w:rsid w:val="206F7D0E"/>
    <w:rsid w:val="208A6C03"/>
    <w:rsid w:val="210B36E3"/>
    <w:rsid w:val="21A17A85"/>
    <w:rsid w:val="22032E04"/>
    <w:rsid w:val="24A73237"/>
    <w:rsid w:val="24D34D10"/>
    <w:rsid w:val="24D941F5"/>
    <w:rsid w:val="250F7D12"/>
    <w:rsid w:val="25B85CB3"/>
    <w:rsid w:val="260C3E00"/>
    <w:rsid w:val="26924756"/>
    <w:rsid w:val="26AE7782"/>
    <w:rsid w:val="26C30DB4"/>
    <w:rsid w:val="279F1AD0"/>
    <w:rsid w:val="285514BC"/>
    <w:rsid w:val="29064F88"/>
    <w:rsid w:val="299D3B3E"/>
    <w:rsid w:val="29F95B61"/>
    <w:rsid w:val="29FD45DD"/>
    <w:rsid w:val="2B8F5708"/>
    <w:rsid w:val="2BDB4ABA"/>
    <w:rsid w:val="2BFF463C"/>
    <w:rsid w:val="2C8E0BFD"/>
    <w:rsid w:val="2CFC6DCE"/>
    <w:rsid w:val="2D2B320F"/>
    <w:rsid w:val="2E3A497C"/>
    <w:rsid w:val="2ECD6C74"/>
    <w:rsid w:val="2FAC781C"/>
    <w:rsid w:val="2FBC42F6"/>
    <w:rsid w:val="2FCF07C9"/>
    <w:rsid w:val="30191914"/>
    <w:rsid w:val="30375A1D"/>
    <w:rsid w:val="30444C19"/>
    <w:rsid w:val="31EA5447"/>
    <w:rsid w:val="31F0254C"/>
    <w:rsid w:val="329F26D5"/>
    <w:rsid w:val="32AF043E"/>
    <w:rsid w:val="32B55A55"/>
    <w:rsid w:val="32E26A66"/>
    <w:rsid w:val="3325691E"/>
    <w:rsid w:val="33D939C5"/>
    <w:rsid w:val="33DB598F"/>
    <w:rsid w:val="3577566A"/>
    <w:rsid w:val="35B91294"/>
    <w:rsid w:val="35BB5A93"/>
    <w:rsid w:val="36276F9C"/>
    <w:rsid w:val="381402C8"/>
    <w:rsid w:val="39447B32"/>
    <w:rsid w:val="395B4E7C"/>
    <w:rsid w:val="39B32F0A"/>
    <w:rsid w:val="3A4122C4"/>
    <w:rsid w:val="3A4523EC"/>
    <w:rsid w:val="3A654204"/>
    <w:rsid w:val="3A8D5509"/>
    <w:rsid w:val="3B8161B9"/>
    <w:rsid w:val="3BE21884"/>
    <w:rsid w:val="3C097A00"/>
    <w:rsid w:val="3C241E9D"/>
    <w:rsid w:val="3C4340D1"/>
    <w:rsid w:val="3C8E284B"/>
    <w:rsid w:val="3CED6733"/>
    <w:rsid w:val="3D1553DB"/>
    <w:rsid w:val="3D584C3D"/>
    <w:rsid w:val="3D595B76"/>
    <w:rsid w:val="3D9A2417"/>
    <w:rsid w:val="3E481E73"/>
    <w:rsid w:val="3EBA2649"/>
    <w:rsid w:val="3FDD6172"/>
    <w:rsid w:val="3FED4F6D"/>
    <w:rsid w:val="40F65123"/>
    <w:rsid w:val="41B62D25"/>
    <w:rsid w:val="4348021F"/>
    <w:rsid w:val="438147D1"/>
    <w:rsid w:val="442D1A71"/>
    <w:rsid w:val="447F5EC2"/>
    <w:rsid w:val="45CD0A54"/>
    <w:rsid w:val="46C866F6"/>
    <w:rsid w:val="476B4E24"/>
    <w:rsid w:val="47871694"/>
    <w:rsid w:val="47D429C9"/>
    <w:rsid w:val="47E66258"/>
    <w:rsid w:val="47FA0BDD"/>
    <w:rsid w:val="49593FA0"/>
    <w:rsid w:val="49867CF3"/>
    <w:rsid w:val="499F0DB5"/>
    <w:rsid w:val="49B54134"/>
    <w:rsid w:val="4A5F3BCC"/>
    <w:rsid w:val="4BDC6081"/>
    <w:rsid w:val="4C69403F"/>
    <w:rsid w:val="4CC21042"/>
    <w:rsid w:val="4D1D0A5F"/>
    <w:rsid w:val="4E010709"/>
    <w:rsid w:val="4E3917D8"/>
    <w:rsid w:val="509947B0"/>
    <w:rsid w:val="50AF5D81"/>
    <w:rsid w:val="50F9524E"/>
    <w:rsid w:val="50FD4E06"/>
    <w:rsid w:val="511B6F73"/>
    <w:rsid w:val="51B31BC1"/>
    <w:rsid w:val="52162767"/>
    <w:rsid w:val="52611934"/>
    <w:rsid w:val="52B417C7"/>
    <w:rsid w:val="52CF2938"/>
    <w:rsid w:val="531E7A45"/>
    <w:rsid w:val="539B439B"/>
    <w:rsid w:val="552C5BF2"/>
    <w:rsid w:val="55387588"/>
    <w:rsid w:val="55BB2AD2"/>
    <w:rsid w:val="565969E5"/>
    <w:rsid w:val="56E524FD"/>
    <w:rsid w:val="573C35C9"/>
    <w:rsid w:val="575013A1"/>
    <w:rsid w:val="5875340D"/>
    <w:rsid w:val="58ED5175"/>
    <w:rsid w:val="59D95C1D"/>
    <w:rsid w:val="5A6C6A91"/>
    <w:rsid w:val="5A787F10"/>
    <w:rsid w:val="5B6641ED"/>
    <w:rsid w:val="5C013209"/>
    <w:rsid w:val="5C166CB5"/>
    <w:rsid w:val="5C983B6D"/>
    <w:rsid w:val="5D026789"/>
    <w:rsid w:val="5D543665"/>
    <w:rsid w:val="5E6617A9"/>
    <w:rsid w:val="5F7A2286"/>
    <w:rsid w:val="5F917744"/>
    <w:rsid w:val="602120CC"/>
    <w:rsid w:val="602364FC"/>
    <w:rsid w:val="61461FA8"/>
    <w:rsid w:val="61D13B33"/>
    <w:rsid w:val="624125B1"/>
    <w:rsid w:val="624B51DE"/>
    <w:rsid w:val="625F0BCD"/>
    <w:rsid w:val="62A06426"/>
    <w:rsid w:val="62D41677"/>
    <w:rsid w:val="64836EB1"/>
    <w:rsid w:val="649C0675"/>
    <w:rsid w:val="64A07A63"/>
    <w:rsid w:val="64FD020B"/>
    <w:rsid w:val="658824B6"/>
    <w:rsid w:val="65FE49D8"/>
    <w:rsid w:val="660B3D1D"/>
    <w:rsid w:val="668E00B5"/>
    <w:rsid w:val="66A240CC"/>
    <w:rsid w:val="674F5770"/>
    <w:rsid w:val="68A51AEC"/>
    <w:rsid w:val="696C260A"/>
    <w:rsid w:val="698B4480"/>
    <w:rsid w:val="699C3992"/>
    <w:rsid w:val="6A5512F0"/>
    <w:rsid w:val="6A8F2708"/>
    <w:rsid w:val="6AD541DF"/>
    <w:rsid w:val="6B60619E"/>
    <w:rsid w:val="6BFB1A23"/>
    <w:rsid w:val="6C150EE6"/>
    <w:rsid w:val="6C507FC1"/>
    <w:rsid w:val="6C5F20A2"/>
    <w:rsid w:val="6CF7043C"/>
    <w:rsid w:val="6D183A32"/>
    <w:rsid w:val="6D4D62AE"/>
    <w:rsid w:val="6D947F8B"/>
    <w:rsid w:val="6FDE58E3"/>
    <w:rsid w:val="70AB3BE8"/>
    <w:rsid w:val="70C66AA3"/>
    <w:rsid w:val="70ED2282"/>
    <w:rsid w:val="71016B88"/>
    <w:rsid w:val="71AF05F5"/>
    <w:rsid w:val="72874010"/>
    <w:rsid w:val="72AC0553"/>
    <w:rsid w:val="73505624"/>
    <w:rsid w:val="73B7063C"/>
    <w:rsid w:val="7411165B"/>
    <w:rsid w:val="7428537F"/>
    <w:rsid w:val="743B2FB6"/>
    <w:rsid w:val="749B50F4"/>
    <w:rsid w:val="750A09BD"/>
    <w:rsid w:val="751A15A2"/>
    <w:rsid w:val="75232716"/>
    <w:rsid w:val="753E1665"/>
    <w:rsid w:val="75F60CA4"/>
    <w:rsid w:val="76452218"/>
    <w:rsid w:val="78394CB2"/>
    <w:rsid w:val="7846246B"/>
    <w:rsid w:val="79490272"/>
    <w:rsid w:val="79654980"/>
    <w:rsid w:val="7A124B07"/>
    <w:rsid w:val="7A8E3997"/>
    <w:rsid w:val="7ADF6568"/>
    <w:rsid w:val="7B260758"/>
    <w:rsid w:val="7B4A02D1"/>
    <w:rsid w:val="7B9E6925"/>
    <w:rsid w:val="7BAF2C7A"/>
    <w:rsid w:val="7C713B8D"/>
    <w:rsid w:val="7DA1329F"/>
    <w:rsid w:val="7DDA3B8E"/>
    <w:rsid w:val="7E3F39F1"/>
    <w:rsid w:val="7EFB200E"/>
    <w:rsid w:val="7EFC7B34"/>
    <w:rsid w:val="7F083346"/>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autoRedefine/>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autoRedefine/>
    <w:qFormat/>
    <w:uiPriority w:val="0"/>
    <w:pPr>
      <w:jc w:val="left"/>
    </w:pPr>
  </w:style>
  <w:style w:type="paragraph" w:styleId="4">
    <w:name w:val="footer"/>
    <w:basedOn w:val="1"/>
    <w:link w:val="12"/>
    <w:autoRedefine/>
    <w:qFormat/>
    <w:uiPriority w:val="0"/>
    <w:pPr>
      <w:tabs>
        <w:tab w:val="center" w:pos="4153"/>
        <w:tab w:val="right" w:pos="8306"/>
      </w:tabs>
      <w:snapToGrid w:val="0"/>
      <w:jc w:val="left"/>
    </w:pPr>
    <w:rPr>
      <w:sz w:val="18"/>
      <w:szCs w:val="18"/>
    </w:rPr>
  </w:style>
  <w:style w:type="paragraph" w:styleId="5">
    <w:name w:val="header"/>
    <w:basedOn w:val="1"/>
    <w:link w:val="11"/>
    <w:autoRedefine/>
    <w:qFormat/>
    <w:uiPriority w:val="0"/>
    <w:pPr>
      <w:tabs>
        <w:tab w:val="center" w:pos="4153"/>
        <w:tab w:val="right" w:pos="8306"/>
      </w:tabs>
      <w:snapToGrid w:val="0"/>
      <w:jc w:val="center"/>
    </w:pPr>
    <w:rPr>
      <w:sz w:val="18"/>
      <w:szCs w:val="18"/>
    </w:rPr>
  </w:style>
  <w:style w:type="paragraph" w:styleId="6">
    <w:name w:val="Normal (Web)"/>
    <w:basedOn w:val="1"/>
    <w:autoRedefine/>
    <w:qFormat/>
    <w:uiPriority w:val="0"/>
    <w:pPr>
      <w:spacing w:beforeAutospacing="1" w:afterAutospacing="1"/>
      <w:jc w:val="left"/>
    </w:pPr>
    <w:rPr>
      <w:rFonts w:cs="Times New Roman"/>
      <w:kern w:val="0"/>
      <w:sz w:val="24"/>
    </w:rPr>
  </w:style>
  <w:style w:type="character" w:styleId="9">
    <w:name w:val="Strong"/>
    <w:basedOn w:val="8"/>
    <w:autoRedefine/>
    <w:qFormat/>
    <w:uiPriority w:val="0"/>
    <w:rPr>
      <w:b/>
    </w:rPr>
  </w:style>
  <w:style w:type="character" w:styleId="10">
    <w:name w:val="Emphasis"/>
    <w:basedOn w:val="8"/>
    <w:autoRedefine/>
    <w:qFormat/>
    <w:uiPriority w:val="0"/>
    <w:rPr>
      <w:i/>
    </w:rPr>
  </w:style>
  <w:style w:type="character" w:customStyle="1" w:styleId="11">
    <w:name w:val="页眉 字符"/>
    <w:basedOn w:val="8"/>
    <w:link w:val="5"/>
    <w:autoRedefine/>
    <w:qFormat/>
    <w:uiPriority w:val="0"/>
    <w:rPr>
      <w:rFonts w:asciiTheme="minorHAnsi" w:hAnsiTheme="minorHAnsi" w:eastAsiaTheme="minorEastAsia" w:cstheme="minorBidi"/>
      <w:kern w:val="2"/>
      <w:sz w:val="18"/>
      <w:szCs w:val="18"/>
    </w:rPr>
  </w:style>
  <w:style w:type="character" w:customStyle="1" w:styleId="12">
    <w:name w:val="页脚 字符"/>
    <w:basedOn w:val="8"/>
    <w:link w:val="4"/>
    <w:autoRedefine/>
    <w:qFormat/>
    <w:uiPriority w:val="0"/>
    <w:rPr>
      <w:rFonts w:asciiTheme="minorHAnsi" w:hAnsiTheme="minorHAnsi" w:eastAsiaTheme="minorEastAsia" w:cstheme="minorBidi"/>
      <w:kern w:val="2"/>
      <w:sz w:val="18"/>
      <w:szCs w:val="18"/>
    </w:rPr>
  </w:style>
  <w:style w:type="character" w:customStyle="1" w:styleId="13">
    <w:name w:val="font41"/>
    <w:basedOn w:val="8"/>
    <w:qFormat/>
    <w:uiPriority w:val="0"/>
    <w:rPr>
      <w:rFonts w:hint="eastAsia" w:ascii="宋体" w:hAnsi="宋体" w:eastAsia="宋体" w:cs="宋体"/>
      <w:b/>
      <w:bCs/>
      <w:color w:val="000000"/>
      <w:sz w:val="22"/>
      <w:szCs w:val="22"/>
      <w:u w:val="none"/>
    </w:rPr>
  </w:style>
  <w:style w:type="character" w:customStyle="1" w:styleId="14">
    <w:name w:val="font31"/>
    <w:basedOn w:val="8"/>
    <w:qFormat/>
    <w:uiPriority w:val="0"/>
    <w:rPr>
      <w:rFonts w:hint="eastAsia" w:ascii="宋体" w:hAnsi="宋体" w:eastAsia="宋体" w:cs="宋体"/>
      <w:color w:val="000000"/>
      <w:sz w:val="22"/>
      <w:szCs w:val="22"/>
      <w:u w:val="none"/>
    </w:rPr>
  </w:style>
  <w:style w:type="character" w:customStyle="1" w:styleId="15">
    <w:name w:val="font21"/>
    <w:basedOn w:val="8"/>
    <w:qFormat/>
    <w:uiPriority w:val="0"/>
    <w:rPr>
      <w:rFonts w:hint="default" w:ascii="Times New Roman" w:hAnsi="Times New Roman" w:cs="Times New Roman"/>
      <w:color w:val="000000"/>
      <w:sz w:val="22"/>
      <w:szCs w:val="22"/>
      <w:u w:val="none"/>
    </w:rPr>
  </w:style>
  <w:style w:type="character" w:customStyle="1" w:styleId="16">
    <w:name w:val="font51"/>
    <w:basedOn w:val="8"/>
    <w:uiPriority w:val="0"/>
    <w:rPr>
      <w:rFonts w:hint="eastAsia" w:ascii="宋体" w:hAnsi="宋体" w:eastAsia="宋体" w:cs="宋体"/>
      <w:b/>
      <w:bCs/>
      <w:color w:val="000000"/>
      <w:sz w:val="22"/>
      <w:szCs w:val="22"/>
      <w:u w:val="none"/>
    </w:rPr>
  </w:style>
  <w:style w:type="character" w:customStyle="1" w:styleId="17">
    <w:name w:val="font61"/>
    <w:basedOn w:val="8"/>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P R C</Company>
  <Pages>5</Pages>
  <Words>3405</Words>
  <Characters>3687</Characters>
  <Lines>56</Lines>
  <Paragraphs>43</Paragraphs>
  <TotalTime>16</TotalTime>
  <ScaleCrop>false</ScaleCrop>
  <LinksUpToDate>false</LinksUpToDate>
  <CharactersWithSpaces>3809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2025-08-21T10:32:00Z</dcterms:created>
  <dc:creator>张尊睿</dc:creator>
  <cp:lastModifiedBy>张尊睿</cp:lastModifiedBy>
  <cp:lastPrinted>2025-09-18T09:48:00Z</cp:lastPrinted>
  <dcterms:modified xsi:type="dcterms:W3CDTF">2026-08-31T06:41:08Z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A5CF3FC8CA284D4ABF3A70396BE2D877_13</vt:lpwstr>
  </property>
  <property fmtid="{D5CDD505-2E9C-101B-9397-08002B2CF9AE}" pid="4" name="KSOTemplateDocerSaveRecord">
    <vt:lpwstr>eyJoZGlkIjoiOTZhN2FhNjJiOGQwOGUyOWUxYjBiMDhkMmY4NjgyMzMiLCJ1c2VySWQiOiIxMDczODMxODQxIn0=</vt:lpwstr>
  </property>
</Properties>
</file>