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8EF2F">
      <w:pPr>
        <w:pStyle w:val="2"/>
        <w:rPr>
          <w:rFonts w:hint="default" w:ascii="宋体" w:hAnsi="宋体" w:eastAsia="宋体" w:cs="宋体"/>
          <w:sz w:val="20"/>
          <w:szCs w:val="20"/>
          <w:lang w:val="en-US" w:eastAsia="zh-CN"/>
        </w:rPr>
      </w:pPr>
      <w:r>
        <w:rPr>
          <w:rFonts w:hint="eastAsia" w:ascii="宋体" w:hAnsi="宋体" w:eastAsia="宋体" w:cs="宋体"/>
          <w:sz w:val="20"/>
          <w:szCs w:val="20"/>
          <w:lang w:val="en-US"/>
        </w:rPr>
        <w:t>证券代码：</w:t>
      </w:r>
      <w:r>
        <w:rPr>
          <w:rFonts w:hint="eastAsia" w:ascii="宋体" w:hAnsi="宋体" w:eastAsia="宋体" w:cs="宋体"/>
          <w:sz w:val="20"/>
          <w:szCs w:val="20"/>
          <w:lang w:val="en-US" w:eastAsia="zh-CN"/>
        </w:rPr>
        <w:t>603382</w:t>
      </w:r>
      <w:r>
        <w:rPr>
          <w:rFonts w:hint="eastAsia" w:ascii="宋体" w:hAnsi="宋体" w:eastAsia="宋体" w:cs="宋体"/>
          <w:sz w:val="20"/>
          <w:szCs w:val="20"/>
          <w:lang w:val="en-US"/>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0"/>
          <w:szCs w:val="20"/>
          <w:lang w:val="en-US"/>
        </w:rPr>
        <w:t>证券简称：</w:t>
      </w:r>
      <w:r>
        <w:rPr>
          <w:rFonts w:hint="eastAsia" w:ascii="宋体" w:hAnsi="宋体" w:eastAsia="宋体" w:cs="宋体"/>
          <w:sz w:val="20"/>
          <w:szCs w:val="20"/>
          <w:lang w:val="en-US" w:eastAsia="zh-CN"/>
        </w:rPr>
        <w:t>海阳科技</w:t>
      </w:r>
    </w:p>
    <w:p w14:paraId="7AFF4AA4">
      <w:pPr>
        <w:spacing w:line="360" w:lineRule="auto"/>
        <w:jc w:val="center"/>
        <w:rPr>
          <w:rFonts w:ascii="宋体" w:hAnsi="宋体" w:eastAsia="宋体" w:cs="宋体"/>
          <w:b/>
          <w:bCs/>
          <w:sz w:val="44"/>
          <w:szCs w:val="44"/>
        </w:rPr>
      </w:pPr>
    </w:p>
    <w:p w14:paraId="688D7CA5">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海阳科技股份有限公司</w:t>
      </w:r>
    </w:p>
    <w:p w14:paraId="0A088931">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p w14:paraId="07C2FE30">
      <w:pPr>
        <w:spacing w:before="51" w:after="32"/>
        <w:ind w:right="619"/>
        <w:jc w:val="right"/>
        <w:rPr>
          <w:rFonts w:hint="default" w:ascii="宋体" w:hAnsi="宋体" w:eastAsia="宋体" w:cs="宋体"/>
          <w:sz w:val="20"/>
          <w:szCs w:val="20"/>
          <w:lang w:val="en-US" w:eastAsia="zh-CN"/>
        </w:rPr>
      </w:pPr>
      <w:r>
        <w:rPr>
          <w:rFonts w:hint="eastAsia" w:ascii="宋体" w:hAnsi="宋体" w:eastAsia="宋体" w:cs="宋体"/>
          <w:sz w:val="20"/>
          <w:szCs w:val="20"/>
        </w:rPr>
        <w:t>编号：</w:t>
      </w:r>
      <w:r>
        <w:rPr>
          <w:rFonts w:hint="eastAsia" w:ascii="宋体" w:hAnsi="宋体" w:eastAsia="宋体" w:cs="宋体"/>
          <w:sz w:val="20"/>
          <w:szCs w:val="20"/>
          <w:lang w:val="en-US"/>
        </w:rPr>
        <w:t>2026</w:t>
      </w:r>
      <w:r>
        <w:rPr>
          <w:rFonts w:hint="eastAsia" w:ascii="宋体" w:hAnsi="宋体" w:eastAsia="宋体" w:cs="宋体"/>
          <w:sz w:val="20"/>
          <w:szCs w:val="20"/>
        </w:rPr>
        <w:t xml:space="preserve"> -</w:t>
      </w:r>
      <w:r>
        <w:rPr>
          <w:rFonts w:hint="eastAsia" w:ascii="宋体" w:hAnsi="宋体" w:eastAsia="宋体" w:cs="宋体"/>
          <w:sz w:val="20"/>
          <w:szCs w:val="20"/>
          <w:lang w:val="en-US" w:eastAsia="zh-CN"/>
        </w:rPr>
        <w:t>003</w:t>
      </w:r>
    </w:p>
    <w:tbl>
      <w:tblPr>
        <w:tblStyle w:val="9"/>
        <w:tblW w:w="84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10"/>
        <w:gridCol w:w="5945"/>
      </w:tblGrid>
      <w:tr w14:paraId="3FFD8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10" w:type="dxa"/>
          </w:tcPr>
          <w:p w14:paraId="2D431D66">
            <w:pPr>
              <w:pStyle w:val="12"/>
              <w:spacing w:before="7"/>
              <w:rPr>
                <w:rFonts w:ascii="宋体" w:hAnsi="宋体" w:eastAsia="宋体" w:cs="宋体"/>
                <w:b/>
                <w:bCs/>
                <w:sz w:val="20"/>
                <w:szCs w:val="20"/>
              </w:rPr>
            </w:pPr>
          </w:p>
          <w:p w14:paraId="650D8318">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投资者关系活动类别</w:t>
            </w:r>
          </w:p>
        </w:tc>
        <w:tc>
          <w:tcPr>
            <w:tcW w:w="5945" w:type="dxa"/>
          </w:tcPr>
          <w:p w14:paraId="01FE7339">
            <w:pPr>
              <w:pStyle w:val="12"/>
              <w:spacing w:before="7"/>
              <w:rPr>
                <w:rFonts w:ascii="宋体" w:hAnsi="宋体" w:eastAsia="宋体" w:cs="宋体"/>
                <w:sz w:val="20"/>
                <w:szCs w:val="20"/>
              </w:rPr>
            </w:pPr>
          </w:p>
          <w:p w14:paraId="65FDB84E">
            <w:pPr>
              <w:pStyle w:val="12"/>
              <w:tabs>
                <w:tab w:val="left" w:pos="2418"/>
              </w:tabs>
              <w:spacing w:before="1"/>
              <w:ind w:left="107"/>
              <w:rPr>
                <w:rFonts w:ascii="宋体" w:hAnsi="宋体" w:eastAsia="宋体" w:cs="宋体"/>
                <w:sz w:val="20"/>
                <w:szCs w:val="20"/>
              </w:rPr>
            </w:pPr>
            <w:sdt>
              <w:sdtPr>
                <w:rPr>
                  <w:rFonts w:hint="eastAsia" w:ascii="宋体" w:hAnsi="宋体" w:eastAsia="宋体" w:cs="宋体"/>
                  <w:sz w:val="20"/>
                  <w:szCs w:val="20"/>
                </w:rPr>
                <w:id w:val="249780449"/>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特</w:t>
            </w:r>
            <w:r>
              <w:rPr>
                <w:rFonts w:hint="eastAsia" w:ascii="宋体" w:hAnsi="宋体" w:eastAsia="宋体" w:cs="宋体"/>
                <w:spacing w:val="-3"/>
                <w:sz w:val="20"/>
                <w:szCs w:val="20"/>
              </w:rPr>
              <w:t>定</w:t>
            </w:r>
            <w:r>
              <w:rPr>
                <w:rFonts w:hint="eastAsia" w:ascii="宋体" w:hAnsi="宋体" w:eastAsia="宋体" w:cs="宋体"/>
                <w:sz w:val="20"/>
                <w:szCs w:val="20"/>
              </w:rPr>
              <w:t>对</w:t>
            </w:r>
            <w:r>
              <w:rPr>
                <w:rFonts w:hint="eastAsia" w:ascii="宋体" w:hAnsi="宋体" w:eastAsia="宋体" w:cs="宋体"/>
                <w:spacing w:val="-3"/>
                <w:sz w:val="20"/>
                <w:szCs w:val="20"/>
              </w:rPr>
              <w:t>象</w:t>
            </w:r>
            <w:r>
              <w:rPr>
                <w:rFonts w:hint="eastAsia" w:ascii="宋体" w:hAnsi="宋体" w:eastAsia="宋体" w:cs="宋体"/>
                <w:sz w:val="20"/>
                <w:szCs w:val="20"/>
              </w:rPr>
              <w:t>调研</w:t>
            </w:r>
            <w:r>
              <w:rPr>
                <w:rFonts w:hint="eastAsia" w:ascii="宋体" w:hAnsi="宋体" w:eastAsia="宋体" w:cs="宋体"/>
                <w:sz w:val="20"/>
                <w:szCs w:val="20"/>
              </w:rPr>
              <w:tab/>
            </w:r>
            <w:sdt>
              <w:sdtPr>
                <w:rPr>
                  <w:rFonts w:hint="eastAsia" w:ascii="宋体" w:hAnsi="宋体" w:eastAsia="宋体" w:cs="宋体"/>
                  <w:sz w:val="20"/>
                  <w:szCs w:val="20"/>
                </w:rPr>
                <w:id w:val="-416875725"/>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分</w:t>
            </w:r>
            <w:r>
              <w:rPr>
                <w:rFonts w:hint="eastAsia" w:ascii="宋体" w:hAnsi="宋体" w:eastAsia="宋体" w:cs="宋体"/>
                <w:spacing w:val="-3"/>
                <w:sz w:val="20"/>
                <w:szCs w:val="20"/>
              </w:rPr>
              <w:t>析</w:t>
            </w:r>
            <w:r>
              <w:rPr>
                <w:rFonts w:hint="eastAsia" w:ascii="宋体" w:hAnsi="宋体" w:eastAsia="宋体" w:cs="宋体"/>
                <w:sz w:val="20"/>
                <w:szCs w:val="20"/>
              </w:rPr>
              <w:t>师</w:t>
            </w:r>
            <w:r>
              <w:rPr>
                <w:rFonts w:hint="eastAsia" w:ascii="宋体" w:hAnsi="宋体" w:eastAsia="宋体" w:cs="宋体"/>
                <w:spacing w:val="-3"/>
                <w:sz w:val="20"/>
                <w:szCs w:val="20"/>
              </w:rPr>
              <w:t>会</w:t>
            </w:r>
            <w:r>
              <w:rPr>
                <w:rFonts w:hint="eastAsia" w:ascii="宋体" w:hAnsi="宋体" w:eastAsia="宋体" w:cs="宋体"/>
                <w:sz w:val="20"/>
                <w:szCs w:val="20"/>
              </w:rPr>
              <w:t>议</w:t>
            </w:r>
          </w:p>
          <w:p w14:paraId="4B5C81D4">
            <w:pPr>
              <w:pStyle w:val="12"/>
              <w:spacing w:before="11"/>
              <w:rPr>
                <w:rFonts w:ascii="宋体" w:hAnsi="宋体" w:eastAsia="宋体" w:cs="宋体"/>
                <w:sz w:val="20"/>
                <w:szCs w:val="20"/>
              </w:rPr>
            </w:pPr>
          </w:p>
          <w:p w14:paraId="76928CD6">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20690601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媒</w:t>
            </w:r>
            <w:r>
              <w:rPr>
                <w:rFonts w:hint="eastAsia" w:ascii="宋体" w:hAnsi="宋体" w:eastAsia="宋体" w:cs="宋体"/>
                <w:spacing w:val="-3"/>
                <w:sz w:val="20"/>
                <w:szCs w:val="20"/>
              </w:rPr>
              <w:t>体</w:t>
            </w:r>
            <w:r>
              <w:rPr>
                <w:rFonts w:hint="eastAsia" w:ascii="宋体" w:hAnsi="宋体" w:eastAsia="宋体" w:cs="宋体"/>
                <w:sz w:val="20"/>
                <w:szCs w:val="20"/>
              </w:rPr>
              <w:t>采访</w:t>
            </w:r>
            <w:r>
              <w:rPr>
                <w:rFonts w:hint="eastAsia" w:ascii="宋体" w:hAnsi="宋体" w:eastAsia="宋体" w:cs="宋体"/>
                <w:sz w:val="20"/>
                <w:szCs w:val="20"/>
              </w:rPr>
              <w:tab/>
            </w:r>
            <w:sdt>
              <w:sdtPr>
                <w:rPr>
                  <w:rFonts w:hint="eastAsia" w:ascii="宋体" w:hAnsi="宋体" w:eastAsia="宋体" w:cs="宋体"/>
                  <w:sz w:val="20"/>
                  <w:szCs w:val="20"/>
                </w:rPr>
                <w:id w:val="-66658901"/>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Wingdings 2" w:hAnsi="Wingdings 2" w:eastAsia="MS Gothic" w:cs="宋体"/>
                    <w:sz w:val="20"/>
                    <w:szCs w:val="20"/>
                    <w:lang w:val="zh-CN" w:eastAsia="zh-CN" w:bidi="zh-CN"/>
                  </w:rPr>
                  <w:t>R</w:t>
                </w:r>
              </w:sdtContent>
            </w:sdt>
            <w:r>
              <w:rPr>
                <w:rFonts w:hint="eastAsia" w:ascii="宋体" w:hAnsi="宋体" w:eastAsia="宋体" w:cs="宋体"/>
                <w:sz w:val="20"/>
                <w:szCs w:val="20"/>
              </w:rPr>
              <w:t>业</w:t>
            </w:r>
            <w:r>
              <w:rPr>
                <w:rFonts w:hint="eastAsia" w:ascii="宋体" w:hAnsi="宋体" w:eastAsia="宋体" w:cs="宋体"/>
                <w:spacing w:val="-3"/>
                <w:sz w:val="20"/>
                <w:szCs w:val="20"/>
              </w:rPr>
              <w:t>绩</w:t>
            </w:r>
            <w:r>
              <w:rPr>
                <w:rFonts w:hint="eastAsia" w:ascii="宋体" w:hAnsi="宋体" w:eastAsia="宋体" w:cs="宋体"/>
                <w:sz w:val="20"/>
                <w:szCs w:val="20"/>
              </w:rPr>
              <w:t>说</w:t>
            </w:r>
            <w:r>
              <w:rPr>
                <w:rFonts w:hint="eastAsia" w:ascii="宋体" w:hAnsi="宋体" w:eastAsia="宋体" w:cs="宋体"/>
                <w:spacing w:val="-3"/>
                <w:sz w:val="20"/>
                <w:szCs w:val="20"/>
              </w:rPr>
              <w:t>明</w:t>
            </w:r>
            <w:r>
              <w:rPr>
                <w:rFonts w:hint="eastAsia" w:ascii="宋体" w:hAnsi="宋体" w:eastAsia="宋体" w:cs="宋体"/>
                <w:sz w:val="20"/>
                <w:szCs w:val="20"/>
              </w:rPr>
              <w:t>会</w:t>
            </w:r>
          </w:p>
          <w:p w14:paraId="5BEAA94C">
            <w:pPr>
              <w:pStyle w:val="12"/>
              <w:spacing w:before="8"/>
              <w:rPr>
                <w:rFonts w:ascii="宋体" w:hAnsi="宋体" w:eastAsia="宋体" w:cs="宋体"/>
                <w:sz w:val="20"/>
                <w:szCs w:val="20"/>
              </w:rPr>
            </w:pPr>
          </w:p>
          <w:p w14:paraId="3588F917">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84816743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新</w:t>
            </w:r>
            <w:r>
              <w:rPr>
                <w:rFonts w:hint="eastAsia" w:ascii="宋体" w:hAnsi="宋体" w:eastAsia="宋体" w:cs="宋体"/>
                <w:spacing w:val="-3"/>
                <w:sz w:val="20"/>
                <w:szCs w:val="20"/>
              </w:rPr>
              <w:t>闻</w:t>
            </w:r>
            <w:r>
              <w:rPr>
                <w:rFonts w:hint="eastAsia" w:ascii="宋体" w:hAnsi="宋体" w:eastAsia="宋体" w:cs="宋体"/>
                <w:sz w:val="20"/>
                <w:szCs w:val="20"/>
              </w:rPr>
              <w:t>发</w:t>
            </w:r>
            <w:r>
              <w:rPr>
                <w:rFonts w:hint="eastAsia" w:ascii="宋体" w:hAnsi="宋体" w:eastAsia="宋体" w:cs="宋体"/>
                <w:spacing w:val="-3"/>
                <w:sz w:val="20"/>
                <w:szCs w:val="20"/>
              </w:rPr>
              <w:t>布</w:t>
            </w:r>
            <w:r>
              <w:rPr>
                <w:rFonts w:hint="eastAsia" w:ascii="宋体" w:hAnsi="宋体" w:eastAsia="宋体" w:cs="宋体"/>
                <w:sz w:val="20"/>
                <w:szCs w:val="20"/>
              </w:rPr>
              <w:t>会</w:t>
            </w:r>
            <w:r>
              <w:rPr>
                <w:rFonts w:hint="eastAsia" w:ascii="宋体" w:hAnsi="宋体" w:eastAsia="宋体" w:cs="宋体"/>
                <w:sz w:val="20"/>
                <w:szCs w:val="20"/>
              </w:rPr>
              <w:tab/>
            </w:r>
            <w:sdt>
              <w:sdtPr>
                <w:rPr>
                  <w:rFonts w:hint="eastAsia" w:ascii="宋体" w:hAnsi="宋体" w:eastAsia="宋体" w:cs="宋体"/>
                  <w:sz w:val="20"/>
                  <w:szCs w:val="20"/>
                </w:rPr>
                <w:id w:val="41204969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路</w:t>
            </w:r>
            <w:r>
              <w:rPr>
                <w:rFonts w:hint="eastAsia" w:ascii="宋体" w:hAnsi="宋体" w:eastAsia="宋体" w:cs="宋体"/>
                <w:spacing w:val="-3"/>
                <w:sz w:val="20"/>
                <w:szCs w:val="20"/>
              </w:rPr>
              <w:t>演</w:t>
            </w:r>
            <w:r>
              <w:rPr>
                <w:rFonts w:hint="eastAsia" w:ascii="宋体" w:hAnsi="宋体" w:eastAsia="宋体" w:cs="宋体"/>
                <w:sz w:val="20"/>
                <w:szCs w:val="20"/>
              </w:rPr>
              <w:t>活动</w:t>
            </w:r>
          </w:p>
          <w:p w14:paraId="16E9411A">
            <w:pPr>
              <w:pStyle w:val="12"/>
              <w:spacing w:before="8"/>
              <w:rPr>
                <w:rFonts w:ascii="宋体" w:hAnsi="宋体" w:eastAsia="宋体" w:cs="宋体"/>
                <w:sz w:val="20"/>
                <w:szCs w:val="20"/>
              </w:rPr>
            </w:pPr>
          </w:p>
          <w:p w14:paraId="052D8895">
            <w:pPr>
              <w:pStyle w:val="12"/>
              <w:ind w:left="107"/>
              <w:rPr>
                <w:rFonts w:ascii="宋体" w:hAnsi="宋体" w:eastAsia="宋体" w:cs="宋体"/>
                <w:sz w:val="20"/>
                <w:szCs w:val="20"/>
              </w:rPr>
            </w:pPr>
            <w:sdt>
              <w:sdtPr>
                <w:rPr>
                  <w:rFonts w:hint="eastAsia" w:ascii="宋体" w:hAnsi="宋体" w:eastAsia="宋体" w:cs="宋体"/>
                  <w:sz w:val="20"/>
                  <w:szCs w:val="20"/>
                </w:rPr>
                <w:id w:val="-133336691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现场参观</w:t>
            </w:r>
          </w:p>
          <w:p w14:paraId="022FFEB1">
            <w:pPr>
              <w:pStyle w:val="12"/>
              <w:spacing w:before="11"/>
              <w:rPr>
                <w:rFonts w:ascii="宋体" w:hAnsi="宋体" w:eastAsia="宋体" w:cs="宋体"/>
                <w:sz w:val="20"/>
                <w:szCs w:val="20"/>
              </w:rPr>
            </w:pPr>
          </w:p>
          <w:p w14:paraId="58F55D80">
            <w:pPr>
              <w:pStyle w:val="12"/>
              <w:ind w:left="107"/>
              <w:rPr>
                <w:rFonts w:ascii="宋体" w:hAnsi="宋体" w:eastAsia="宋体" w:cs="宋体"/>
                <w:sz w:val="20"/>
                <w:szCs w:val="20"/>
              </w:rPr>
            </w:pPr>
            <w:sdt>
              <w:sdtPr>
                <w:rPr>
                  <w:rFonts w:hint="eastAsia" w:ascii="宋体" w:hAnsi="宋体" w:eastAsia="宋体" w:cs="宋体"/>
                  <w:sz w:val="20"/>
                  <w:szCs w:val="20"/>
                </w:rPr>
                <w:id w:val="400885218"/>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其他（</w:t>
            </w:r>
            <w:r>
              <w:rPr>
                <w:rFonts w:hint="eastAsia" w:ascii="宋体" w:hAnsi="宋体" w:eastAsia="宋体" w:cs="宋体"/>
                <w:sz w:val="20"/>
                <w:szCs w:val="20"/>
                <w:u w:val="single"/>
              </w:rPr>
              <w:t>请文字说明其他活动内容）</w:t>
            </w:r>
          </w:p>
        </w:tc>
      </w:tr>
      <w:tr w14:paraId="5EBC5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10" w:type="dxa"/>
            <w:vAlign w:val="center"/>
          </w:tcPr>
          <w:p w14:paraId="1BDD49DF">
            <w:pPr>
              <w:pStyle w:val="12"/>
              <w:spacing w:line="560" w:lineRule="exact"/>
              <w:ind w:left="107" w:right="96"/>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参与单位名称及人员姓名</w:t>
            </w:r>
          </w:p>
        </w:tc>
        <w:tc>
          <w:tcPr>
            <w:tcW w:w="5945" w:type="dxa"/>
            <w:vAlign w:val="center"/>
          </w:tcPr>
          <w:p w14:paraId="0E145522">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cs="宋体" w:asciiTheme="minorEastAsia" w:hAnsiTheme="minorEastAsia" w:eastAsiaTheme="minorEastAsia"/>
                <w:sz w:val="20"/>
                <w:szCs w:val="20"/>
                <w:lang w:val="en-US" w:eastAsia="zh-CN"/>
              </w:rPr>
            </w:pPr>
            <w:r>
              <w:rPr>
                <w:rFonts w:hint="eastAsia" w:cs="宋体" w:asciiTheme="minorEastAsia" w:hAnsiTheme="minorEastAsia" w:eastAsiaTheme="minorEastAsia"/>
                <w:sz w:val="20"/>
                <w:szCs w:val="20"/>
                <w:lang w:val="en-US" w:eastAsia="zh-CN"/>
              </w:rPr>
              <w:t>线上参与公司2026年半年度业绩说明会的投资者</w:t>
            </w:r>
          </w:p>
        </w:tc>
      </w:tr>
      <w:tr w14:paraId="69E94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10" w:type="dxa"/>
            <w:vAlign w:val="center"/>
          </w:tcPr>
          <w:p w14:paraId="435B69A7">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时间</w:t>
            </w:r>
          </w:p>
        </w:tc>
        <w:tc>
          <w:tcPr>
            <w:tcW w:w="5945" w:type="dxa"/>
            <w:vAlign w:val="center"/>
          </w:tcPr>
          <w:p w14:paraId="3E3C479B">
            <w:pPr>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sz w:val="20"/>
                <w:szCs w:val="20"/>
              </w:rPr>
            </w:pPr>
            <w:r>
              <w:rPr>
                <w:rFonts w:hint="eastAsia" w:asciiTheme="minorEastAsia" w:hAnsiTheme="minorEastAsia" w:eastAsiaTheme="minorEastAsia" w:cstheme="minorEastAsia"/>
                <w:sz w:val="20"/>
                <w:szCs w:val="20"/>
              </w:rPr>
              <w:t>2026年08月31日 14:00-15:00</w:t>
            </w:r>
          </w:p>
        </w:tc>
      </w:tr>
      <w:tr w14:paraId="40CC5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10" w:type="dxa"/>
            <w:vAlign w:val="center"/>
          </w:tcPr>
          <w:p w14:paraId="03024E2B">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地点</w:t>
            </w:r>
          </w:p>
        </w:tc>
        <w:tc>
          <w:tcPr>
            <w:tcW w:w="5945" w:type="dxa"/>
            <w:vAlign w:val="center"/>
          </w:tcPr>
          <w:p w14:paraId="4060A9E5">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cs="宋体" w:asciiTheme="minorEastAsia" w:hAnsiTheme="minorEastAsia" w:eastAsiaTheme="minorEastAsia"/>
                <w:sz w:val="20"/>
                <w:szCs w:val="20"/>
              </w:rPr>
            </w:pPr>
            <w:r>
              <w:rPr>
                <w:rFonts w:cs="宋体" w:asciiTheme="minorEastAsia" w:hAnsiTheme="minorEastAsia" w:eastAsiaTheme="minorEastAsia"/>
                <w:sz w:val="20"/>
                <w:szCs w:val="20"/>
              </w:rPr>
              <w:t>价值在线（https://www.ir-online.cn/）网络互动</w:t>
            </w:r>
          </w:p>
        </w:tc>
      </w:tr>
      <w:tr w14:paraId="03D6F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10" w:type="dxa"/>
            <w:vAlign w:val="center"/>
          </w:tcPr>
          <w:p w14:paraId="759A43C3">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上市公司接待人员姓名</w:t>
            </w:r>
          </w:p>
        </w:tc>
        <w:tc>
          <w:tcPr>
            <w:tcW w:w="5945" w:type="dxa"/>
            <w:vAlign w:val="center"/>
          </w:tcPr>
          <w:p w14:paraId="66257EAE">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rPr>
            </w:pPr>
            <w:r>
              <w:rPr>
                <w:rFonts w:ascii="宋体" w:hAnsi="宋体" w:eastAsia="宋体" w:cs="宋体"/>
                <w:sz w:val="20"/>
                <w:szCs w:val="20"/>
              </w:rPr>
              <w:t>董事长 陆信才</w:t>
            </w:r>
            <w:r>
              <w:rPr>
                <w:rFonts w:ascii="宋体" w:hAnsi="宋体" w:eastAsia="宋体" w:cs="宋体"/>
                <w:sz w:val="20"/>
                <w:szCs w:val="20"/>
              </w:rPr>
              <w:br w:type="textWrapping"/>
            </w:r>
            <w:r>
              <w:rPr>
                <w:rFonts w:ascii="宋体" w:hAnsi="宋体" w:eastAsia="宋体" w:cs="宋体"/>
                <w:sz w:val="20"/>
                <w:szCs w:val="20"/>
              </w:rPr>
              <w:t>总经理 陈建新</w:t>
            </w:r>
            <w:r>
              <w:rPr>
                <w:rFonts w:ascii="宋体" w:hAnsi="宋体" w:eastAsia="宋体" w:cs="宋体"/>
                <w:sz w:val="20"/>
                <w:szCs w:val="20"/>
              </w:rPr>
              <w:br w:type="textWrapping"/>
            </w:r>
            <w:r>
              <w:rPr>
                <w:rFonts w:hint="eastAsia" w:ascii="宋体" w:hAnsi="宋体" w:eastAsia="宋体" w:cs="宋体"/>
                <w:sz w:val="20"/>
                <w:szCs w:val="20"/>
                <w:lang w:val="en-US" w:eastAsia="zh-CN"/>
              </w:rPr>
              <w:t>副总经理、</w:t>
            </w:r>
            <w:r>
              <w:rPr>
                <w:rFonts w:ascii="宋体" w:hAnsi="宋体" w:eastAsia="宋体" w:cs="宋体"/>
                <w:sz w:val="20"/>
                <w:szCs w:val="20"/>
              </w:rPr>
              <w:t>财务总监、董事会秘书 王伟</w:t>
            </w:r>
            <w:r>
              <w:rPr>
                <w:rFonts w:ascii="宋体" w:hAnsi="宋体" w:eastAsia="宋体" w:cs="宋体"/>
                <w:sz w:val="20"/>
                <w:szCs w:val="20"/>
              </w:rPr>
              <w:br w:type="textWrapping"/>
            </w:r>
            <w:r>
              <w:rPr>
                <w:rFonts w:ascii="宋体" w:hAnsi="宋体" w:eastAsia="宋体" w:cs="宋体"/>
                <w:sz w:val="20"/>
                <w:szCs w:val="20"/>
              </w:rPr>
              <w:t>独立董事 彭凯</w:t>
            </w:r>
          </w:p>
        </w:tc>
      </w:tr>
      <w:tr w14:paraId="4E778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510" w:type="dxa"/>
          </w:tcPr>
          <w:p w14:paraId="6125E065">
            <w:pPr>
              <w:pStyle w:val="12"/>
              <w:rPr>
                <w:rFonts w:ascii="宋体" w:hAnsi="宋体" w:eastAsia="宋体" w:cs="宋体"/>
                <w:b/>
                <w:bCs/>
                <w:sz w:val="20"/>
                <w:szCs w:val="20"/>
              </w:rPr>
            </w:pPr>
          </w:p>
          <w:p w14:paraId="127EAD15">
            <w:pPr>
              <w:pStyle w:val="12"/>
              <w:rPr>
                <w:rFonts w:ascii="宋体" w:hAnsi="宋体" w:eastAsia="宋体" w:cs="宋体"/>
                <w:b/>
                <w:bCs/>
                <w:sz w:val="20"/>
                <w:szCs w:val="20"/>
              </w:rPr>
            </w:pPr>
          </w:p>
          <w:p w14:paraId="1D9D3DB1">
            <w:pPr>
              <w:pStyle w:val="12"/>
              <w:spacing w:before="5"/>
              <w:rPr>
                <w:rFonts w:ascii="宋体" w:hAnsi="宋体" w:eastAsia="宋体" w:cs="宋体"/>
                <w:b/>
                <w:bCs/>
                <w:sz w:val="20"/>
                <w:szCs w:val="20"/>
              </w:rPr>
            </w:pPr>
          </w:p>
          <w:p w14:paraId="3B6CA454">
            <w:pPr>
              <w:pStyle w:val="12"/>
              <w:spacing w:before="1" w:line="499" w:lineRule="auto"/>
              <w:ind w:left="107" w:right="96"/>
              <w:rPr>
                <w:rFonts w:ascii="宋体" w:hAnsi="宋体" w:eastAsia="宋体" w:cs="宋体"/>
                <w:b/>
                <w:bCs/>
                <w:sz w:val="20"/>
                <w:szCs w:val="20"/>
              </w:rPr>
            </w:pPr>
            <w:r>
              <w:rPr>
                <w:rFonts w:hint="eastAsia" w:ascii="宋体" w:hAnsi="宋体" w:eastAsia="宋体" w:cs="宋体"/>
                <w:b/>
                <w:bCs/>
                <w:sz w:val="20"/>
                <w:szCs w:val="20"/>
              </w:rPr>
              <w:t>投资者关系活动主要内容介绍</w:t>
            </w:r>
          </w:p>
        </w:tc>
        <w:tc>
          <w:tcPr>
            <w:tcW w:w="5945" w:type="dxa"/>
          </w:tcPr>
          <w:p w14:paraId="2AC4CB4F">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rPr>
            </w:pPr>
            <w:r>
              <w:rPr>
                <w:rFonts w:ascii="宋体" w:hAnsi="宋体" w:eastAsia="宋体" w:cs="宋体"/>
                <w:b/>
                <w:sz w:val="20"/>
              </w:rPr>
              <w:t xml:space="preserve">    1.今年行业整体不太景气，公司上半年业绩也受了影响。请问管理层怎么看下半年行业走势？公司这边有什么应对办法？</w:t>
            </w:r>
            <w:r>
              <w:rPr>
                <w:rFonts w:ascii="宋体" w:hAnsi="宋体" w:eastAsia="宋体" w:cs="宋体"/>
                <w:b/>
                <w:sz w:val="20"/>
              </w:rPr>
              <w:br w:type="textWrapping"/>
            </w:r>
            <w:r>
              <w:rPr>
                <w:rFonts w:ascii="宋体" w:hAnsi="宋体" w:eastAsia="宋体" w:cs="宋体"/>
                <w:b w:val="0"/>
                <w:sz w:val="20"/>
              </w:rPr>
              <w:t xml:space="preserve">    答:尊敬的投资者，您好！上半年公司所处行业竞争加剧、整体开工率下滑，经营业绩同比有所下降。对于下半年，基于上半年的基础以及对市场趋势的判断，公司将全力保障年度主要目标完成，紧盯营收与利润目标，确保核心业务稳定增长，加速高附加值新产品的市场推广与量产落地，同时加速研发成果转化，积极推进研发产品从小试、中试阶段迈向量产阶段，尽快形成新的销售增长点，并加快重点项目建设，全力推进在建项目按期投产，重点加快年产8万吨涤纶高模低缩工业丝项目投产，随着项目建设的推进，帘子布主要原材料的自主配套供应正加快形成，产业链协同效应持续增强，同时深化市场开拓、提升运营效率、强化风险管控，多措并举应对行业竞争与外部环境变化。感谢您对公司的关注与支持！</w:t>
            </w:r>
            <w:r>
              <w:rPr>
                <w:rFonts w:ascii="宋体" w:hAnsi="宋体" w:eastAsia="宋体" w:cs="宋体"/>
                <w:b w:val="0"/>
                <w:sz w:val="20"/>
              </w:rPr>
              <w:br w:type="textWrapping"/>
            </w:r>
            <w:r>
              <w:rPr>
                <w:rFonts w:ascii="宋体" w:hAnsi="宋体" w:eastAsia="宋体" w:cs="宋体"/>
                <w:b/>
                <w:sz w:val="20"/>
              </w:rPr>
              <w:t xml:space="preserve">    2.与四川大学共建的聚酰胺研发中心目前有哪些具体合作项目在进行？</w:t>
            </w:r>
            <w:r>
              <w:rPr>
                <w:rFonts w:ascii="宋体" w:hAnsi="宋体" w:eastAsia="宋体" w:cs="宋体"/>
                <w:b/>
                <w:sz w:val="20"/>
              </w:rPr>
              <w:br w:type="textWrapping"/>
            </w:r>
            <w:r>
              <w:rPr>
                <w:rFonts w:ascii="宋体" w:hAnsi="宋体" w:eastAsia="宋体" w:cs="宋体"/>
                <w:b w:val="0"/>
                <w:sz w:val="20"/>
              </w:rPr>
              <w:t xml:space="preserve">    答:尊敬的投资者，您好！公司联合四川大学开展协同研发，完成从弹性机理研究、聚合装置改造、纺丝工艺摸索到终端面料开发的全链条技术攻关，并与四川大学共同成立聚酰胺研发中心，深化产学研联合攻关。在8月25日至27日举行的中国纺联秋季联展上，公司与四川大学联合研发、自带弹性的无氨锦纶新品莱娜亮相。同时，公司与东华大学、湖南工大、苏州大学等专业院校、研究院所持续推进产学研合作，技术储备不断增强。感谢您对公司的关注与支持！</w:t>
            </w:r>
            <w:r>
              <w:rPr>
                <w:rFonts w:ascii="宋体" w:hAnsi="宋体" w:eastAsia="宋体" w:cs="宋体"/>
                <w:b w:val="0"/>
                <w:sz w:val="20"/>
              </w:rPr>
              <w:br w:type="textWrapping"/>
            </w:r>
            <w:r>
              <w:rPr>
                <w:rFonts w:ascii="宋体" w:hAnsi="宋体" w:eastAsia="宋体" w:cs="宋体"/>
                <w:b/>
                <w:sz w:val="20"/>
              </w:rPr>
              <w:t xml:space="preserve">    3.切片这块竞争很激烈，公司一直在讲差异化。请问差异化产品现在卖得怎么样？跟普通切片比，利润能好多少？</w:t>
            </w:r>
            <w:r>
              <w:rPr>
                <w:rFonts w:ascii="宋体" w:hAnsi="宋体" w:eastAsia="宋体" w:cs="宋体"/>
                <w:b/>
                <w:sz w:val="20"/>
              </w:rPr>
              <w:br w:type="textWrapping"/>
            </w:r>
            <w:r>
              <w:rPr>
                <w:rFonts w:ascii="宋体" w:hAnsi="宋体" w:eastAsia="宋体" w:cs="宋体"/>
                <w:b w:val="0"/>
                <w:sz w:val="20"/>
              </w:rPr>
              <w:t xml:space="preserve">    答:尊敬的投资者，您好！切片业务坚持“差别化引领、终端化布局”，将切片定位全面转向“高水平、差异化”。报告期内，公司切片销售继续在差异化转型上发力，差别化新产品销售量保持增长，共聚切片、超支化切片等差异化产品市场拓展持续推进，改性切片销售持续向好、产销稳定扩大，海阳研究院开发的共聚切片、黑切片等品种持续推出，部分差异化品种毛利率可达50%以上。公司研发的“黑色锦纶6帘子布”“超高强锦纶6高性能工业丝”及子公司海阳锦纶研发的“滚塑专用新型弹性尼龙6切片”“一种用间苯二甲胺作为封端基的高端氨基尼龙6切片”共四个产品入选江苏省2026年度新技术新产品认定清单。在弹性切片方面，公司与高校联合研发的原位聚合弹性PA6切片已取得关键性技术突破，并以此通过并列复合纺丝工艺制成弹性纤维，在保留锦纶原有强度、耐磨性的基础上实现稳定的原生拉伸回弹性能，解决了传统锦纶弹性面料需要包含氨纶的问题，实现单一材质弹性应用。后续将持续聚焦高附加值方向，提升差异化产品销量占比与盈利贡献。感谢您对公司的关注与支持！</w:t>
            </w:r>
            <w:r>
              <w:rPr>
                <w:rFonts w:ascii="宋体" w:hAnsi="宋体" w:eastAsia="宋体" w:cs="宋体"/>
                <w:b w:val="0"/>
                <w:sz w:val="20"/>
              </w:rPr>
              <w:br w:type="textWrapping"/>
            </w:r>
            <w:r>
              <w:rPr>
                <w:rFonts w:ascii="宋体" w:hAnsi="宋体" w:eastAsia="宋体" w:cs="宋体"/>
                <w:b/>
                <w:sz w:val="20"/>
              </w:rPr>
              <w:t xml:space="preserve">    4.中卫项目还有希望落地吗</w:t>
            </w:r>
            <w:r>
              <w:rPr>
                <w:rFonts w:ascii="宋体" w:hAnsi="宋体" w:eastAsia="宋体" w:cs="宋体"/>
                <w:b/>
                <w:sz w:val="20"/>
              </w:rPr>
              <w:br w:type="textWrapping"/>
            </w:r>
            <w:r>
              <w:rPr>
                <w:rFonts w:ascii="宋体" w:hAnsi="宋体" w:eastAsia="宋体" w:cs="宋体"/>
                <w:b w:val="0"/>
                <w:sz w:val="20"/>
              </w:rPr>
              <w:t xml:space="preserve">    答:尊敬的投资者，您好！公司重大投资及项目情况均以上海证券交易所网站及指定信息披露媒体刊载的公告为准。截至本回复日，公司未披露过“中卫项目”相关事项。公司当前重点推进的项目为年产8万吨高性能帘子布一期项目、年产8万吨涤纶高模低缩工业丝项目等，相关建设进展已在《2026年半年度报告》披露，敬请查阅。如后续发生应披露的重大投资事项，公司将严格按照规则履行审议程序并及时披露。感谢您对公司的关注与支持！</w:t>
            </w:r>
            <w:r>
              <w:rPr>
                <w:rFonts w:ascii="宋体" w:hAnsi="宋体" w:eastAsia="宋体" w:cs="宋体"/>
                <w:b w:val="0"/>
                <w:sz w:val="20"/>
              </w:rPr>
              <w:br w:type="textWrapping"/>
            </w:r>
            <w:r>
              <w:rPr>
                <w:rFonts w:ascii="宋体" w:hAnsi="宋体" w:eastAsia="宋体" w:cs="宋体"/>
                <w:b/>
                <w:sz w:val="20"/>
              </w:rPr>
              <w:t xml:space="preserve">    5.半年报净利润同比降了快18%，主要是什么原因？二季度比一季度好了不少，这种好转后面能保持住吗？</w:t>
            </w:r>
            <w:r>
              <w:rPr>
                <w:rFonts w:ascii="宋体" w:hAnsi="宋体" w:eastAsia="宋体" w:cs="宋体"/>
                <w:b/>
                <w:sz w:val="20"/>
              </w:rPr>
              <w:br w:type="textWrapping"/>
            </w:r>
            <w:r>
              <w:rPr>
                <w:rFonts w:ascii="宋体" w:hAnsi="宋体" w:eastAsia="宋体" w:cs="宋体"/>
                <w:b w:val="0"/>
                <w:sz w:val="20"/>
              </w:rPr>
              <w:t xml:space="preserve">    答:尊敬的投资者，您好！报告期内，受切片行业产能集中释放、市场供需结构失衡及下游终端需求走弱等多重外部因素叠加影响，行业竞争加剧、整体开工率下滑，切片销量同比下降，以及受汇率波动影响汇兑损失增加，致公司经营呈现阶段性承压、业绩同比有所下降，本期营业收入、利润总额、归属于上市公司股东的净利润、归属于上市公司股东的扣除非经常性损益的净利润分别较上年同期下降5.79%、21.06%、17.99%、19.86%，整体业绩变动贴合行业整体运行态势。分季度看，二季度归母净利润4901万元，较一季度增长逾两倍，经营质效稳步改善；后续公司将持续通过差异化产品结构与产业链一体化应对行业波动。感谢您对公司的关注与支持！</w:t>
            </w:r>
            <w:r>
              <w:rPr>
                <w:rFonts w:ascii="宋体" w:hAnsi="宋体" w:eastAsia="宋体" w:cs="宋体"/>
                <w:b w:val="0"/>
                <w:sz w:val="20"/>
              </w:rPr>
              <w:br w:type="textWrapping"/>
            </w:r>
            <w:r>
              <w:rPr>
                <w:rFonts w:ascii="宋体" w:hAnsi="宋体" w:eastAsia="宋体" w:cs="宋体"/>
                <w:b/>
                <w:sz w:val="20"/>
              </w:rPr>
              <w:t xml:space="preserve">    6.公司一直在讲研发成果转化，今年在研发和新品上有哪些实际进展？弹性切片这些产品什么时候能量产、贡献利润？</w:t>
            </w:r>
            <w:r>
              <w:rPr>
                <w:rFonts w:ascii="宋体" w:hAnsi="宋体" w:eastAsia="宋体" w:cs="宋体"/>
                <w:b/>
                <w:sz w:val="20"/>
              </w:rPr>
              <w:br w:type="textWrapping"/>
            </w:r>
            <w:r>
              <w:rPr>
                <w:rFonts w:ascii="宋体" w:hAnsi="宋体" w:eastAsia="宋体" w:cs="宋体"/>
                <w:b w:val="0"/>
                <w:sz w:val="20"/>
              </w:rPr>
              <w:t xml:space="preserve">    答:尊敬的投资者，您好！报告期内，公司研发方面聚焦弹性切片、超支化切片、透明尼龙、抗静电尼龙及高流动切片等核心技术攻关，持续推进与高校及龙头企业在改性助剂、透明尼龙等课题上的产学研合作，技术储备不断增强，其中弹性切片已取得关键性技术突破。海阳科技—四川大学聚酰胺研发中心揭牌仪式在四川大学望江校区成功举行；公司研发的“黑色锦纶6帘子布”“超高强锦纶6高性能工业丝”及子公司海阳锦纶研发的“滚塑专用新型弹性尼龙6切片”“一种用间苯二甲胺作为封端基的高端氨基尼龙6切片”共四个产品入选江苏省2026年度新技术新产品认定清单。后续公司将积极推进研发产品从小试、中试阶段迈向量产阶段，尽快形成新的销售增长点。感谢您对公司的关注与支持！</w:t>
            </w:r>
            <w:r>
              <w:rPr>
                <w:rFonts w:ascii="宋体" w:hAnsi="宋体" w:eastAsia="宋体" w:cs="宋体"/>
                <w:b w:val="0"/>
                <w:sz w:val="20"/>
              </w:rPr>
              <w:br w:type="textWrapping"/>
            </w:r>
            <w:r>
              <w:rPr>
                <w:rFonts w:ascii="宋体" w:hAnsi="宋体" w:eastAsia="宋体" w:cs="宋体"/>
                <w:b/>
                <w:sz w:val="20"/>
              </w:rPr>
              <w:t xml:space="preserve">    7.上半年公司帘子布的销售情况怎么样？</w:t>
            </w:r>
            <w:r>
              <w:rPr>
                <w:rFonts w:ascii="宋体" w:hAnsi="宋体" w:eastAsia="宋体" w:cs="宋体"/>
                <w:b/>
                <w:sz w:val="20"/>
              </w:rPr>
              <w:br w:type="textWrapping"/>
            </w:r>
            <w:r>
              <w:rPr>
                <w:rFonts w:ascii="宋体" w:hAnsi="宋体" w:eastAsia="宋体" w:cs="宋体"/>
                <w:b w:val="0"/>
                <w:sz w:val="20"/>
              </w:rPr>
              <w:t xml:space="preserve">    答:尊敬的投资者，您好！上半年，帘子布产品顶住行业价格内卷压力，总销量保持平稳增长，共销售5.43万吨，实现营业收入8.85亿元。依托公司品牌优势、经营理念及稳定的供货能力，与国内头部轮胎企业合作关系稳定，同时国际一线品牌轮胎制造商的市场开发取得实质性进展，部分客户已进入批量供应或规格确认阶段。感谢您对公司的关注与支持！</w:t>
            </w:r>
            <w:r>
              <w:rPr>
                <w:rFonts w:ascii="宋体" w:hAnsi="宋体" w:eastAsia="宋体" w:cs="宋体"/>
                <w:b w:val="0"/>
                <w:sz w:val="20"/>
              </w:rPr>
              <w:br w:type="textWrapping"/>
            </w:r>
            <w:r>
              <w:rPr>
                <w:rFonts w:ascii="宋体" w:hAnsi="宋体" w:eastAsia="宋体" w:cs="宋体"/>
                <w:b/>
                <w:sz w:val="20"/>
              </w:rPr>
              <w:t xml:space="preserve">    8.8万吨涤纶工业丝项目现在建到什么程度了？大概什么时候能全部投产？投产后能帮公司省下多少成本？</w:t>
            </w:r>
            <w:r>
              <w:rPr>
                <w:rFonts w:ascii="宋体" w:hAnsi="宋体" w:eastAsia="宋体" w:cs="宋体"/>
                <w:b/>
                <w:sz w:val="20"/>
              </w:rPr>
              <w:br w:type="textWrapping"/>
            </w:r>
            <w:r>
              <w:rPr>
                <w:rFonts w:ascii="宋体" w:hAnsi="宋体" w:eastAsia="宋体" w:cs="宋体"/>
                <w:b w:val="0"/>
                <w:sz w:val="20"/>
              </w:rPr>
              <w:t xml:space="preserve">    答:尊敬的投资者，您好！该项目由公司控股子公司海阳锦纶实施，由原“年产10万吨改性高分子新材料项目一期”变更而来，总投资54,839.00万元、拟使用募集资金20,067.22万元，改性材料业务转由子公司华恒新材以自有资金承接。截至报告期末，该项目尚未正式投产、未产生效益；目前项目正按计划推进，增粘车间已开车生产，纺丝车间正在分期安装开车投产之中，整体工程预计2027年一季度全部建成。项目达产后将保障原料稳定供应、降低外购依赖，构建从涤纶纺丝到浸胶的完整涤纶帘子布生产链，实现上游原料基本自给，依托一体化降本提升盈利能力，同时质量稳定性的提升也更有利于公司进入国际一线轮胎品牌企业核心供应链体系、满足全流程可追溯要求，具体效益公司将按相关规定及时披露。感谢您对公司的关注与支持！</w:t>
            </w:r>
            <w:r>
              <w:rPr>
                <w:rFonts w:ascii="宋体" w:hAnsi="宋体" w:eastAsia="宋体" w:cs="宋体"/>
                <w:b w:val="0"/>
                <w:sz w:val="20"/>
              </w:rPr>
              <w:br w:type="textWrapping"/>
            </w:r>
            <w:r>
              <w:rPr>
                <w:rFonts w:ascii="宋体" w:hAnsi="宋体" w:eastAsia="宋体" w:cs="宋体"/>
                <w:b/>
                <w:sz w:val="20"/>
              </w:rPr>
              <w:t xml:space="preserve">    9.这次展会推出的莱娜无氨弹纤维，和传统氨纶面料相比优势在哪？主要面向什么客户，公司对这个新品的预期是怎样的？</w:t>
            </w:r>
            <w:r>
              <w:rPr>
                <w:rFonts w:ascii="宋体" w:hAnsi="宋体" w:eastAsia="宋体" w:cs="宋体"/>
                <w:b/>
                <w:sz w:val="20"/>
              </w:rPr>
              <w:br w:type="textWrapping"/>
            </w:r>
            <w:r>
              <w:rPr>
                <w:rFonts w:ascii="宋体" w:hAnsi="宋体" w:eastAsia="宋体" w:cs="宋体"/>
                <w:b w:val="0"/>
                <w:sz w:val="20"/>
              </w:rPr>
              <w:t xml:space="preserve">    答:尊敬的投资者，您好！NexNyl-莱娜是公司今年重点塑造的新品牌，NexNyl意为“下一代尼龙”。核心新品为锦纶6无氨弹纤维，采用与高校联合研发的原位聚合弹性PA6切片，通过并列复合纺丝工艺制成，在保留锦纶原有强度、耐磨性的基础上实现稳定的原生拉伸回弹性能，解决了传统锦纶弹性面料需要包含氨纶的问题，实现单一材质弹性应用，且材料可回收。该产品是公司经过多年研发、与上下游共同合作开发成功的，是弹性尼龙领域的一次重要突破。与常规氨纶路线相比，其差异化在于减少氨纶使用、材料可回收，绿色属性与穿着舒适性较为突出，目标客户为国内外知名高端服装品牌及面料供应商。感谢您对公司的关注与支持！</w:t>
            </w:r>
            <w:r>
              <w:rPr>
                <w:rFonts w:ascii="宋体" w:hAnsi="宋体" w:eastAsia="宋体" w:cs="宋体"/>
                <w:b w:val="0"/>
                <w:sz w:val="20"/>
              </w:rPr>
              <w:br w:type="textWrapping"/>
            </w:r>
            <w:r>
              <w:rPr>
                <w:rFonts w:ascii="宋体" w:hAnsi="宋体" w:eastAsia="宋体" w:cs="宋体"/>
                <w:b/>
                <w:sz w:val="20"/>
              </w:rPr>
              <w:t xml:space="preserve">    10.上半年公司经营现金流2.94亿，翻了一倍多，但利润是降的。为什么现金流和利润差这么多？这种情况能持续吗？</w:t>
            </w:r>
            <w:r>
              <w:rPr>
                <w:rFonts w:ascii="宋体" w:hAnsi="宋体" w:eastAsia="宋体" w:cs="宋体"/>
                <w:b/>
                <w:sz w:val="20"/>
              </w:rPr>
              <w:br w:type="textWrapping"/>
            </w:r>
            <w:r>
              <w:rPr>
                <w:rFonts w:ascii="宋体" w:hAnsi="宋体" w:eastAsia="宋体" w:cs="宋体"/>
                <w:b w:val="0"/>
                <w:sz w:val="20"/>
              </w:rPr>
              <w:t xml:space="preserve">    答:尊敬的投资者，您好！2026年上半年公司经营活动产生的现金流量净额2.94亿元、同比增长107.14%，归属于上市公司股东的净利润为6</w:t>
            </w:r>
            <w:r>
              <w:rPr>
                <w:rFonts w:hint="eastAsia" w:ascii="宋体" w:hAnsi="宋体" w:eastAsia="宋体" w:cs="宋体"/>
                <w:b w:val="0"/>
                <w:sz w:val="20"/>
                <w:lang w:val="en-US" w:eastAsia="zh-CN"/>
              </w:rPr>
              <w:t>,</w:t>
            </w:r>
            <w:r>
              <w:rPr>
                <w:rFonts w:ascii="宋体" w:hAnsi="宋体" w:eastAsia="宋体" w:cs="宋体"/>
                <w:b w:val="0"/>
                <w:sz w:val="20"/>
              </w:rPr>
              <w:t>466.36万元、同比下降17.99%，</w:t>
            </w:r>
            <w:bookmarkStart w:id="0" w:name="_GoBack"/>
            <w:bookmarkEnd w:id="0"/>
            <w:r>
              <w:rPr>
                <w:rFonts w:ascii="宋体" w:hAnsi="宋体" w:eastAsia="宋体" w:cs="宋体"/>
                <w:b w:val="0"/>
                <w:sz w:val="20"/>
              </w:rPr>
              <w:t>主要系报告期末销售回款增加及大额存单到期补充了货币资金所致。后续公司将继续优化客户信用管控体系，规范审批与回款管理，确保应收账款质量稳定，同时优化采购付款节奏、提高票据结算与远期合约比例，控制存货周转天数，并统筹项目建设与日常经营资金安排，维持合理资产负债结构。感谢您对公司的关注与支持！</w:t>
            </w:r>
            <w:r>
              <w:rPr>
                <w:rFonts w:ascii="宋体" w:hAnsi="宋体" w:eastAsia="宋体" w:cs="宋体"/>
                <w:b w:val="0"/>
                <w:sz w:val="20"/>
              </w:rPr>
              <w:br w:type="textWrapping"/>
            </w:r>
            <w:r>
              <w:rPr>
                <w:rFonts w:ascii="宋体" w:hAnsi="宋体" w:eastAsia="宋体" w:cs="宋体"/>
                <w:b/>
                <w:sz w:val="20"/>
              </w:rPr>
              <w:t xml:space="preserve">    11.半年报说国际一线品牌轮胎客户的开发有进展，部分已经在批量供应或确认规格了。请问这些客户大概什么时候能上量，对公司收入和利润能有多大帮助？</w:t>
            </w:r>
            <w:r>
              <w:rPr>
                <w:rFonts w:ascii="宋体" w:hAnsi="宋体" w:eastAsia="宋体" w:cs="宋体"/>
                <w:b/>
                <w:sz w:val="20"/>
              </w:rPr>
              <w:br w:type="textWrapping"/>
            </w:r>
            <w:r>
              <w:rPr>
                <w:rFonts w:ascii="宋体" w:hAnsi="宋体" w:eastAsia="宋体" w:cs="宋体"/>
                <w:b w:val="0"/>
                <w:sz w:val="20"/>
              </w:rPr>
              <w:t xml:space="preserve">    答:尊敬的投资者，您好！报告期内，帘子布产品顶住行业价格内卷压力，总销量保持平稳增长，依托公司品牌优势、经营理念及稳定的供货能力，与国内头部轮胎企业合作关系稳定，同时国际一线品牌轮胎制造商的市场开发取得实质性进展，部分客户已进入批量供应或规格确认阶段。据中国橡胶工业协会骨架材料专业委员会统计，2025年公司涤纶帘子布国内市场占有率已提升至9.73%。后续公司将以消化新增产能、实现满产满销为目标，加快国际一线品牌市场开发，扩大高端客户群，并依托年产8万吨涤纶高模低缩工业丝项目与年产8万吨高性能锦纶帘子布一期项目的配套投产，构建从涤纶纺丝到浸胶的完整涤纶帘子布生产链，提升盈利能力与质量稳定性。感谢您对公司的关注与支持！</w:t>
            </w:r>
            <w:r>
              <w:rPr>
                <w:rFonts w:ascii="宋体" w:hAnsi="宋体" w:eastAsia="宋体" w:cs="宋体"/>
                <w:b w:val="0"/>
                <w:sz w:val="20"/>
              </w:rPr>
              <w:br w:type="textWrapping"/>
            </w:r>
            <w:r>
              <w:rPr>
                <w:rFonts w:ascii="宋体" w:hAnsi="宋体" w:eastAsia="宋体" w:cs="宋体"/>
                <w:b/>
                <w:sz w:val="20"/>
              </w:rPr>
              <w:t xml:space="preserve">    12.完整产业链协同带来的成本优势能否量化？</w:t>
            </w:r>
            <w:r>
              <w:rPr>
                <w:rFonts w:ascii="宋体" w:hAnsi="宋体" w:eastAsia="宋体" w:cs="宋体"/>
                <w:b/>
                <w:sz w:val="20"/>
              </w:rPr>
              <w:br w:type="textWrapping"/>
            </w:r>
            <w:r>
              <w:rPr>
                <w:rFonts w:ascii="宋体" w:hAnsi="宋体" w:eastAsia="宋体" w:cs="宋体"/>
                <w:b w:val="0"/>
                <w:sz w:val="20"/>
              </w:rPr>
              <w:t xml:space="preserve">    答:尊敬的投资者，您好！公司目前形成了集尼龙6切片、尼龙6丝线、尼龙6帘子布于一体的尼龙6产业链，协同效益明显，有效降低生产及管理成本，但公司未单独测算并披露产业链协同带来的具体成本节约金额，暂无法量化。截至报告期末，年产8万吨涤纶高模低缩工业丝项目随着项目建设的推进，涤纶帘子布主要原材料的自主配套供应正加快形成，产业链协同效应持续增强。感谢您对公司的关注与支持！</w:t>
            </w:r>
            <w:r>
              <w:rPr>
                <w:rFonts w:ascii="宋体" w:hAnsi="宋体" w:eastAsia="宋体" w:cs="宋体"/>
                <w:b w:val="0"/>
                <w:sz w:val="20"/>
              </w:rPr>
              <w:br w:type="textWrapping"/>
            </w:r>
            <w:r>
              <w:rPr>
                <w:rFonts w:ascii="宋体" w:hAnsi="宋体" w:eastAsia="宋体" w:cs="宋体"/>
                <w:b/>
                <w:sz w:val="20"/>
              </w:rPr>
              <w:t xml:space="preserve">    13.公司把原来的改性材料项目改成了8万吨涤纶工业丝，为什么这么改？</w:t>
            </w:r>
            <w:r>
              <w:rPr>
                <w:rFonts w:ascii="宋体" w:hAnsi="宋体" w:eastAsia="宋体" w:cs="宋体"/>
                <w:b/>
                <w:sz w:val="20"/>
              </w:rPr>
              <w:br w:type="textWrapping"/>
            </w:r>
            <w:r>
              <w:rPr>
                <w:rFonts w:ascii="宋体" w:hAnsi="宋体" w:eastAsia="宋体" w:cs="宋体"/>
                <w:b w:val="0"/>
                <w:sz w:val="20"/>
              </w:rPr>
              <w:t xml:space="preserve">    答:尊敬的投资者，您好！公司将原“年产10万吨改性高分子新材料项目一期”变更为“年产8万吨涤纶高模低缩工业丝项目”，主要为打通涤纶帘子布上游核心原料环节、构建完整生产链。变更后总投资54,839.00万元、拟使用募集资金20,067.22万元，实施主体为公司控股子公司海阳锦纶，改性材料业务转由子公司华恒新材以自有资金承接实施。所产工业丝将全部用于满足公司自身涤纶帘子布业务对高模低缩涤纶工业丝的需求，达产后高模低缩工业丝基本实现自给，一体化降本将提升涤纶帘子布盈利能力，具体效益公司将按相关规定及时披露。感谢您对公司的关注与支持！</w:t>
            </w:r>
            <w:r>
              <w:rPr>
                <w:rFonts w:ascii="宋体" w:hAnsi="宋体" w:eastAsia="宋体" w:cs="宋体"/>
                <w:b w:val="0"/>
                <w:sz w:val="20"/>
              </w:rPr>
              <w:br w:type="textWrapping"/>
            </w:r>
            <w:r>
              <w:rPr>
                <w:rFonts w:ascii="宋体" w:hAnsi="宋体" w:eastAsia="宋体" w:cs="宋体"/>
                <w:b/>
                <w:sz w:val="20"/>
              </w:rPr>
              <w:t xml:space="preserve">    14.公司2025年全年分红占净利润的比例接近47%，请问未来分红政策会怎么定，会不会因为扩产而降低分红？</w:t>
            </w:r>
            <w:r>
              <w:rPr>
                <w:rFonts w:ascii="宋体" w:hAnsi="宋体" w:eastAsia="宋体" w:cs="宋体"/>
                <w:b/>
                <w:sz w:val="20"/>
              </w:rPr>
              <w:br w:type="textWrapping"/>
            </w:r>
            <w:r>
              <w:rPr>
                <w:rFonts w:ascii="宋体" w:hAnsi="宋体" w:eastAsia="宋体" w:cs="宋体"/>
                <w:b w:val="0"/>
                <w:sz w:val="20"/>
              </w:rPr>
              <w:t xml:space="preserve">    答:尊敬的投资者，您好！公司在《首次公开发行股票并在主板上市后三年股东分红回报规划》中已明确将持续采取积极的现金及股票股利分配政策。2026年半年度公司拟不进行利润分配，即不派发现金红利、不送红股、不以公积金转增股本。2025年度利润分配已实施，以总股本181,251,368股为基数，每10股派发现金股利1.00元，含税，合计派发18,125,136.80元，叠加2025年半年度现金分红，全年合计派发现金红利54,375,410.40元，占2025年度归属于上市公司股东的净利润的47.34%。后续公司将统筹好重大项目投入与股东回报的关系，注重分红政策的连续性和稳定性。感谢您对公司的关注与支持！</w:t>
            </w:r>
            <w:r>
              <w:rPr>
                <w:rFonts w:ascii="宋体" w:hAnsi="宋体" w:eastAsia="宋体" w:cs="宋体"/>
                <w:b w:val="0"/>
                <w:sz w:val="20"/>
              </w:rPr>
              <w:br w:type="textWrapping"/>
            </w:r>
            <w:r>
              <w:rPr>
                <w:rFonts w:ascii="宋体" w:hAnsi="宋体" w:eastAsia="宋体" w:cs="宋体"/>
                <w:b/>
                <w:sz w:val="20"/>
              </w:rPr>
              <w:t xml:space="preserve">    15.今年参展公司重点推莱娜，跟去年主要展示公司介绍不太一样。这是不是公司在品牌上有了新打算？这个新品公司打算怎么推大？</w:t>
            </w:r>
            <w:r>
              <w:rPr>
                <w:rFonts w:ascii="宋体" w:hAnsi="宋体" w:eastAsia="宋体" w:cs="宋体"/>
                <w:b/>
                <w:sz w:val="20"/>
              </w:rPr>
              <w:br w:type="textWrapping"/>
            </w:r>
            <w:r>
              <w:rPr>
                <w:rFonts w:ascii="宋体" w:hAnsi="宋体" w:eastAsia="宋体" w:cs="宋体"/>
                <w:b w:val="0"/>
                <w:sz w:val="20"/>
              </w:rPr>
              <w:t xml:space="preserve">    答:尊敬的投资者，您好！公司今年参展更注重塑造莱娜这一新品牌，NexNyl意为下一代尼龙，不同于去年以公司介绍为主的陈列，今年将新品所属品牌系列以大面积陈列，并突出“链启新纤，聚合未来”的主题。公司去年参展重在打开知名度，今年则转向打造差异化新品品牌，这与公司切片业务“高水平、差异化”的定位以及产业链一体化方向一致，是公司从产品经营向品牌建设延伸的体现。感谢您对公司的关注与支持！</w:t>
            </w:r>
            <w:r>
              <w:rPr>
                <w:rFonts w:ascii="宋体" w:hAnsi="宋体" w:eastAsia="宋体" w:cs="宋体"/>
                <w:b w:val="0"/>
                <w:sz w:val="20"/>
              </w:rPr>
              <w:br w:type="textWrapping"/>
            </w:r>
            <w:r>
              <w:rPr>
                <w:rFonts w:ascii="宋体" w:hAnsi="宋体" w:eastAsia="宋体" w:cs="宋体"/>
                <w:b/>
                <w:sz w:val="20"/>
              </w:rPr>
              <w:t xml:space="preserve">    16.莱娜目前处在什么阶段？有没有已经在谈的品牌客户？产能上是怎么安排的，会不会挤占现有产线？</w:t>
            </w:r>
            <w:r>
              <w:rPr>
                <w:rFonts w:ascii="宋体" w:hAnsi="宋体" w:eastAsia="宋体" w:cs="宋体"/>
                <w:b/>
                <w:sz w:val="20"/>
              </w:rPr>
              <w:br w:type="textWrapping"/>
            </w:r>
            <w:r>
              <w:rPr>
                <w:rFonts w:ascii="宋体" w:hAnsi="宋体" w:eastAsia="宋体" w:cs="宋体"/>
                <w:b w:val="0"/>
                <w:sz w:val="20"/>
              </w:rPr>
              <w:t xml:space="preserve">    答:尊敬的投资者，您好！该新品目前处于小批量试产阶段，已接触国内外知名高端服装品牌及面料供应商，公司将优先满足高端品牌需求，通过下游面料商和品牌商的联合宣传打开知名度，并在品质定型与商务运作方面会同优秀合作商共同把产品推广好。从技术与产能基础看，公司在弹性尼龙切片、弹性纺丝工艺方面已形成关键技术储备，弹性切片已取得关键性技术突破，莱娜将依托现有聚合与纺丝产能进行柔性切换，后续将结合弹性切片产能扩张统筹安排产能与推广节奏，为锦纶行业发展提供新路径，对切片、丝线业务有望形成新的增长点。感谢您对公司的关注与支持！</w:t>
            </w:r>
          </w:p>
        </w:tc>
      </w:tr>
      <w:tr w14:paraId="1B1CD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510" w:type="dxa"/>
            <w:vAlign w:val="center"/>
          </w:tcPr>
          <w:p w14:paraId="11E52C95">
            <w:pPr>
              <w:pStyle w:val="12"/>
              <w:spacing w:before="1"/>
              <w:ind w:left="107"/>
              <w:rPr>
                <w:rFonts w:hint="eastAsia"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关于本次活动是否涉及应</w:t>
            </w:r>
          </w:p>
          <w:p w14:paraId="18854090">
            <w:pPr>
              <w:pStyle w:val="12"/>
              <w:spacing w:before="1"/>
              <w:ind w:left="107"/>
              <w:rPr>
                <w:rFonts w:ascii="宋体" w:hAnsi="宋体" w:eastAsia="宋体" w:cs="宋体"/>
                <w:b/>
                <w:bCs/>
                <w:sz w:val="20"/>
                <w:szCs w:val="20"/>
              </w:rPr>
            </w:pPr>
            <w:r>
              <w:rPr>
                <w:rFonts w:hint="eastAsia" w:cs="宋体" w:asciiTheme="minorEastAsia" w:hAnsiTheme="minorEastAsia" w:eastAsiaTheme="minorEastAsia"/>
                <w:b/>
                <w:bCs/>
                <w:sz w:val="20"/>
                <w:szCs w:val="20"/>
              </w:rPr>
              <w:t>披露重大信息的说明</w:t>
            </w:r>
          </w:p>
        </w:tc>
        <w:tc>
          <w:tcPr>
            <w:tcW w:w="5945" w:type="dxa"/>
            <w:vAlign w:val="center"/>
          </w:tcPr>
          <w:p w14:paraId="7C7B1EB5">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rPr>
            </w:pPr>
            <w:r>
              <w:rPr>
                <w:rFonts w:hint="eastAsia" w:cs="宋体" w:asciiTheme="minorEastAsia" w:hAnsiTheme="minorEastAsia" w:eastAsiaTheme="minorEastAsia"/>
                <w:sz w:val="20"/>
                <w:szCs w:val="20"/>
              </w:rPr>
              <w:t>本次活动不涉及未公开披露的重大信息。</w:t>
            </w:r>
          </w:p>
        </w:tc>
      </w:tr>
      <w:tr w14:paraId="27CAA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10" w:type="dxa"/>
            <w:vAlign w:val="center"/>
          </w:tcPr>
          <w:p w14:paraId="55C70E3F">
            <w:pPr>
              <w:pStyle w:val="12"/>
              <w:spacing w:before="1"/>
              <w:ind w:left="107" w:leftChars="0"/>
              <w:rPr>
                <w:rFonts w:ascii="宋体" w:hAnsi="宋体" w:eastAsia="宋体" w:cs="宋体"/>
                <w:b/>
                <w:bCs/>
                <w:sz w:val="20"/>
                <w:szCs w:val="20"/>
                <w:lang w:val="zh-CN" w:eastAsia="zh-CN" w:bidi="zh-CN"/>
              </w:rPr>
            </w:pPr>
            <w:r>
              <w:rPr>
                <w:rFonts w:hint="eastAsia" w:ascii="宋体" w:hAnsi="宋体" w:eastAsia="宋体" w:cs="宋体"/>
                <w:b/>
                <w:bCs/>
                <w:sz w:val="20"/>
                <w:szCs w:val="20"/>
              </w:rPr>
              <w:t>附件清单（如有）</w:t>
            </w:r>
          </w:p>
        </w:tc>
        <w:tc>
          <w:tcPr>
            <w:tcW w:w="5945" w:type="dxa"/>
            <w:vAlign w:val="center"/>
          </w:tcPr>
          <w:p w14:paraId="7040DC51">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宋体" w:hAnsi="宋体" w:eastAsia="宋体" w:cs="宋体"/>
                <w:sz w:val="20"/>
                <w:szCs w:val="20"/>
                <w:lang w:val="en-US" w:eastAsia="zh-CN" w:bidi="zh-CN"/>
              </w:rPr>
            </w:pPr>
            <w:r>
              <w:rPr>
                <w:rFonts w:hint="eastAsia" w:ascii="宋体" w:hAnsi="宋体" w:eastAsia="宋体" w:cs="宋体"/>
                <w:sz w:val="20"/>
                <w:szCs w:val="20"/>
                <w:lang w:val="en-US" w:eastAsia="zh-CN" w:bidi="zh-CN"/>
              </w:rPr>
              <w:t>无</w:t>
            </w:r>
          </w:p>
        </w:tc>
      </w:tr>
      <w:tr w14:paraId="59633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10" w:type="dxa"/>
            <w:vAlign w:val="center"/>
          </w:tcPr>
          <w:p w14:paraId="36333E18">
            <w:pPr>
              <w:pStyle w:val="12"/>
              <w:spacing w:before="1"/>
              <w:ind w:left="107" w:leftChars="0"/>
              <w:rPr>
                <w:rFonts w:hint="eastAsia" w:ascii="宋体" w:hAnsi="宋体" w:eastAsia="宋体" w:cs="宋体"/>
                <w:b/>
                <w:bCs/>
                <w:sz w:val="20"/>
                <w:szCs w:val="20"/>
                <w:lang w:val="zh-CN" w:eastAsia="zh-CN" w:bidi="zh-CN"/>
              </w:rPr>
            </w:pPr>
            <w:r>
              <w:rPr>
                <w:rFonts w:hint="eastAsia" w:ascii="宋体" w:hAnsi="宋体" w:eastAsia="宋体" w:cs="宋体"/>
                <w:b/>
                <w:bCs/>
                <w:sz w:val="20"/>
                <w:szCs w:val="20"/>
              </w:rPr>
              <w:t>日期</w:t>
            </w:r>
          </w:p>
        </w:tc>
        <w:tc>
          <w:tcPr>
            <w:tcW w:w="5945" w:type="dxa"/>
            <w:vAlign w:val="center"/>
          </w:tcPr>
          <w:p w14:paraId="18DE8D63">
            <w:pPr>
              <w:pStyle w:val="12"/>
              <w:keepNext w:val="0"/>
              <w:keepLines w:val="0"/>
              <w:pageBreakBefore w:val="0"/>
              <w:widowControl w:val="0"/>
              <w:kinsoku/>
              <w:wordWrap/>
              <w:overflowPunct/>
              <w:topLinePunct w:val="0"/>
              <w:autoSpaceDE w:val="0"/>
              <w:autoSpaceDN w:val="0"/>
              <w:bidi w:val="0"/>
              <w:adjustRightInd/>
              <w:snapToGrid/>
              <w:spacing w:before="100" w:beforeAutospacing="1"/>
              <w:textAlignment w:val="auto"/>
              <w:rPr>
                <w:rFonts w:ascii="宋体" w:hAnsi="宋体" w:eastAsia="宋体" w:cs="宋体"/>
                <w:sz w:val="20"/>
                <w:szCs w:val="20"/>
                <w:lang w:val="zh-CN" w:eastAsia="zh-CN" w:bidi="zh-CN"/>
              </w:rPr>
            </w:pPr>
            <w:r>
              <w:rPr>
                <w:rFonts w:ascii="宋体" w:hAnsi="宋体" w:eastAsia="宋体" w:cs="宋体"/>
                <w:sz w:val="20"/>
                <w:szCs w:val="20"/>
              </w:rPr>
              <w:t>2026年08月31日</w:t>
            </w:r>
          </w:p>
        </w:tc>
      </w:tr>
    </w:tbl>
    <w:p w14:paraId="7D532F64">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KSOFA61C387F">
    <w:panose1 w:val="020B0604030504040204"/>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AAD3C5C"/>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4F5A5ED5"/>
    <w:rsid w:val="510903EF"/>
    <w:rsid w:val="53F137F4"/>
    <w:rsid w:val="543A6906"/>
    <w:rsid w:val="56850CBB"/>
    <w:rsid w:val="59D8738A"/>
    <w:rsid w:val="5A666D76"/>
    <w:rsid w:val="5B2253C2"/>
    <w:rsid w:val="5CF02E0F"/>
    <w:rsid w:val="603269D2"/>
    <w:rsid w:val="61A52BCA"/>
    <w:rsid w:val="632A00FF"/>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Pages>7</Pages>
  <Words>5089</Words>
  <Characters>5364</Characters>
  <Lines>2</Lines>
  <Paragraphs>1</Paragraphs>
  <TotalTime>1</TotalTime>
  <ScaleCrop>false</ScaleCrop>
  <LinksUpToDate>false</LinksUpToDate>
  <CharactersWithSpaces>5553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沈月</cp:lastModifiedBy>
  <dcterms:modified xsi:type="dcterms:W3CDTF">2026-08-31T10:05:33Z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57D148DF2F764966BF4E1C38A6255FA2</vt:lpwstr>
  </property>
  <property fmtid="{D5CDD505-2E9C-101B-9397-08002B2CF9AE}" pid="4" name="KSOTemplateDocerSaveRecord">
    <vt:lpwstr>eyJoZGlkIjoiNTA2Zjg5ZThjODdkZDUxN2I5MDA1YTk2ZGNhNDU0ZWMiLCJ1c2VySWQiOiIzMTY5MDgxNyJ9</vt:lpwstr>
  </property>
</Properties>
</file>