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FCB70" w14:textId="77777777" w:rsidR="008E66CE" w:rsidRDefault="00D22203">
      <w:pPr>
        <w:spacing w:line="360" w:lineRule="auto"/>
        <w:rPr>
          <w:rFonts w:ascii="楷体" w:eastAsia="楷体" w:hAnsi="楷体"/>
          <w:sz w:val="24"/>
          <w:szCs w:val="24"/>
        </w:rPr>
      </w:pPr>
      <w:r>
        <w:rPr>
          <w:rFonts w:ascii="楷体" w:eastAsia="楷体" w:hAnsi="楷体" w:hint="eastAsia"/>
          <w:sz w:val="24"/>
          <w:szCs w:val="24"/>
        </w:rPr>
        <w:t>证券代码：</w:t>
      </w:r>
      <w:r>
        <w:rPr>
          <w:rFonts w:ascii="楷体" w:eastAsia="楷体" w:hAnsi="楷体" w:hint="eastAsia"/>
          <w:sz w:val="24"/>
          <w:szCs w:val="24"/>
        </w:rPr>
        <w:t>6</w:t>
      </w:r>
      <w:r>
        <w:rPr>
          <w:rFonts w:ascii="楷体" w:eastAsia="楷体" w:hAnsi="楷体"/>
          <w:sz w:val="24"/>
          <w:szCs w:val="24"/>
        </w:rPr>
        <w:t xml:space="preserve">88269                                   </w:t>
      </w:r>
      <w:r>
        <w:rPr>
          <w:rFonts w:ascii="楷体" w:eastAsia="楷体" w:hAnsi="楷体" w:hint="eastAsia"/>
          <w:sz w:val="24"/>
          <w:szCs w:val="24"/>
        </w:rPr>
        <w:t>证券简称：凯立新材</w:t>
      </w:r>
    </w:p>
    <w:p w14:paraId="1C0C73F6" w14:textId="77777777" w:rsidR="008E66CE" w:rsidRDefault="008E66CE">
      <w:pPr>
        <w:spacing w:line="360" w:lineRule="auto"/>
        <w:jc w:val="center"/>
        <w:rPr>
          <w:rFonts w:ascii="楷体" w:eastAsia="楷体" w:hAnsi="楷体" w:cs="宋体"/>
          <w:b/>
          <w:bCs/>
          <w:sz w:val="24"/>
          <w:szCs w:val="24"/>
        </w:rPr>
      </w:pPr>
    </w:p>
    <w:p w14:paraId="24C969E7" w14:textId="77777777" w:rsidR="008E66CE" w:rsidRDefault="00D22203">
      <w:pPr>
        <w:spacing w:line="360" w:lineRule="auto"/>
        <w:jc w:val="center"/>
        <w:rPr>
          <w:rFonts w:ascii="楷体" w:eastAsia="楷体" w:hAnsi="楷体" w:cs="宋体"/>
          <w:b/>
          <w:sz w:val="24"/>
          <w:szCs w:val="24"/>
        </w:rPr>
      </w:pPr>
      <w:r>
        <w:rPr>
          <w:rFonts w:ascii="楷体" w:eastAsia="楷体" w:hAnsi="楷体" w:cs="宋体" w:hint="eastAsia"/>
          <w:b/>
          <w:bCs/>
          <w:sz w:val="24"/>
          <w:szCs w:val="24"/>
        </w:rPr>
        <w:t>西安凯立新材料投资者关系活动记录表</w:t>
      </w:r>
    </w:p>
    <w:p w14:paraId="5DF08BF9" w14:textId="77777777" w:rsidR="008E66CE" w:rsidRDefault="008E66CE">
      <w:pPr>
        <w:spacing w:before="51" w:after="32" w:line="360" w:lineRule="auto"/>
        <w:ind w:right="1739"/>
        <w:jc w:val="right"/>
        <w:rPr>
          <w:rFonts w:ascii="楷体" w:eastAsia="楷体" w:hAnsi="楷体" w:cs="宋体"/>
          <w:sz w:val="21"/>
          <w:szCs w:val="21"/>
        </w:rPr>
      </w:pP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55"/>
        <w:gridCol w:w="1176"/>
        <w:gridCol w:w="3093"/>
        <w:gridCol w:w="1259"/>
        <w:gridCol w:w="3544"/>
      </w:tblGrid>
      <w:tr w:rsidR="008E66CE" w14:paraId="2D22DEFD" w14:textId="77777777">
        <w:trPr>
          <w:trHeight w:val="2801"/>
          <w:jc w:val="center"/>
        </w:trPr>
        <w:tc>
          <w:tcPr>
            <w:tcW w:w="1555" w:type="dxa"/>
            <w:vAlign w:val="center"/>
          </w:tcPr>
          <w:p w14:paraId="7C9C33AF" w14:textId="77777777" w:rsidR="008E66CE" w:rsidRDefault="00D22203">
            <w:pPr>
              <w:pStyle w:val="TableParagraph"/>
              <w:spacing w:before="1" w:line="360" w:lineRule="auto"/>
              <w:rPr>
                <w:rFonts w:ascii="楷体" w:eastAsia="楷体" w:hAnsi="楷体" w:cs="楷体"/>
                <w:sz w:val="21"/>
                <w:szCs w:val="21"/>
              </w:rPr>
            </w:pPr>
            <w:r>
              <w:rPr>
                <w:rFonts w:ascii="楷体" w:eastAsia="楷体" w:hAnsi="楷体" w:cs="楷体" w:hint="eastAsia"/>
                <w:sz w:val="21"/>
                <w:szCs w:val="21"/>
              </w:rPr>
              <w:t>投资者关系活动类别</w:t>
            </w:r>
          </w:p>
        </w:tc>
        <w:tc>
          <w:tcPr>
            <w:tcW w:w="9072" w:type="dxa"/>
            <w:gridSpan w:val="4"/>
            <w:vAlign w:val="center"/>
          </w:tcPr>
          <w:p w14:paraId="0F77AE0C" w14:textId="77777777" w:rsidR="008E66CE" w:rsidRDefault="008E66CE">
            <w:pPr>
              <w:pStyle w:val="TableParagraph"/>
              <w:spacing w:before="7" w:line="360" w:lineRule="auto"/>
              <w:rPr>
                <w:rFonts w:ascii="楷体" w:eastAsia="楷体" w:hAnsi="楷体" w:cs="楷体"/>
                <w:sz w:val="21"/>
                <w:szCs w:val="21"/>
              </w:rPr>
            </w:pPr>
          </w:p>
          <w:p w14:paraId="7D5CC45E" w14:textId="77777777" w:rsidR="008E66CE" w:rsidRDefault="00D22203">
            <w:pPr>
              <w:pStyle w:val="TableParagraph"/>
              <w:tabs>
                <w:tab w:val="left" w:pos="2418"/>
              </w:tabs>
              <w:spacing w:before="1" w:line="360" w:lineRule="auto"/>
              <w:ind w:left="107"/>
              <w:jc w:val="center"/>
              <w:rPr>
                <w:rFonts w:ascii="楷体" w:eastAsia="楷体" w:hAnsi="楷体" w:cs="楷体"/>
                <w:sz w:val="21"/>
                <w:szCs w:val="21"/>
              </w:rPr>
            </w:pPr>
            <w:r>
              <w:rPr>
                <w:rFonts w:ascii="楷体" w:eastAsia="楷体" w:hAnsi="楷体" w:cs="楷体" w:hint="eastAsia"/>
                <w:sz w:val="21"/>
                <w:szCs w:val="21"/>
              </w:rPr>
              <w:t>□特</w:t>
            </w:r>
            <w:r>
              <w:rPr>
                <w:rFonts w:ascii="楷体" w:eastAsia="楷体" w:hAnsi="楷体" w:cs="楷体" w:hint="eastAsia"/>
                <w:spacing w:val="-3"/>
                <w:sz w:val="21"/>
                <w:szCs w:val="21"/>
              </w:rPr>
              <w:t>定</w:t>
            </w:r>
            <w:r>
              <w:rPr>
                <w:rFonts w:ascii="楷体" w:eastAsia="楷体" w:hAnsi="楷体" w:cs="楷体" w:hint="eastAsia"/>
                <w:sz w:val="21"/>
                <w:szCs w:val="21"/>
              </w:rPr>
              <w:t>对</w:t>
            </w:r>
            <w:r>
              <w:rPr>
                <w:rFonts w:ascii="楷体" w:eastAsia="楷体" w:hAnsi="楷体" w:cs="楷体" w:hint="eastAsia"/>
                <w:spacing w:val="-3"/>
                <w:sz w:val="21"/>
                <w:szCs w:val="21"/>
              </w:rPr>
              <w:t>象</w:t>
            </w:r>
            <w:r>
              <w:rPr>
                <w:rFonts w:ascii="楷体" w:eastAsia="楷体" w:hAnsi="楷体" w:cs="楷体" w:hint="eastAsia"/>
                <w:sz w:val="21"/>
                <w:szCs w:val="21"/>
              </w:rPr>
              <w:t>调研</w:t>
            </w:r>
            <w:r>
              <w:rPr>
                <w:rFonts w:ascii="楷体" w:eastAsia="楷体" w:hAnsi="楷体" w:cs="楷体" w:hint="eastAsia"/>
                <w:sz w:val="21"/>
                <w:szCs w:val="21"/>
              </w:rPr>
              <w:tab/>
            </w:r>
            <w:r>
              <w:rPr>
                <w:rFonts w:ascii="楷体" w:eastAsia="楷体" w:hAnsi="楷体" w:cs="楷体" w:hint="eastAsia"/>
                <w:sz w:val="21"/>
                <w:szCs w:val="21"/>
              </w:rPr>
              <w:t>□分</w:t>
            </w:r>
            <w:r>
              <w:rPr>
                <w:rFonts w:ascii="楷体" w:eastAsia="楷体" w:hAnsi="楷体" w:cs="楷体" w:hint="eastAsia"/>
                <w:spacing w:val="-3"/>
                <w:sz w:val="21"/>
                <w:szCs w:val="21"/>
              </w:rPr>
              <w:t>析</w:t>
            </w:r>
            <w:r>
              <w:rPr>
                <w:rFonts w:ascii="楷体" w:eastAsia="楷体" w:hAnsi="楷体" w:cs="楷体" w:hint="eastAsia"/>
                <w:sz w:val="21"/>
                <w:szCs w:val="21"/>
              </w:rPr>
              <w:t>师</w:t>
            </w:r>
            <w:r>
              <w:rPr>
                <w:rFonts w:ascii="楷体" w:eastAsia="楷体" w:hAnsi="楷体" w:cs="楷体" w:hint="eastAsia"/>
                <w:spacing w:val="-3"/>
                <w:sz w:val="21"/>
                <w:szCs w:val="21"/>
              </w:rPr>
              <w:t>会</w:t>
            </w:r>
            <w:r>
              <w:rPr>
                <w:rFonts w:ascii="楷体" w:eastAsia="楷体" w:hAnsi="楷体" w:cs="楷体" w:hint="eastAsia"/>
                <w:sz w:val="21"/>
                <w:szCs w:val="21"/>
              </w:rPr>
              <w:t>议</w:t>
            </w:r>
          </w:p>
          <w:p w14:paraId="6AE64B53" w14:textId="77777777" w:rsidR="008E66CE" w:rsidRDefault="008E66CE">
            <w:pPr>
              <w:pStyle w:val="TableParagraph"/>
              <w:spacing w:before="11" w:line="360" w:lineRule="auto"/>
              <w:jc w:val="center"/>
              <w:rPr>
                <w:rFonts w:ascii="楷体" w:eastAsia="楷体" w:hAnsi="楷体" w:cs="楷体"/>
                <w:sz w:val="21"/>
                <w:szCs w:val="21"/>
              </w:rPr>
            </w:pPr>
          </w:p>
          <w:p w14:paraId="1FE48EB0" w14:textId="77777777" w:rsidR="008E66CE" w:rsidRDefault="00D22203">
            <w:pPr>
              <w:pStyle w:val="TableParagraph"/>
              <w:tabs>
                <w:tab w:val="left" w:pos="2418"/>
              </w:tabs>
              <w:spacing w:line="360" w:lineRule="auto"/>
              <w:ind w:left="107"/>
              <w:jc w:val="center"/>
              <w:rPr>
                <w:rFonts w:ascii="楷体" w:eastAsia="楷体" w:hAnsi="楷体" w:cs="楷体"/>
                <w:sz w:val="21"/>
                <w:szCs w:val="21"/>
              </w:rPr>
            </w:pPr>
            <w:r>
              <w:rPr>
                <w:rFonts w:ascii="楷体" w:eastAsia="楷体" w:hAnsi="楷体" w:cs="楷体" w:hint="eastAsia"/>
                <w:sz w:val="21"/>
                <w:szCs w:val="21"/>
              </w:rPr>
              <w:t>□媒</w:t>
            </w:r>
            <w:r>
              <w:rPr>
                <w:rFonts w:ascii="楷体" w:eastAsia="楷体" w:hAnsi="楷体" w:cs="楷体" w:hint="eastAsia"/>
                <w:spacing w:val="-3"/>
                <w:sz w:val="21"/>
                <w:szCs w:val="21"/>
              </w:rPr>
              <w:t>体</w:t>
            </w:r>
            <w:r>
              <w:rPr>
                <w:rFonts w:ascii="楷体" w:eastAsia="楷体" w:hAnsi="楷体" w:cs="楷体" w:hint="eastAsia"/>
                <w:sz w:val="21"/>
                <w:szCs w:val="21"/>
              </w:rPr>
              <w:t>采访</w:t>
            </w:r>
            <w:r>
              <w:rPr>
                <w:rFonts w:ascii="楷体" w:eastAsia="楷体" w:hAnsi="楷体" w:cs="楷体" w:hint="eastAsia"/>
                <w:sz w:val="21"/>
                <w:szCs w:val="21"/>
              </w:rPr>
              <w:tab/>
            </w:r>
            <w:r>
              <w:rPr>
                <w:rFonts w:ascii="楷体" w:eastAsia="楷体" w:hAnsi="楷体" w:cs="楷体" w:hint="eastAsia"/>
                <w:sz w:val="21"/>
                <w:szCs w:val="21"/>
              </w:rPr>
              <w:t>□业</w:t>
            </w:r>
            <w:r>
              <w:rPr>
                <w:rFonts w:ascii="楷体" w:eastAsia="楷体" w:hAnsi="楷体" w:cs="楷体" w:hint="eastAsia"/>
                <w:spacing w:val="-3"/>
                <w:sz w:val="21"/>
                <w:szCs w:val="21"/>
              </w:rPr>
              <w:t>绩</w:t>
            </w:r>
            <w:r>
              <w:rPr>
                <w:rFonts w:ascii="楷体" w:eastAsia="楷体" w:hAnsi="楷体" w:cs="楷体" w:hint="eastAsia"/>
                <w:sz w:val="21"/>
                <w:szCs w:val="21"/>
              </w:rPr>
              <w:t>说</w:t>
            </w:r>
            <w:r>
              <w:rPr>
                <w:rFonts w:ascii="楷体" w:eastAsia="楷体" w:hAnsi="楷体" w:cs="楷体" w:hint="eastAsia"/>
                <w:spacing w:val="-3"/>
                <w:sz w:val="21"/>
                <w:szCs w:val="21"/>
              </w:rPr>
              <w:t>明</w:t>
            </w:r>
            <w:r>
              <w:rPr>
                <w:rFonts w:ascii="楷体" w:eastAsia="楷体" w:hAnsi="楷体" w:cs="楷体" w:hint="eastAsia"/>
                <w:sz w:val="21"/>
                <w:szCs w:val="21"/>
              </w:rPr>
              <w:t>会</w:t>
            </w:r>
          </w:p>
          <w:p w14:paraId="1E42C032" w14:textId="77777777" w:rsidR="008E66CE" w:rsidRDefault="008E66CE">
            <w:pPr>
              <w:pStyle w:val="TableParagraph"/>
              <w:spacing w:before="8" w:line="360" w:lineRule="auto"/>
              <w:jc w:val="center"/>
              <w:rPr>
                <w:rFonts w:ascii="楷体" w:eastAsia="楷体" w:hAnsi="楷体" w:cs="楷体"/>
                <w:sz w:val="21"/>
                <w:szCs w:val="21"/>
              </w:rPr>
            </w:pPr>
          </w:p>
          <w:p w14:paraId="01D3F1DE" w14:textId="77777777" w:rsidR="008E66CE" w:rsidRDefault="00D22203">
            <w:pPr>
              <w:pStyle w:val="TableParagraph"/>
              <w:tabs>
                <w:tab w:val="left" w:pos="2418"/>
              </w:tabs>
              <w:spacing w:line="360" w:lineRule="auto"/>
              <w:ind w:left="107"/>
              <w:jc w:val="center"/>
              <w:rPr>
                <w:rFonts w:ascii="楷体" w:eastAsia="楷体" w:hAnsi="楷体" w:cs="楷体"/>
                <w:sz w:val="21"/>
                <w:szCs w:val="21"/>
              </w:rPr>
            </w:pPr>
            <w:r>
              <w:rPr>
                <w:rFonts w:ascii="楷体" w:eastAsia="楷体" w:hAnsi="楷体" w:cs="楷体" w:hint="eastAsia"/>
                <w:sz w:val="21"/>
                <w:szCs w:val="21"/>
              </w:rPr>
              <w:t>□新</w:t>
            </w:r>
            <w:r>
              <w:rPr>
                <w:rFonts w:ascii="楷体" w:eastAsia="楷体" w:hAnsi="楷体" w:cs="楷体" w:hint="eastAsia"/>
                <w:spacing w:val="-3"/>
                <w:sz w:val="21"/>
                <w:szCs w:val="21"/>
              </w:rPr>
              <w:t>闻</w:t>
            </w:r>
            <w:r>
              <w:rPr>
                <w:rFonts w:ascii="楷体" w:eastAsia="楷体" w:hAnsi="楷体" w:cs="楷体" w:hint="eastAsia"/>
                <w:sz w:val="21"/>
                <w:szCs w:val="21"/>
              </w:rPr>
              <w:t>发</w:t>
            </w:r>
            <w:r>
              <w:rPr>
                <w:rFonts w:ascii="楷体" w:eastAsia="楷体" w:hAnsi="楷体" w:cs="楷体" w:hint="eastAsia"/>
                <w:spacing w:val="-3"/>
                <w:sz w:val="21"/>
                <w:szCs w:val="21"/>
              </w:rPr>
              <w:t>布</w:t>
            </w:r>
            <w:r>
              <w:rPr>
                <w:rFonts w:ascii="楷体" w:eastAsia="楷体" w:hAnsi="楷体" w:cs="楷体" w:hint="eastAsia"/>
                <w:sz w:val="21"/>
                <w:szCs w:val="21"/>
              </w:rPr>
              <w:t>会</w:t>
            </w:r>
            <w:r>
              <w:rPr>
                <w:rFonts w:ascii="楷体" w:eastAsia="楷体" w:hAnsi="楷体" w:cs="楷体" w:hint="eastAsia"/>
                <w:sz w:val="21"/>
                <w:szCs w:val="21"/>
              </w:rPr>
              <w:tab/>
            </w:r>
            <w:r>
              <w:rPr>
                <w:rFonts w:ascii="楷体" w:eastAsia="楷体" w:hAnsi="楷体" w:cs="楷体" w:hint="eastAsia"/>
                <w:sz w:val="21"/>
                <w:szCs w:val="21"/>
              </w:rPr>
              <w:t>□路</w:t>
            </w:r>
            <w:r>
              <w:rPr>
                <w:rFonts w:ascii="楷体" w:eastAsia="楷体" w:hAnsi="楷体" w:cs="楷体" w:hint="eastAsia"/>
                <w:spacing w:val="-3"/>
                <w:sz w:val="21"/>
                <w:szCs w:val="21"/>
              </w:rPr>
              <w:t>演</w:t>
            </w:r>
            <w:r>
              <w:rPr>
                <w:rFonts w:ascii="楷体" w:eastAsia="楷体" w:hAnsi="楷体" w:cs="楷体" w:hint="eastAsia"/>
                <w:sz w:val="21"/>
                <w:szCs w:val="21"/>
              </w:rPr>
              <w:t>活动</w:t>
            </w:r>
          </w:p>
          <w:p w14:paraId="3AF291DD" w14:textId="77777777" w:rsidR="008E66CE" w:rsidRDefault="008E66CE">
            <w:pPr>
              <w:pStyle w:val="TableParagraph"/>
              <w:spacing w:before="8" w:line="360" w:lineRule="auto"/>
              <w:jc w:val="center"/>
              <w:rPr>
                <w:rFonts w:ascii="楷体" w:eastAsia="楷体" w:hAnsi="楷体" w:cs="楷体"/>
                <w:sz w:val="21"/>
                <w:szCs w:val="21"/>
              </w:rPr>
            </w:pPr>
          </w:p>
          <w:p w14:paraId="06D29851" w14:textId="77777777" w:rsidR="008E66CE" w:rsidRDefault="00D22203">
            <w:pPr>
              <w:pStyle w:val="TableParagraph"/>
              <w:spacing w:line="360" w:lineRule="auto"/>
              <w:ind w:left="107"/>
              <w:jc w:val="center"/>
              <w:rPr>
                <w:rFonts w:ascii="楷体" w:eastAsia="楷体" w:hAnsi="楷体" w:cs="楷体"/>
                <w:sz w:val="21"/>
                <w:szCs w:val="21"/>
              </w:rPr>
            </w:pPr>
            <w:r>
              <w:rPr>
                <w:rFonts w:ascii="楷体" w:eastAsia="楷体" w:hAnsi="楷体" w:cs="楷体" w:hint="eastAsia"/>
                <w:sz w:val="21"/>
                <w:szCs w:val="21"/>
              </w:rPr>
              <w:t>□现场参观</w:t>
            </w:r>
          </w:p>
          <w:p w14:paraId="582A1B6A" w14:textId="77777777" w:rsidR="008E66CE" w:rsidRDefault="008E66CE">
            <w:pPr>
              <w:pStyle w:val="TableParagraph"/>
              <w:spacing w:before="11" w:line="360" w:lineRule="auto"/>
              <w:jc w:val="center"/>
              <w:rPr>
                <w:rFonts w:ascii="楷体" w:eastAsia="楷体" w:hAnsi="楷体" w:cs="楷体"/>
                <w:sz w:val="21"/>
                <w:szCs w:val="21"/>
              </w:rPr>
            </w:pPr>
          </w:p>
          <w:p w14:paraId="626A8FFE" w14:textId="77777777" w:rsidR="008E66CE" w:rsidRDefault="00D22203">
            <w:pPr>
              <w:pStyle w:val="TableParagraph"/>
              <w:spacing w:line="360" w:lineRule="auto"/>
              <w:ind w:left="107"/>
              <w:jc w:val="center"/>
              <w:rPr>
                <w:rFonts w:ascii="楷体" w:eastAsia="楷体" w:hAnsi="楷体" w:cs="楷体"/>
                <w:sz w:val="21"/>
                <w:szCs w:val="21"/>
              </w:rPr>
            </w:pPr>
            <w:r>
              <w:rPr>
                <w:rFonts w:ascii="楷体" w:eastAsia="楷体" w:hAnsi="楷体" w:cs="楷体" w:hint="eastAsia"/>
                <w:sz w:val="21"/>
                <w:szCs w:val="21"/>
              </w:rPr>
              <w:sym w:font="Wingdings 2" w:char="F052"/>
            </w:r>
            <w:r>
              <w:rPr>
                <w:rFonts w:ascii="楷体" w:eastAsia="楷体" w:hAnsi="楷体" w:cs="楷体" w:hint="eastAsia"/>
                <w:sz w:val="21"/>
                <w:szCs w:val="21"/>
              </w:rPr>
              <w:t>其他（电话交流会）</w:t>
            </w:r>
          </w:p>
        </w:tc>
      </w:tr>
      <w:tr w:rsidR="008E66CE" w14:paraId="68F9F3F0" w14:textId="77777777">
        <w:trPr>
          <w:trHeight w:val="39"/>
          <w:jc w:val="center"/>
        </w:trPr>
        <w:tc>
          <w:tcPr>
            <w:tcW w:w="1555" w:type="dxa"/>
            <w:vMerge w:val="restart"/>
            <w:vAlign w:val="center"/>
          </w:tcPr>
          <w:p w14:paraId="2DD14FFA" w14:textId="77777777" w:rsidR="008E66CE" w:rsidRDefault="00D22203">
            <w:pPr>
              <w:pStyle w:val="TableParagraph"/>
              <w:spacing w:line="360" w:lineRule="auto"/>
              <w:ind w:left="107" w:right="96"/>
              <w:rPr>
                <w:rFonts w:ascii="楷体" w:eastAsia="楷体" w:hAnsi="楷体" w:cs="楷体"/>
                <w:sz w:val="21"/>
                <w:szCs w:val="21"/>
              </w:rPr>
            </w:pPr>
            <w:r>
              <w:rPr>
                <w:rFonts w:ascii="楷体" w:eastAsia="楷体" w:hAnsi="楷体" w:cs="楷体" w:hint="eastAsia"/>
                <w:sz w:val="21"/>
                <w:szCs w:val="21"/>
              </w:rPr>
              <w:t>参与单位名称及人员姓名</w:t>
            </w:r>
          </w:p>
        </w:tc>
        <w:tc>
          <w:tcPr>
            <w:tcW w:w="1176" w:type="dxa"/>
            <w:vAlign w:val="center"/>
          </w:tcPr>
          <w:p w14:paraId="51F5E8E9" w14:textId="77777777" w:rsidR="008E66CE" w:rsidRDefault="00D22203">
            <w:pPr>
              <w:pStyle w:val="TableParagraph"/>
              <w:spacing w:line="360" w:lineRule="auto"/>
              <w:ind w:left="107" w:right="96"/>
              <w:jc w:val="center"/>
              <w:rPr>
                <w:rFonts w:ascii="楷体" w:eastAsia="楷体" w:hAnsi="楷体" w:cs="楷体"/>
                <w:color w:val="000000"/>
                <w:sz w:val="21"/>
                <w:szCs w:val="21"/>
                <w:lang w:val="en-US"/>
              </w:rPr>
            </w:pPr>
            <w:r>
              <w:rPr>
                <w:rFonts w:ascii="楷体" w:eastAsia="楷体" w:hAnsi="楷体" w:cs="楷体" w:hint="eastAsia"/>
                <w:color w:val="000000"/>
                <w:sz w:val="21"/>
                <w:szCs w:val="21"/>
              </w:rPr>
              <w:t>人员</w:t>
            </w:r>
          </w:p>
        </w:tc>
        <w:tc>
          <w:tcPr>
            <w:tcW w:w="3093" w:type="dxa"/>
            <w:vAlign w:val="center"/>
          </w:tcPr>
          <w:p w14:paraId="61F50A3C" w14:textId="77777777" w:rsidR="008E66CE" w:rsidRDefault="00D22203">
            <w:pPr>
              <w:pStyle w:val="TableParagraph"/>
              <w:spacing w:line="360" w:lineRule="auto"/>
              <w:ind w:left="107" w:right="96"/>
              <w:jc w:val="center"/>
              <w:rPr>
                <w:rFonts w:ascii="楷体" w:eastAsia="楷体" w:hAnsi="楷体" w:cs="楷体"/>
                <w:color w:val="000000"/>
                <w:sz w:val="21"/>
                <w:szCs w:val="21"/>
                <w:lang w:val="en-US"/>
              </w:rPr>
            </w:pPr>
            <w:r>
              <w:rPr>
                <w:rFonts w:ascii="楷体" w:eastAsia="楷体" w:hAnsi="楷体" w:cs="楷体" w:hint="eastAsia"/>
                <w:color w:val="000000"/>
                <w:sz w:val="21"/>
                <w:szCs w:val="21"/>
              </w:rPr>
              <w:t>机构名称</w:t>
            </w:r>
          </w:p>
        </w:tc>
        <w:tc>
          <w:tcPr>
            <w:tcW w:w="1259" w:type="dxa"/>
            <w:vAlign w:val="center"/>
          </w:tcPr>
          <w:p w14:paraId="1096869A" w14:textId="77777777" w:rsidR="008E66CE" w:rsidRDefault="00D22203">
            <w:pPr>
              <w:pStyle w:val="TableParagraph"/>
              <w:spacing w:line="360" w:lineRule="auto"/>
              <w:ind w:left="107" w:right="96"/>
              <w:jc w:val="center"/>
              <w:rPr>
                <w:rFonts w:ascii="楷体" w:eastAsia="楷体" w:hAnsi="楷体" w:cs="楷体"/>
                <w:color w:val="000000"/>
                <w:sz w:val="21"/>
                <w:szCs w:val="21"/>
                <w:lang w:val="en-US"/>
              </w:rPr>
            </w:pPr>
            <w:r>
              <w:rPr>
                <w:rFonts w:ascii="楷体" w:eastAsia="楷体" w:hAnsi="楷体" w:cs="楷体" w:hint="eastAsia"/>
                <w:color w:val="000000"/>
                <w:sz w:val="21"/>
                <w:szCs w:val="21"/>
              </w:rPr>
              <w:t>人员</w:t>
            </w:r>
          </w:p>
        </w:tc>
        <w:tc>
          <w:tcPr>
            <w:tcW w:w="3544" w:type="dxa"/>
            <w:vAlign w:val="center"/>
          </w:tcPr>
          <w:p w14:paraId="79B67D83" w14:textId="77777777" w:rsidR="008E66CE" w:rsidRDefault="00D22203">
            <w:pPr>
              <w:pStyle w:val="TableParagraph"/>
              <w:spacing w:line="360" w:lineRule="auto"/>
              <w:ind w:left="107" w:right="96"/>
              <w:jc w:val="center"/>
              <w:rPr>
                <w:rFonts w:ascii="楷体" w:eastAsia="楷体" w:hAnsi="楷体" w:cs="楷体"/>
                <w:color w:val="000000"/>
                <w:sz w:val="21"/>
                <w:szCs w:val="21"/>
                <w:lang w:val="en-US"/>
              </w:rPr>
            </w:pPr>
            <w:r>
              <w:rPr>
                <w:rFonts w:ascii="楷体" w:eastAsia="楷体" w:hAnsi="楷体" w:cs="楷体" w:hint="eastAsia"/>
                <w:color w:val="000000"/>
                <w:sz w:val="21"/>
                <w:szCs w:val="21"/>
              </w:rPr>
              <w:t>机构名称</w:t>
            </w:r>
          </w:p>
        </w:tc>
      </w:tr>
      <w:tr w:rsidR="008E66CE" w14:paraId="609CFDB5" w14:textId="77777777">
        <w:trPr>
          <w:trHeight w:val="39"/>
          <w:jc w:val="center"/>
        </w:trPr>
        <w:tc>
          <w:tcPr>
            <w:tcW w:w="1555" w:type="dxa"/>
            <w:vMerge/>
            <w:vAlign w:val="center"/>
          </w:tcPr>
          <w:p w14:paraId="2581C332"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4A9823D0" w14:textId="77777777" w:rsidR="008E66CE" w:rsidRDefault="00D22203">
            <w:pPr>
              <w:pStyle w:val="TableParagraph"/>
              <w:spacing w:line="360" w:lineRule="auto"/>
              <w:ind w:left="107" w:right="96"/>
              <w:jc w:val="center"/>
              <w:rPr>
                <w:rFonts w:ascii="楷体" w:eastAsia="楷体" w:hAnsi="楷体" w:cs="楷体"/>
                <w:color w:val="000000"/>
                <w:sz w:val="21"/>
                <w:szCs w:val="21"/>
                <w:lang w:val="en-US"/>
              </w:rPr>
            </w:pPr>
            <w:r>
              <w:rPr>
                <w:rFonts w:ascii="楷体" w:eastAsia="楷体" w:hAnsi="楷体" w:cs="楷体" w:hint="eastAsia"/>
                <w:color w:val="000000"/>
                <w:sz w:val="21"/>
                <w:szCs w:val="21"/>
                <w:lang w:val="en-US"/>
              </w:rPr>
              <w:t>郭建奇</w:t>
            </w:r>
          </w:p>
        </w:tc>
        <w:tc>
          <w:tcPr>
            <w:tcW w:w="3093" w:type="dxa"/>
            <w:vAlign w:val="center"/>
          </w:tcPr>
          <w:p w14:paraId="28655327" w14:textId="77777777" w:rsidR="008E66CE" w:rsidRDefault="00D22203">
            <w:pPr>
              <w:pStyle w:val="TableParagraph"/>
              <w:spacing w:line="360" w:lineRule="auto"/>
              <w:ind w:left="107" w:right="96"/>
              <w:jc w:val="center"/>
              <w:rPr>
                <w:rFonts w:ascii="楷体" w:eastAsia="楷体" w:hAnsi="楷体" w:cs="楷体"/>
                <w:color w:val="000000"/>
                <w:sz w:val="21"/>
                <w:szCs w:val="21"/>
              </w:rPr>
            </w:pPr>
            <w:r>
              <w:rPr>
                <w:rFonts w:ascii="楷体" w:eastAsia="楷体" w:hAnsi="楷体" w:cs="楷体" w:hint="eastAsia"/>
                <w:sz w:val="21"/>
                <w:szCs w:val="21"/>
                <w:lang w:val="en-US"/>
              </w:rPr>
              <w:t>天风证券</w:t>
            </w:r>
          </w:p>
        </w:tc>
        <w:tc>
          <w:tcPr>
            <w:tcW w:w="1259" w:type="dxa"/>
            <w:vAlign w:val="center"/>
          </w:tcPr>
          <w:p w14:paraId="55727B03" w14:textId="77777777" w:rsidR="008E66CE" w:rsidRDefault="00D22203">
            <w:pPr>
              <w:pStyle w:val="TableParagraph"/>
              <w:spacing w:line="360" w:lineRule="auto"/>
              <w:ind w:left="107" w:right="96"/>
              <w:jc w:val="center"/>
              <w:rPr>
                <w:rFonts w:ascii="楷体" w:eastAsia="楷体" w:hAnsi="楷体" w:cs="楷体"/>
                <w:color w:val="000000"/>
                <w:sz w:val="21"/>
                <w:szCs w:val="21"/>
                <w:lang w:val="en-US"/>
              </w:rPr>
            </w:pPr>
            <w:r>
              <w:rPr>
                <w:rFonts w:ascii="楷体" w:eastAsia="楷体" w:hAnsi="楷体" w:cs="楷体" w:hint="eastAsia"/>
                <w:color w:val="000000"/>
                <w:sz w:val="21"/>
                <w:szCs w:val="21"/>
                <w:lang w:val="en-US"/>
              </w:rPr>
              <w:t>李绍程</w:t>
            </w:r>
          </w:p>
        </w:tc>
        <w:tc>
          <w:tcPr>
            <w:tcW w:w="3544" w:type="dxa"/>
            <w:vAlign w:val="center"/>
          </w:tcPr>
          <w:p w14:paraId="493111CE" w14:textId="77777777" w:rsidR="008E66CE" w:rsidRDefault="00D22203">
            <w:pPr>
              <w:pStyle w:val="TableParagraph"/>
              <w:spacing w:line="360" w:lineRule="auto"/>
              <w:ind w:left="107" w:right="96"/>
              <w:jc w:val="center"/>
              <w:rPr>
                <w:rFonts w:ascii="楷体" w:eastAsia="楷体" w:hAnsi="楷体" w:cs="楷体"/>
                <w:color w:val="000000"/>
                <w:sz w:val="21"/>
                <w:szCs w:val="21"/>
                <w:lang w:val="en-US"/>
              </w:rPr>
            </w:pPr>
            <w:r>
              <w:rPr>
                <w:rFonts w:ascii="楷体" w:eastAsia="楷体" w:hAnsi="楷体" w:cs="楷体" w:hint="eastAsia"/>
                <w:color w:val="000000"/>
                <w:sz w:val="21"/>
                <w:szCs w:val="21"/>
                <w:lang w:val="en-US"/>
              </w:rPr>
              <w:t>申万宏源</w:t>
            </w:r>
          </w:p>
        </w:tc>
      </w:tr>
      <w:tr w:rsidR="008E66CE" w14:paraId="40030791" w14:textId="77777777">
        <w:trPr>
          <w:trHeight w:val="39"/>
          <w:jc w:val="center"/>
        </w:trPr>
        <w:tc>
          <w:tcPr>
            <w:tcW w:w="1555" w:type="dxa"/>
            <w:vMerge/>
            <w:vAlign w:val="center"/>
          </w:tcPr>
          <w:p w14:paraId="4F02D034" w14:textId="77777777" w:rsidR="008E66CE" w:rsidRDefault="008E66CE">
            <w:pPr>
              <w:pStyle w:val="TableParagraph"/>
              <w:spacing w:line="360" w:lineRule="auto"/>
              <w:ind w:left="107" w:right="96"/>
              <w:rPr>
                <w:rFonts w:ascii="楷体" w:eastAsia="楷体" w:hAnsi="楷体" w:cs="楷体"/>
                <w:sz w:val="21"/>
                <w:szCs w:val="21"/>
              </w:rPr>
            </w:pPr>
          </w:p>
          <w:p w14:paraId="7FB409AC"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31A8A0AF"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林励盛</w:t>
            </w:r>
          </w:p>
        </w:tc>
        <w:tc>
          <w:tcPr>
            <w:tcW w:w="3093" w:type="dxa"/>
            <w:vAlign w:val="center"/>
          </w:tcPr>
          <w:p w14:paraId="48812C0A"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上海康盛私募基金</w:t>
            </w:r>
          </w:p>
        </w:tc>
        <w:tc>
          <w:tcPr>
            <w:tcW w:w="1259" w:type="dxa"/>
            <w:vAlign w:val="center"/>
          </w:tcPr>
          <w:p w14:paraId="743F8C1C"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许可</w:t>
            </w:r>
          </w:p>
        </w:tc>
        <w:tc>
          <w:tcPr>
            <w:tcW w:w="3544" w:type="dxa"/>
            <w:vAlign w:val="center"/>
          </w:tcPr>
          <w:p w14:paraId="1D5244C4"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朱雀基金</w:t>
            </w:r>
          </w:p>
        </w:tc>
      </w:tr>
      <w:tr w:rsidR="008E66CE" w14:paraId="39F0DC38" w14:textId="77777777">
        <w:trPr>
          <w:trHeight w:val="39"/>
          <w:jc w:val="center"/>
        </w:trPr>
        <w:tc>
          <w:tcPr>
            <w:tcW w:w="1555" w:type="dxa"/>
            <w:vMerge/>
            <w:vAlign w:val="center"/>
          </w:tcPr>
          <w:p w14:paraId="3AEF592B"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172C133B"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杜玙</w:t>
            </w:r>
          </w:p>
        </w:tc>
        <w:tc>
          <w:tcPr>
            <w:tcW w:w="3093" w:type="dxa"/>
            <w:vAlign w:val="center"/>
          </w:tcPr>
          <w:p w14:paraId="0A1E0385"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天风证券</w:t>
            </w:r>
          </w:p>
        </w:tc>
        <w:tc>
          <w:tcPr>
            <w:tcW w:w="1259" w:type="dxa"/>
            <w:vAlign w:val="center"/>
          </w:tcPr>
          <w:p w14:paraId="43D58A77"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沈楠</w:t>
            </w:r>
          </w:p>
        </w:tc>
        <w:tc>
          <w:tcPr>
            <w:tcW w:w="3544" w:type="dxa"/>
            <w:vAlign w:val="center"/>
          </w:tcPr>
          <w:p w14:paraId="209A5CB7"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交银施罗德基金</w:t>
            </w:r>
          </w:p>
        </w:tc>
      </w:tr>
      <w:tr w:rsidR="008E66CE" w14:paraId="436810F7" w14:textId="77777777">
        <w:trPr>
          <w:trHeight w:val="39"/>
          <w:jc w:val="center"/>
        </w:trPr>
        <w:tc>
          <w:tcPr>
            <w:tcW w:w="1555" w:type="dxa"/>
            <w:vMerge/>
            <w:vAlign w:val="center"/>
          </w:tcPr>
          <w:p w14:paraId="71099E57"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1B6656EA"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魏巍</w:t>
            </w:r>
          </w:p>
        </w:tc>
        <w:tc>
          <w:tcPr>
            <w:tcW w:w="3093" w:type="dxa"/>
            <w:vAlign w:val="center"/>
          </w:tcPr>
          <w:p w14:paraId="67726251"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中信证券</w:t>
            </w:r>
          </w:p>
        </w:tc>
        <w:tc>
          <w:tcPr>
            <w:tcW w:w="1259" w:type="dxa"/>
            <w:vAlign w:val="center"/>
          </w:tcPr>
          <w:p w14:paraId="59FA6215"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田玉铎</w:t>
            </w:r>
          </w:p>
        </w:tc>
        <w:tc>
          <w:tcPr>
            <w:tcW w:w="3544" w:type="dxa"/>
            <w:vAlign w:val="center"/>
          </w:tcPr>
          <w:p w14:paraId="6D0F1400"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圆信永丰基金</w:t>
            </w:r>
          </w:p>
        </w:tc>
      </w:tr>
      <w:tr w:rsidR="008E66CE" w14:paraId="7F36A5E3" w14:textId="77777777">
        <w:trPr>
          <w:trHeight w:val="39"/>
          <w:jc w:val="center"/>
        </w:trPr>
        <w:tc>
          <w:tcPr>
            <w:tcW w:w="1555" w:type="dxa"/>
            <w:vMerge/>
            <w:vAlign w:val="center"/>
          </w:tcPr>
          <w:p w14:paraId="080E2B3D"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194A7A51"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王璐</w:t>
            </w:r>
          </w:p>
        </w:tc>
        <w:tc>
          <w:tcPr>
            <w:tcW w:w="3093" w:type="dxa"/>
            <w:vAlign w:val="center"/>
          </w:tcPr>
          <w:p w14:paraId="5FE25BA8"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天风证券</w:t>
            </w:r>
          </w:p>
        </w:tc>
        <w:tc>
          <w:tcPr>
            <w:tcW w:w="1259" w:type="dxa"/>
            <w:vAlign w:val="center"/>
          </w:tcPr>
          <w:p w14:paraId="51F48F8E"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陈均峰</w:t>
            </w:r>
          </w:p>
        </w:tc>
        <w:tc>
          <w:tcPr>
            <w:tcW w:w="3544" w:type="dxa"/>
            <w:vAlign w:val="center"/>
          </w:tcPr>
          <w:p w14:paraId="4BCE0024"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交银施罗德基金</w:t>
            </w:r>
          </w:p>
        </w:tc>
      </w:tr>
      <w:tr w:rsidR="008E66CE" w14:paraId="2A555F74" w14:textId="77777777">
        <w:trPr>
          <w:trHeight w:val="39"/>
          <w:jc w:val="center"/>
        </w:trPr>
        <w:tc>
          <w:tcPr>
            <w:tcW w:w="1555" w:type="dxa"/>
            <w:vMerge/>
            <w:vAlign w:val="center"/>
          </w:tcPr>
          <w:p w14:paraId="1687973A"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42E3BBC3"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毛文博</w:t>
            </w:r>
          </w:p>
        </w:tc>
        <w:tc>
          <w:tcPr>
            <w:tcW w:w="3093" w:type="dxa"/>
            <w:vAlign w:val="center"/>
          </w:tcPr>
          <w:p w14:paraId="693A1C72"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华宝基金</w:t>
            </w:r>
          </w:p>
        </w:tc>
        <w:tc>
          <w:tcPr>
            <w:tcW w:w="1259" w:type="dxa"/>
            <w:vAlign w:val="center"/>
          </w:tcPr>
          <w:p w14:paraId="7FCDB881"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戴晨阳</w:t>
            </w:r>
          </w:p>
        </w:tc>
        <w:tc>
          <w:tcPr>
            <w:tcW w:w="3544" w:type="dxa"/>
            <w:vAlign w:val="center"/>
          </w:tcPr>
          <w:p w14:paraId="23A901EF"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浦银安盛基金</w:t>
            </w:r>
          </w:p>
        </w:tc>
      </w:tr>
      <w:tr w:rsidR="008E66CE" w14:paraId="3FE7A1DA" w14:textId="77777777">
        <w:trPr>
          <w:trHeight w:val="39"/>
          <w:jc w:val="center"/>
        </w:trPr>
        <w:tc>
          <w:tcPr>
            <w:tcW w:w="1555" w:type="dxa"/>
            <w:vMerge/>
            <w:vAlign w:val="center"/>
          </w:tcPr>
          <w:p w14:paraId="7CADC5E2"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42C504B6"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林忠晶</w:t>
            </w:r>
          </w:p>
        </w:tc>
        <w:tc>
          <w:tcPr>
            <w:tcW w:w="3093" w:type="dxa"/>
            <w:vAlign w:val="center"/>
          </w:tcPr>
          <w:p w14:paraId="63860BBB"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长安基金</w:t>
            </w:r>
          </w:p>
        </w:tc>
        <w:tc>
          <w:tcPr>
            <w:tcW w:w="1259" w:type="dxa"/>
            <w:vAlign w:val="center"/>
          </w:tcPr>
          <w:p w14:paraId="617DE096"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张振卓</w:t>
            </w:r>
          </w:p>
        </w:tc>
        <w:tc>
          <w:tcPr>
            <w:tcW w:w="3544" w:type="dxa"/>
            <w:vAlign w:val="center"/>
          </w:tcPr>
          <w:p w14:paraId="55C4E66C"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泰信基金</w:t>
            </w:r>
          </w:p>
        </w:tc>
      </w:tr>
      <w:tr w:rsidR="008E66CE" w14:paraId="2D14AEBA" w14:textId="77777777">
        <w:trPr>
          <w:trHeight w:val="39"/>
          <w:jc w:val="center"/>
        </w:trPr>
        <w:tc>
          <w:tcPr>
            <w:tcW w:w="1555" w:type="dxa"/>
            <w:vMerge/>
            <w:vAlign w:val="center"/>
          </w:tcPr>
          <w:p w14:paraId="3AE83D6C"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59C3059A"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王琦</w:t>
            </w:r>
          </w:p>
        </w:tc>
        <w:tc>
          <w:tcPr>
            <w:tcW w:w="3093" w:type="dxa"/>
            <w:vAlign w:val="center"/>
          </w:tcPr>
          <w:p w14:paraId="1ECEF099"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德邦基金</w:t>
            </w:r>
          </w:p>
        </w:tc>
        <w:tc>
          <w:tcPr>
            <w:tcW w:w="1259" w:type="dxa"/>
            <w:vAlign w:val="center"/>
          </w:tcPr>
          <w:p w14:paraId="6D16256D"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武磊</w:t>
            </w:r>
          </w:p>
        </w:tc>
        <w:tc>
          <w:tcPr>
            <w:tcW w:w="3544" w:type="dxa"/>
            <w:vAlign w:val="center"/>
          </w:tcPr>
          <w:p w14:paraId="023A8F1F"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富国基金</w:t>
            </w:r>
          </w:p>
        </w:tc>
      </w:tr>
      <w:tr w:rsidR="008E66CE" w14:paraId="66663CDE" w14:textId="77777777">
        <w:trPr>
          <w:trHeight w:val="39"/>
          <w:jc w:val="center"/>
        </w:trPr>
        <w:tc>
          <w:tcPr>
            <w:tcW w:w="1555" w:type="dxa"/>
            <w:vMerge/>
            <w:vAlign w:val="center"/>
          </w:tcPr>
          <w:p w14:paraId="7114E777"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1D7B89B7"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王莎</w:t>
            </w:r>
          </w:p>
        </w:tc>
        <w:tc>
          <w:tcPr>
            <w:tcW w:w="3093" w:type="dxa"/>
            <w:vAlign w:val="center"/>
          </w:tcPr>
          <w:p w14:paraId="6D0CA306"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华夏理财</w:t>
            </w:r>
          </w:p>
        </w:tc>
        <w:tc>
          <w:tcPr>
            <w:tcW w:w="1259" w:type="dxa"/>
            <w:vAlign w:val="center"/>
          </w:tcPr>
          <w:p w14:paraId="1020F85D"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吕品洁</w:t>
            </w:r>
          </w:p>
        </w:tc>
        <w:tc>
          <w:tcPr>
            <w:tcW w:w="3544" w:type="dxa"/>
            <w:vAlign w:val="center"/>
          </w:tcPr>
          <w:p w14:paraId="16161632"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中国人寿养老保险</w:t>
            </w:r>
          </w:p>
        </w:tc>
      </w:tr>
      <w:tr w:rsidR="008E66CE" w14:paraId="7DD32CF2" w14:textId="77777777">
        <w:trPr>
          <w:trHeight w:val="39"/>
          <w:jc w:val="center"/>
        </w:trPr>
        <w:tc>
          <w:tcPr>
            <w:tcW w:w="1555" w:type="dxa"/>
            <w:vMerge/>
            <w:vAlign w:val="center"/>
          </w:tcPr>
          <w:p w14:paraId="0F0F5E0A"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1E43FAEB"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李天益</w:t>
            </w:r>
          </w:p>
        </w:tc>
        <w:tc>
          <w:tcPr>
            <w:tcW w:w="3093" w:type="dxa"/>
            <w:vAlign w:val="center"/>
          </w:tcPr>
          <w:p w14:paraId="308416E5"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和基投资</w:t>
            </w:r>
          </w:p>
        </w:tc>
        <w:tc>
          <w:tcPr>
            <w:tcW w:w="1259" w:type="dxa"/>
            <w:vAlign w:val="center"/>
          </w:tcPr>
          <w:p w14:paraId="7A61E626"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张响东</w:t>
            </w:r>
          </w:p>
        </w:tc>
        <w:tc>
          <w:tcPr>
            <w:tcW w:w="3544" w:type="dxa"/>
            <w:vAlign w:val="center"/>
          </w:tcPr>
          <w:p w14:paraId="0DDD4AB8"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中银基金</w:t>
            </w:r>
          </w:p>
        </w:tc>
      </w:tr>
      <w:tr w:rsidR="008E66CE" w14:paraId="64E95976" w14:textId="77777777">
        <w:trPr>
          <w:trHeight w:val="39"/>
          <w:jc w:val="center"/>
        </w:trPr>
        <w:tc>
          <w:tcPr>
            <w:tcW w:w="1555" w:type="dxa"/>
            <w:vMerge/>
            <w:vAlign w:val="center"/>
          </w:tcPr>
          <w:p w14:paraId="1EE3F745"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0FFBBBFD"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施卫</w:t>
            </w:r>
          </w:p>
        </w:tc>
        <w:tc>
          <w:tcPr>
            <w:tcW w:w="3093" w:type="dxa"/>
            <w:vAlign w:val="center"/>
          </w:tcPr>
          <w:p w14:paraId="7E0FD874"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杭州乐趣投资</w:t>
            </w:r>
          </w:p>
        </w:tc>
        <w:tc>
          <w:tcPr>
            <w:tcW w:w="1259" w:type="dxa"/>
            <w:vAlign w:val="center"/>
          </w:tcPr>
          <w:p w14:paraId="0E7A2FE7"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张滋城</w:t>
            </w:r>
          </w:p>
        </w:tc>
        <w:tc>
          <w:tcPr>
            <w:tcW w:w="3544" w:type="dxa"/>
            <w:vAlign w:val="center"/>
          </w:tcPr>
          <w:p w14:paraId="1D143619"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中信证券</w:t>
            </w:r>
          </w:p>
        </w:tc>
      </w:tr>
      <w:tr w:rsidR="008E66CE" w14:paraId="5F7D9AFE" w14:textId="77777777">
        <w:trPr>
          <w:trHeight w:val="39"/>
          <w:jc w:val="center"/>
        </w:trPr>
        <w:tc>
          <w:tcPr>
            <w:tcW w:w="1555" w:type="dxa"/>
            <w:vMerge/>
            <w:vAlign w:val="center"/>
          </w:tcPr>
          <w:p w14:paraId="7DE2E910"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2E9FFF71"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徐彪</w:t>
            </w:r>
          </w:p>
        </w:tc>
        <w:tc>
          <w:tcPr>
            <w:tcW w:w="3093" w:type="dxa"/>
            <w:vAlign w:val="center"/>
          </w:tcPr>
          <w:p w14:paraId="20203D1E"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广东正圆投资</w:t>
            </w:r>
          </w:p>
        </w:tc>
        <w:tc>
          <w:tcPr>
            <w:tcW w:w="1259" w:type="dxa"/>
            <w:vAlign w:val="center"/>
          </w:tcPr>
          <w:p w14:paraId="2396BFFB"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李燕玲</w:t>
            </w:r>
          </w:p>
        </w:tc>
        <w:tc>
          <w:tcPr>
            <w:tcW w:w="3544" w:type="dxa"/>
            <w:vAlign w:val="center"/>
          </w:tcPr>
          <w:p w14:paraId="05F9B7BF"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生命保险资产</w:t>
            </w:r>
          </w:p>
        </w:tc>
      </w:tr>
      <w:tr w:rsidR="008E66CE" w14:paraId="4AA35CEF" w14:textId="77777777">
        <w:trPr>
          <w:trHeight w:val="39"/>
          <w:jc w:val="center"/>
        </w:trPr>
        <w:tc>
          <w:tcPr>
            <w:tcW w:w="1555" w:type="dxa"/>
            <w:vMerge/>
            <w:vAlign w:val="center"/>
          </w:tcPr>
          <w:p w14:paraId="72BAB5C2" w14:textId="77777777" w:rsidR="008E66CE" w:rsidRDefault="008E66CE">
            <w:pPr>
              <w:pStyle w:val="TableParagraph"/>
              <w:spacing w:line="360" w:lineRule="auto"/>
              <w:ind w:left="107" w:right="96"/>
              <w:rPr>
                <w:rFonts w:ascii="楷体" w:eastAsia="楷体" w:hAnsi="楷体" w:cs="楷体"/>
                <w:sz w:val="21"/>
                <w:szCs w:val="21"/>
              </w:rPr>
            </w:pPr>
          </w:p>
          <w:p w14:paraId="359B2D94"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shd w:val="clear" w:color="auto" w:fill="auto"/>
            <w:vAlign w:val="center"/>
          </w:tcPr>
          <w:p w14:paraId="20605AF4"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张英杰</w:t>
            </w:r>
          </w:p>
        </w:tc>
        <w:tc>
          <w:tcPr>
            <w:tcW w:w="3093" w:type="dxa"/>
            <w:shd w:val="clear" w:color="auto" w:fill="auto"/>
            <w:vAlign w:val="center"/>
          </w:tcPr>
          <w:p w14:paraId="318E9AB6"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上海德汇</w:t>
            </w:r>
          </w:p>
        </w:tc>
        <w:tc>
          <w:tcPr>
            <w:tcW w:w="1259" w:type="dxa"/>
            <w:vAlign w:val="center"/>
          </w:tcPr>
          <w:p w14:paraId="7707259B"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刘毅</w:t>
            </w:r>
          </w:p>
        </w:tc>
        <w:tc>
          <w:tcPr>
            <w:tcW w:w="3544" w:type="dxa"/>
            <w:vAlign w:val="center"/>
          </w:tcPr>
          <w:p w14:paraId="178F305C"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开源证券</w:t>
            </w:r>
          </w:p>
        </w:tc>
      </w:tr>
      <w:tr w:rsidR="008E66CE" w14:paraId="25FEB605" w14:textId="77777777">
        <w:trPr>
          <w:trHeight w:val="39"/>
          <w:jc w:val="center"/>
        </w:trPr>
        <w:tc>
          <w:tcPr>
            <w:tcW w:w="1555" w:type="dxa"/>
            <w:vMerge/>
            <w:vAlign w:val="center"/>
          </w:tcPr>
          <w:p w14:paraId="05E03F15"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0DBF4808"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刘平</w:t>
            </w:r>
          </w:p>
        </w:tc>
        <w:tc>
          <w:tcPr>
            <w:tcW w:w="3093" w:type="dxa"/>
            <w:vAlign w:val="center"/>
          </w:tcPr>
          <w:p w14:paraId="576B18C2"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汐泰</w:t>
            </w:r>
          </w:p>
        </w:tc>
        <w:tc>
          <w:tcPr>
            <w:tcW w:w="1259" w:type="dxa"/>
            <w:vAlign w:val="center"/>
          </w:tcPr>
          <w:p w14:paraId="2C2271AA"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张诗瑶</w:t>
            </w:r>
          </w:p>
        </w:tc>
        <w:tc>
          <w:tcPr>
            <w:tcW w:w="3544" w:type="dxa"/>
            <w:vAlign w:val="center"/>
          </w:tcPr>
          <w:p w14:paraId="3631D3E0"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北京信弘天禾投资</w:t>
            </w:r>
          </w:p>
        </w:tc>
      </w:tr>
      <w:tr w:rsidR="008E66CE" w14:paraId="561C578C" w14:textId="77777777">
        <w:trPr>
          <w:trHeight w:val="39"/>
          <w:jc w:val="center"/>
        </w:trPr>
        <w:tc>
          <w:tcPr>
            <w:tcW w:w="1555" w:type="dxa"/>
            <w:vMerge/>
            <w:vAlign w:val="center"/>
          </w:tcPr>
          <w:p w14:paraId="323A846B"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2EC12591"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陆远兮</w:t>
            </w:r>
          </w:p>
        </w:tc>
        <w:tc>
          <w:tcPr>
            <w:tcW w:w="3093" w:type="dxa"/>
            <w:vAlign w:val="center"/>
          </w:tcPr>
          <w:p w14:paraId="0CBA8F49"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工银安盛资产</w:t>
            </w:r>
          </w:p>
        </w:tc>
        <w:tc>
          <w:tcPr>
            <w:tcW w:w="1259" w:type="dxa"/>
            <w:vAlign w:val="center"/>
          </w:tcPr>
          <w:p w14:paraId="420EBFF0"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范</w:t>
            </w:r>
            <w:r>
              <w:rPr>
                <w:rFonts w:ascii="楷体" w:eastAsia="楷体" w:hAnsi="楷体" w:cs="楷体" w:hint="eastAsia"/>
                <w:sz w:val="21"/>
                <w:szCs w:val="21"/>
                <w:lang w:val="en-US"/>
              </w:rPr>
              <w:t xml:space="preserve">  </w:t>
            </w:r>
            <w:r>
              <w:rPr>
                <w:rFonts w:ascii="楷体" w:eastAsia="楷体" w:hAnsi="楷体" w:cs="楷体" w:hint="eastAsia"/>
                <w:sz w:val="21"/>
                <w:szCs w:val="21"/>
                <w:lang w:val="en-US"/>
              </w:rPr>
              <w:t>亮</w:t>
            </w:r>
          </w:p>
        </w:tc>
        <w:tc>
          <w:tcPr>
            <w:tcW w:w="3544" w:type="dxa"/>
            <w:vAlign w:val="center"/>
          </w:tcPr>
          <w:p w14:paraId="33B14768"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国金基金</w:t>
            </w:r>
          </w:p>
        </w:tc>
      </w:tr>
      <w:tr w:rsidR="008E66CE" w14:paraId="6825D077" w14:textId="77777777">
        <w:trPr>
          <w:trHeight w:val="39"/>
          <w:jc w:val="center"/>
        </w:trPr>
        <w:tc>
          <w:tcPr>
            <w:tcW w:w="1555" w:type="dxa"/>
            <w:vMerge/>
            <w:vAlign w:val="center"/>
          </w:tcPr>
          <w:p w14:paraId="3770A1CE"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490D9D50"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黄思敏</w:t>
            </w:r>
          </w:p>
        </w:tc>
        <w:tc>
          <w:tcPr>
            <w:tcW w:w="3093" w:type="dxa"/>
            <w:vAlign w:val="center"/>
          </w:tcPr>
          <w:p w14:paraId="1A5E37D9"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银河基金</w:t>
            </w:r>
          </w:p>
        </w:tc>
        <w:tc>
          <w:tcPr>
            <w:tcW w:w="1259" w:type="dxa"/>
            <w:vAlign w:val="center"/>
          </w:tcPr>
          <w:p w14:paraId="0D5EF612"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张晓昭</w:t>
            </w:r>
          </w:p>
        </w:tc>
        <w:tc>
          <w:tcPr>
            <w:tcW w:w="3544" w:type="dxa"/>
            <w:vAlign w:val="center"/>
          </w:tcPr>
          <w:p w14:paraId="41DEC1DB"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华龙证券</w:t>
            </w:r>
          </w:p>
        </w:tc>
      </w:tr>
      <w:tr w:rsidR="008E66CE" w14:paraId="7A73123E" w14:textId="77777777">
        <w:trPr>
          <w:trHeight w:val="39"/>
          <w:jc w:val="center"/>
        </w:trPr>
        <w:tc>
          <w:tcPr>
            <w:tcW w:w="1555" w:type="dxa"/>
            <w:vMerge/>
            <w:vAlign w:val="center"/>
          </w:tcPr>
          <w:p w14:paraId="4C074612"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7E8AE65E"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刘亚洲</w:t>
            </w:r>
          </w:p>
        </w:tc>
        <w:tc>
          <w:tcPr>
            <w:tcW w:w="3093" w:type="dxa"/>
            <w:vAlign w:val="center"/>
          </w:tcPr>
          <w:p w14:paraId="53358264"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安信证券资产管理部</w:t>
            </w:r>
          </w:p>
        </w:tc>
        <w:tc>
          <w:tcPr>
            <w:tcW w:w="1259" w:type="dxa"/>
            <w:vAlign w:val="center"/>
          </w:tcPr>
          <w:p w14:paraId="14E2F4A5"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邓艺</w:t>
            </w:r>
          </w:p>
        </w:tc>
        <w:tc>
          <w:tcPr>
            <w:tcW w:w="3544" w:type="dxa"/>
            <w:vAlign w:val="center"/>
          </w:tcPr>
          <w:p w14:paraId="5022D7C0"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招商基金</w:t>
            </w:r>
          </w:p>
        </w:tc>
      </w:tr>
      <w:tr w:rsidR="008E66CE" w14:paraId="44A14136" w14:textId="77777777">
        <w:trPr>
          <w:trHeight w:val="39"/>
          <w:jc w:val="center"/>
        </w:trPr>
        <w:tc>
          <w:tcPr>
            <w:tcW w:w="1555" w:type="dxa"/>
            <w:vMerge/>
            <w:vAlign w:val="center"/>
          </w:tcPr>
          <w:p w14:paraId="0AE3436A"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1F62B816"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Terry Xia</w:t>
            </w:r>
          </w:p>
        </w:tc>
        <w:tc>
          <w:tcPr>
            <w:tcW w:w="3093" w:type="dxa"/>
            <w:vAlign w:val="center"/>
          </w:tcPr>
          <w:p w14:paraId="4A53DD43"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中国东方国际资产</w:t>
            </w:r>
          </w:p>
        </w:tc>
        <w:tc>
          <w:tcPr>
            <w:tcW w:w="1259" w:type="dxa"/>
            <w:vAlign w:val="center"/>
          </w:tcPr>
          <w:p w14:paraId="1F3A58D1"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余</w:t>
            </w:r>
            <w:r>
              <w:rPr>
                <w:rFonts w:ascii="楷体" w:eastAsia="楷体" w:hAnsi="楷体" w:cs="楷体" w:hint="eastAsia"/>
                <w:sz w:val="21"/>
                <w:szCs w:val="21"/>
                <w:lang w:val="en-US"/>
              </w:rPr>
              <w:t xml:space="preserve"> </w:t>
            </w:r>
            <w:r>
              <w:rPr>
                <w:rFonts w:ascii="楷体" w:eastAsia="楷体" w:hAnsi="楷体" w:cs="楷体" w:hint="eastAsia"/>
                <w:sz w:val="21"/>
                <w:szCs w:val="21"/>
                <w:lang w:val="en-US"/>
              </w:rPr>
              <w:t>宙</w:t>
            </w:r>
          </w:p>
        </w:tc>
        <w:tc>
          <w:tcPr>
            <w:tcW w:w="3544" w:type="dxa"/>
            <w:vAlign w:val="center"/>
          </w:tcPr>
          <w:p w14:paraId="49BBA1D9"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溋沣资本</w:t>
            </w:r>
          </w:p>
        </w:tc>
      </w:tr>
      <w:tr w:rsidR="008E66CE" w14:paraId="01E16F6D" w14:textId="77777777">
        <w:trPr>
          <w:trHeight w:val="39"/>
          <w:jc w:val="center"/>
        </w:trPr>
        <w:tc>
          <w:tcPr>
            <w:tcW w:w="1555" w:type="dxa"/>
            <w:vMerge/>
            <w:vAlign w:val="center"/>
          </w:tcPr>
          <w:p w14:paraId="73EE5BC0"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09603FF5"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巩伟</w:t>
            </w:r>
          </w:p>
        </w:tc>
        <w:tc>
          <w:tcPr>
            <w:tcW w:w="3093" w:type="dxa"/>
            <w:vAlign w:val="center"/>
          </w:tcPr>
          <w:p w14:paraId="4FFA8A36"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招银理财</w:t>
            </w:r>
          </w:p>
        </w:tc>
        <w:tc>
          <w:tcPr>
            <w:tcW w:w="1259" w:type="dxa"/>
            <w:vAlign w:val="center"/>
          </w:tcPr>
          <w:p w14:paraId="47AF22B9"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刘鹏</w:t>
            </w:r>
          </w:p>
        </w:tc>
        <w:tc>
          <w:tcPr>
            <w:tcW w:w="3544" w:type="dxa"/>
            <w:vAlign w:val="center"/>
          </w:tcPr>
          <w:p w14:paraId="63E33E3A"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江苏养正基金</w:t>
            </w:r>
          </w:p>
        </w:tc>
      </w:tr>
      <w:tr w:rsidR="008E66CE" w14:paraId="02F8FCA8" w14:textId="77777777">
        <w:trPr>
          <w:trHeight w:val="39"/>
          <w:jc w:val="center"/>
        </w:trPr>
        <w:tc>
          <w:tcPr>
            <w:tcW w:w="1555" w:type="dxa"/>
            <w:vMerge/>
            <w:vAlign w:val="center"/>
          </w:tcPr>
          <w:p w14:paraId="75C4DDE9"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496D9036"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孙涛</w:t>
            </w:r>
          </w:p>
        </w:tc>
        <w:tc>
          <w:tcPr>
            <w:tcW w:w="3093" w:type="dxa"/>
            <w:vAlign w:val="center"/>
          </w:tcPr>
          <w:p w14:paraId="0D3FE5AE"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天风证券</w:t>
            </w:r>
          </w:p>
        </w:tc>
        <w:tc>
          <w:tcPr>
            <w:tcW w:w="1259" w:type="dxa"/>
            <w:vAlign w:val="center"/>
          </w:tcPr>
          <w:p w14:paraId="7E7A7AF4"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卢杰</w:t>
            </w:r>
          </w:p>
        </w:tc>
        <w:tc>
          <w:tcPr>
            <w:tcW w:w="3544" w:type="dxa"/>
            <w:vAlign w:val="center"/>
          </w:tcPr>
          <w:p w14:paraId="44542B5A"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厦门财富管理</w:t>
            </w:r>
          </w:p>
        </w:tc>
      </w:tr>
      <w:tr w:rsidR="008E66CE" w14:paraId="0853889D" w14:textId="77777777">
        <w:trPr>
          <w:trHeight w:val="39"/>
          <w:jc w:val="center"/>
        </w:trPr>
        <w:tc>
          <w:tcPr>
            <w:tcW w:w="1555" w:type="dxa"/>
            <w:vMerge/>
            <w:vAlign w:val="center"/>
          </w:tcPr>
          <w:p w14:paraId="20DE6D0F"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59C5FD53"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魏炜</w:t>
            </w:r>
          </w:p>
        </w:tc>
        <w:tc>
          <w:tcPr>
            <w:tcW w:w="3093" w:type="dxa"/>
            <w:vAlign w:val="center"/>
          </w:tcPr>
          <w:p w14:paraId="51D6C167"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上海益和源资产</w:t>
            </w:r>
          </w:p>
        </w:tc>
        <w:tc>
          <w:tcPr>
            <w:tcW w:w="1259" w:type="dxa"/>
            <w:vAlign w:val="center"/>
          </w:tcPr>
          <w:p w14:paraId="65CDCC5E"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鄧咏梅</w:t>
            </w:r>
          </w:p>
        </w:tc>
        <w:tc>
          <w:tcPr>
            <w:tcW w:w="3544" w:type="dxa"/>
            <w:vAlign w:val="center"/>
          </w:tcPr>
          <w:p w14:paraId="7BFDCAC6"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马可波罗中国资产</w:t>
            </w:r>
          </w:p>
        </w:tc>
      </w:tr>
      <w:tr w:rsidR="008E66CE" w14:paraId="7A843091" w14:textId="77777777">
        <w:trPr>
          <w:trHeight w:val="39"/>
          <w:jc w:val="center"/>
        </w:trPr>
        <w:tc>
          <w:tcPr>
            <w:tcW w:w="1555" w:type="dxa"/>
            <w:vMerge/>
            <w:vAlign w:val="center"/>
          </w:tcPr>
          <w:p w14:paraId="5E81E8E8"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71EA7B4E"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汪自兵</w:t>
            </w:r>
          </w:p>
        </w:tc>
        <w:tc>
          <w:tcPr>
            <w:tcW w:w="3093" w:type="dxa"/>
            <w:vAlign w:val="center"/>
          </w:tcPr>
          <w:p w14:paraId="5C48A581"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上海方物私募基金</w:t>
            </w:r>
          </w:p>
        </w:tc>
        <w:tc>
          <w:tcPr>
            <w:tcW w:w="1259" w:type="dxa"/>
            <w:vAlign w:val="center"/>
          </w:tcPr>
          <w:p w14:paraId="27986D83"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于嘉馨</w:t>
            </w:r>
          </w:p>
        </w:tc>
        <w:tc>
          <w:tcPr>
            <w:tcW w:w="3544" w:type="dxa"/>
            <w:vAlign w:val="center"/>
          </w:tcPr>
          <w:p w14:paraId="433E82BE"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银河基金</w:t>
            </w:r>
          </w:p>
        </w:tc>
      </w:tr>
      <w:tr w:rsidR="008E66CE" w14:paraId="4BF8DD31" w14:textId="77777777">
        <w:trPr>
          <w:trHeight w:val="39"/>
          <w:jc w:val="center"/>
        </w:trPr>
        <w:tc>
          <w:tcPr>
            <w:tcW w:w="1555" w:type="dxa"/>
            <w:vMerge/>
            <w:vAlign w:val="center"/>
          </w:tcPr>
          <w:p w14:paraId="7CB510B3"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672A887D"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 xml:space="preserve">Liu </w:t>
            </w:r>
            <w:proofErr w:type="spellStart"/>
            <w:r>
              <w:rPr>
                <w:rFonts w:ascii="楷体" w:eastAsia="楷体" w:hAnsi="楷体" w:cs="楷体" w:hint="eastAsia"/>
                <w:sz w:val="21"/>
                <w:szCs w:val="21"/>
                <w:lang w:val="en-US"/>
              </w:rPr>
              <w:t>Zhuo</w:t>
            </w:r>
            <w:proofErr w:type="spellEnd"/>
            <w:r>
              <w:rPr>
                <w:rFonts w:ascii="楷体" w:eastAsia="楷体" w:hAnsi="楷体" w:cs="楷体" w:hint="eastAsia"/>
                <w:sz w:val="21"/>
                <w:szCs w:val="21"/>
                <w:lang w:val="en-US"/>
              </w:rPr>
              <w:t xml:space="preserve"> Yu</w:t>
            </w:r>
          </w:p>
        </w:tc>
        <w:tc>
          <w:tcPr>
            <w:tcW w:w="3093" w:type="dxa"/>
            <w:vAlign w:val="center"/>
          </w:tcPr>
          <w:p w14:paraId="188FE7B1"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韩国投资信托运用</w:t>
            </w:r>
          </w:p>
        </w:tc>
        <w:tc>
          <w:tcPr>
            <w:tcW w:w="1259" w:type="dxa"/>
            <w:vAlign w:val="center"/>
          </w:tcPr>
          <w:p w14:paraId="5225F30C"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成佩剑</w:t>
            </w:r>
          </w:p>
        </w:tc>
        <w:tc>
          <w:tcPr>
            <w:tcW w:w="3544" w:type="dxa"/>
            <w:vAlign w:val="center"/>
          </w:tcPr>
          <w:p w14:paraId="187A810A"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上海五地私募基金</w:t>
            </w:r>
          </w:p>
        </w:tc>
      </w:tr>
      <w:tr w:rsidR="008E66CE" w14:paraId="7CE19943" w14:textId="77777777">
        <w:trPr>
          <w:trHeight w:val="39"/>
          <w:jc w:val="center"/>
        </w:trPr>
        <w:tc>
          <w:tcPr>
            <w:tcW w:w="1555" w:type="dxa"/>
            <w:vMerge/>
            <w:vAlign w:val="center"/>
          </w:tcPr>
          <w:p w14:paraId="0EE92C03"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465856CB"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石晨曦</w:t>
            </w:r>
          </w:p>
        </w:tc>
        <w:tc>
          <w:tcPr>
            <w:tcW w:w="3093" w:type="dxa"/>
            <w:vAlign w:val="center"/>
          </w:tcPr>
          <w:p w14:paraId="5FDC1457"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方正证券</w:t>
            </w:r>
          </w:p>
        </w:tc>
        <w:tc>
          <w:tcPr>
            <w:tcW w:w="1259" w:type="dxa"/>
            <w:vAlign w:val="center"/>
          </w:tcPr>
          <w:p w14:paraId="4050BDB9"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骆华森</w:t>
            </w:r>
          </w:p>
        </w:tc>
        <w:tc>
          <w:tcPr>
            <w:tcW w:w="3544" w:type="dxa"/>
            <w:vAlign w:val="center"/>
          </w:tcPr>
          <w:p w14:paraId="7CC05679"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上海恒穗资产</w:t>
            </w:r>
          </w:p>
        </w:tc>
      </w:tr>
      <w:tr w:rsidR="008E66CE" w14:paraId="395EEDF0" w14:textId="77777777">
        <w:trPr>
          <w:trHeight w:val="39"/>
          <w:jc w:val="center"/>
        </w:trPr>
        <w:tc>
          <w:tcPr>
            <w:tcW w:w="1555" w:type="dxa"/>
            <w:vMerge/>
            <w:vAlign w:val="center"/>
          </w:tcPr>
          <w:p w14:paraId="152BE9E2"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037175D2"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杨伟</w:t>
            </w:r>
          </w:p>
        </w:tc>
        <w:tc>
          <w:tcPr>
            <w:tcW w:w="3093" w:type="dxa"/>
            <w:vAlign w:val="center"/>
          </w:tcPr>
          <w:p w14:paraId="00F7AA1F"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农银汇理</w:t>
            </w:r>
          </w:p>
        </w:tc>
        <w:tc>
          <w:tcPr>
            <w:tcW w:w="1259" w:type="dxa"/>
            <w:vAlign w:val="center"/>
          </w:tcPr>
          <w:p w14:paraId="1A0CEA91"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蒋璆</w:t>
            </w:r>
          </w:p>
        </w:tc>
        <w:tc>
          <w:tcPr>
            <w:tcW w:w="3544" w:type="dxa"/>
            <w:vAlign w:val="center"/>
          </w:tcPr>
          <w:p w14:paraId="4E41D40A"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华安基金</w:t>
            </w:r>
          </w:p>
        </w:tc>
      </w:tr>
      <w:tr w:rsidR="008E66CE" w14:paraId="31C77C13" w14:textId="77777777">
        <w:trPr>
          <w:trHeight w:val="39"/>
          <w:jc w:val="center"/>
        </w:trPr>
        <w:tc>
          <w:tcPr>
            <w:tcW w:w="1555" w:type="dxa"/>
            <w:vMerge/>
            <w:vAlign w:val="center"/>
          </w:tcPr>
          <w:p w14:paraId="1CFA062C"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1FF6CF5F"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周户</w:t>
            </w:r>
          </w:p>
        </w:tc>
        <w:tc>
          <w:tcPr>
            <w:tcW w:w="3093" w:type="dxa"/>
            <w:vAlign w:val="center"/>
          </w:tcPr>
          <w:p w14:paraId="2C0E9617"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中信建投基金</w:t>
            </w:r>
          </w:p>
        </w:tc>
        <w:tc>
          <w:tcPr>
            <w:tcW w:w="1259" w:type="dxa"/>
            <w:vAlign w:val="center"/>
          </w:tcPr>
          <w:p w14:paraId="5CA0613F"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沈玉梁</w:t>
            </w:r>
          </w:p>
        </w:tc>
        <w:tc>
          <w:tcPr>
            <w:tcW w:w="3544" w:type="dxa"/>
            <w:vAlign w:val="center"/>
          </w:tcPr>
          <w:p w14:paraId="2F41205C"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嘉实基金</w:t>
            </w:r>
          </w:p>
        </w:tc>
      </w:tr>
      <w:tr w:rsidR="008E66CE" w:rsidRPr="00A56420" w14:paraId="0820C0B2" w14:textId="77777777">
        <w:trPr>
          <w:trHeight w:val="39"/>
          <w:jc w:val="center"/>
        </w:trPr>
        <w:tc>
          <w:tcPr>
            <w:tcW w:w="1555" w:type="dxa"/>
            <w:vMerge/>
            <w:vAlign w:val="center"/>
          </w:tcPr>
          <w:p w14:paraId="62B3B042"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3E4C2735"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刘睿欣</w:t>
            </w:r>
          </w:p>
        </w:tc>
        <w:tc>
          <w:tcPr>
            <w:tcW w:w="3093" w:type="dxa"/>
            <w:vAlign w:val="center"/>
          </w:tcPr>
          <w:p w14:paraId="31625BFA"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农银人寿</w:t>
            </w:r>
          </w:p>
        </w:tc>
        <w:tc>
          <w:tcPr>
            <w:tcW w:w="1259" w:type="dxa"/>
            <w:vAlign w:val="center"/>
          </w:tcPr>
          <w:p w14:paraId="0BEA8A93"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陈亮</w:t>
            </w:r>
          </w:p>
        </w:tc>
        <w:tc>
          <w:tcPr>
            <w:tcW w:w="3544" w:type="dxa"/>
            <w:vAlign w:val="center"/>
          </w:tcPr>
          <w:p w14:paraId="441D4FFC"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荷荷（北京）私募基金</w:t>
            </w:r>
          </w:p>
        </w:tc>
      </w:tr>
      <w:tr w:rsidR="008E66CE" w14:paraId="51C5A29C" w14:textId="77777777">
        <w:trPr>
          <w:trHeight w:val="39"/>
          <w:jc w:val="center"/>
        </w:trPr>
        <w:tc>
          <w:tcPr>
            <w:tcW w:w="1555" w:type="dxa"/>
            <w:vMerge/>
            <w:vAlign w:val="center"/>
          </w:tcPr>
          <w:p w14:paraId="51A99DBD" w14:textId="77777777" w:rsidR="008E66CE" w:rsidRPr="00A56420" w:rsidRDefault="008E66CE">
            <w:pPr>
              <w:pStyle w:val="TableParagraph"/>
              <w:spacing w:line="360" w:lineRule="auto"/>
              <w:ind w:left="107" w:right="96"/>
              <w:rPr>
                <w:rFonts w:ascii="楷体" w:eastAsia="楷体" w:hAnsi="楷体" w:cs="楷体"/>
                <w:sz w:val="21"/>
                <w:szCs w:val="21"/>
                <w:lang w:val="en-US"/>
              </w:rPr>
            </w:pPr>
          </w:p>
        </w:tc>
        <w:tc>
          <w:tcPr>
            <w:tcW w:w="1176" w:type="dxa"/>
            <w:vAlign w:val="center"/>
          </w:tcPr>
          <w:p w14:paraId="3FF634A0"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胡纪元</w:t>
            </w:r>
          </w:p>
        </w:tc>
        <w:tc>
          <w:tcPr>
            <w:tcW w:w="3093" w:type="dxa"/>
            <w:vAlign w:val="center"/>
          </w:tcPr>
          <w:p w14:paraId="40D7D6D3"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长城财富</w:t>
            </w:r>
          </w:p>
        </w:tc>
        <w:tc>
          <w:tcPr>
            <w:tcW w:w="1259" w:type="dxa"/>
            <w:vAlign w:val="center"/>
          </w:tcPr>
          <w:p w14:paraId="5D7BB0CC"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张凯</w:t>
            </w:r>
          </w:p>
        </w:tc>
        <w:tc>
          <w:tcPr>
            <w:tcW w:w="3544" w:type="dxa"/>
            <w:vAlign w:val="center"/>
          </w:tcPr>
          <w:p w14:paraId="382015DF"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太平养老保险</w:t>
            </w:r>
          </w:p>
        </w:tc>
      </w:tr>
      <w:tr w:rsidR="008E66CE" w14:paraId="69FB38C2" w14:textId="77777777">
        <w:trPr>
          <w:trHeight w:val="39"/>
          <w:jc w:val="center"/>
        </w:trPr>
        <w:tc>
          <w:tcPr>
            <w:tcW w:w="1555" w:type="dxa"/>
            <w:vMerge/>
            <w:vAlign w:val="center"/>
          </w:tcPr>
          <w:p w14:paraId="41C7B1C5"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54E882B7"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刘汉思</w:t>
            </w:r>
          </w:p>
        </w:tc>
        <w:tc>
          <w:tcPr>
            <w:tcW w:w="3093" w:type="dxa"/>
            <w:vAlign w:val="center"/>
          </w:tcPr>
          <w:p w14:paraId="5EC87D8C"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建信基金</w:t>
            </w:r>
          </w:p>
        </w:tc>
        <w:tc>
          <w:tcPr>
            <w:tcW w:w="1259" w:type="dxa"/>
            <w:shd w:val="clear" w:color="auto" w:fill="auto"/>
            <w:vAlign w:val="center"/>
          </w:tcPr>
          <w:p w14:paraId="615E5600"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杨明韬</w:t>
            </w:r>
          </w:p>
        </w:tc>
        <w:tc>
          <w:tcPr>
            <w:tcW w:w="3544" w:type="dxa"/>
            <w:shd w:val="clear" w:color="auto" w:fill="auto"/>
            <w:vAlign w:val="center"/>
          </w:tcPr>
          <w:p w14:paraId="4B4A6754" w14:textId="77777777" w:rsidR="008E66CE" w:rsidRDefault="00D22203">
            <w:pPr>
              <w:pStyle w:val="TableParagraph"/>
              <w:spacing w:before="1" w:line="360" w:lineRule="auto"/>
              <w:jc w:val="center"/>
              <w:rPr>
                <w:rFonts w:ascii="楷体" w:eastAsia="楷体" w:hAnsi="楷体" w:cs="楷体"/>
                <w:sz w:val="21"/>
                <w:szCs w:val="21"/>
              </w:rPr>
            </w:pPr>
            <w:r>
              <w:rPr>
                <w:rFonts w:ascii="楷体" w:eastAsia="楷体" w:hAnsi="楷体" w:cs="楷体" w:hint="eastAsia"/>
                <w:sz w:val="21"/>
                <w:szCs w:val="21"/>
                <w:lang w:val="en-US"/>
              </w:rPr>
              <w:t>上海鹏山资产</w:t>
            </w:r>
          </w:p>
        </w:tc>
      </w:tr>
      <w:tr w:rsidR="008E66CE" w14:paraId="43490818" w14:textId="77777777">
        <w:trPr>
          <w:trHeight w:val="39"/>
          <w:jc w:val="center"/>
        </w:trPr>
        <w:tc>
          <w:tcPr>
            <w:tcW w:w="1555" w:type="dxa"/>
            <w:vMerge/>
            <w:vAlign w:val="center"/>
          </w:tcPr>
          <w:p w14:paraId="0A366E71" w14:textId="77777777" w:rsidR="008E66CE" w:rsidRDefault="008E66CE">
            <w:pPr>
              <w:pStyle w:val="TableParagraph"/>
              <w:spacing w:line="360" w:lineRule="auto"/>
              <w:ind w:left="107" w:right="96"/>
              <w:rPr>
                <w:rFonts w:ascii="楷体" w:eastAsia="楷体" w:hAnsi="楷体" w:cs="楷体"/>
                <w:sz w:val="21"/>
                <w:szCs w:val="21"/>
              </w:rPr>
            </w:pPr>
          </w:p>
        </w:tc>
        <w:tc>
          <w:tcPr>
            <w:tcW w:w="1176" w:type="dxa"/>
            <w:vAlign w:val="center"/>
          </w:tcPr>
          <w:p w14:paraId="29C6A907"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顾宝成</w:t>
            </w:r>
          </w:p>
        </w:tc>
        <w:tc>
          <w:tcPr>
            <w:tcW w:w="3093" w:type="dxa"/>
            <w:vAlign w:val="center"/>
          </w:tcPr>
          <w:p w14:paraId="4076DCAF" w14:textId="77777777" w:rsidR="008E66CE" w:rsidRDefault="00D22203">
            <w:pPr>
              <w:pStyle w:val="TableParagraph"/>
              <w:spacing w:before="1" w:line="360" w:lineRule="auto"/>
              <w:jc w:val="center"/>
              <w:rPr>
                <w:rFonts w:ascii="楷体" w:eastAsia="楷体" w:hAnsi="楷体" w:cs="楷体"/>
                <w:sz w:val="21"/>
                <w:szCs w:val="21"/>
                <w:lang w:val="en-US"/>
              </w:rPr>
            </w:pPr>
            <w:r>
              <w:rPr>
                <w:rFonts w:ascii="楷体" w:eastAsia="楷体" w:hAnsi="楷体" w:cs="楷体" w:hint="eastAsia"/>
                <w:sz w:val="21"/>
                <w:szCs w:val="21"/>
                <w:lang w:val="en-US"/>
              </w:rPr>
              <w:t>度势投资</w:t>
            </w:r>
          </w:p>
        </w:tc>
        <w:tc>
          <w:tcPr>
            <w:tcW w:w="1259" w:type="dxa"/>
            <w:shd w:val="clear" w:color="auto" w:fill="auto"/>
            <w:vAlign w:val="center"/>
          </w:tcPr>
          <w:p w14:paraId="597B086E" w14:textId="77777777" w:rsidR="008E66CE" w:rsidRDefault="008E66CE">
            <w:pPr>
              <w:pStyle w:val="TableParagraph"/>
              <w:spacing w:before="1" w:line="360" w:lineRule="auto"/>
              <w:jc w:val="center"/>
              <w:rPr>
                <w:rFonts w:ascii="楷体" w:eastAsia="楷体" w:hAnsi="楷体" w:cs="楷体"/>
                <w:sz w:val="21"/>
                <w:szCs w:val="21"/>
              </w:rPr>
            </w:pPr>
          </w:p>
        </w:tc>
        <w:tc>
          <w:tcPr>
            <w:tcW w:w="3544" w:type="dxa"/>
            <w:shd w:val="clear" w:color="auto" w:fill="auto"/>
            <w:vAlign w:val="center"/>
          </w:tcPr>
          <w:p w14:paraId="2E278861" w14:textId="77777777" w:rsidR="008E66CE" w:rsidRDefault="008E66CE">
            <w:pPr>
              <w:pStyle w:val="TableParagraph"/>
              <w:spacing w:before="1" w:line="360" w:lineRule="auto"/>
              <w:jc w:val="center"/>
              <w:rPr>
                <w:rFonts w:ascii="楷体" w:eastAsia="楷体" w:hAnsi="楷体" w:cs="楷体"/>
                <w:sz w:val="21"/>
                <w:szCs w:val="21"/>
              </w:rPr>
            </w:pPr>
          </w:p>
        </w:tc>
      </w:tr>
      <w:tr w:rsidR="008E66CE" w14:paraId="29029176" w14:textId="77777777">
        <w:trPr>
          <w:trHeight w:val="558"/>
          <w:jc w:val="center"/>
        </w:trPr>
        <w:tc>
          <w:tcPr>
            <w:tcW w:w="1555" w:type="dxa"/>
            <w:tcBorders>
              <w:bottom w:val="single" w:sz="4" w:space="0" w:color="auto"/>
            </w:tcBorders>
            <w:vAlign w:val="center"/>
          </w:tcPr>
          <w:p w14:paraId="22FDC492" w14:textId="77777777" w:rsidR="008E66CE" w:rsidRDefault="00D22203">
            <w:pPr>
              <w:pStyle w:val="TableParagraph"/>
              <w:spacing w:before="1" w:line="360" w:lineRule="auto"/>
              <w:ind w:firstLineChars="100" w:firstLine="210"/>
              <w:rPr>
                <w:rFonts w:ascii="楷体" w:eastAsia="楷体" w:hAnsi="楷体" w:cs="楷体"/>
                <w:sz w:val="21"/>
                <w:szCs w:val="21"/>
              </w:rPr>
            </w:pPr>
            <w:r>
              <w:rPr>
                <w:rFonts w:ascii="楷体" w:eastAsia="楷体" w:hAnsi="楷体" w:cs="楷体" w:hint="eastAsia"/>
                <w:sz w:val="21"/>
                <w:szCs w:val="21"/>
              </w:rPr>
              <w:t>时间</w:t>
            </w:r>
          </w:p>
        </w:tc>
        <w:tc>
          <w:tcPr>
            <w:tcW w:w="9072" w:type="dxa"/>
            <w:gridSpan w:val="4"/>
            <w:tcBorders>
              <w:bottom w:val="single" w:sz="4" w:space="0" w:color="auto"/>
            </w:tcBorders>
            <w:vAlign w:val="center"/>
          </w:tcPr>
          <w:p w14:paraId="7C6AD1E1" w14:textId="77777777" w:rsidR="008E66CE" w:rsidRDefault="00D22203">
            <w:pPr>
              <w:pStyle w:val="TableParagraph"/>
              <w:spacing w:line="360" w:lineRule="auto"/>
              <w:rPr>
                <w:rFonts w:ascii="楷体" w:eastAsia="楷体" w:hAnsi="楷体" w:cs="楷体"/>
                <w:sz w:val="21"/>
                <w:szCs w:val="21"/>
              </w:rPr>
            </w:pPr>
            <w:r>
              <w:rPr>
                <w:rFonts w:ascii="楷体" w:eastAsia="楷体" w:hAnsi="楷体" w:cs="楷体" w:hint="eastAsia"/>
                <w:sz w:val="21"/>
                <w:szCs w:val="21"/>
              </w:rPr>
              <w:t>202</w:t>
            </w:r>
            <w:r>
              <w:rPr>
                <w:rFonts w:ascii="楷体" w:eastAsia="楷体" w:hAnsi="楷体" w:cs="楷体" w:hint="eastAsia"/>
                <w:sz w:val="21"/>
                <w:szCs w:val="21"/>
                <w:lang w:val="en-US"/>
              </w:rPr>
              <w:t>6</w:t>
            </w:r>
            <w:r>
              <w:rPr>
                <w:rFonts w:ascii="楷体" w:eastAsia="楷体" w:hAnsi="楷体" w:cs="楷体" w:hint="eastAsia"/>
                <w:sz w:val="21"/>
                <w:szCs w:val="21"/>
              </w:rPr>
              <w:t>年</w:t>
            </w:r>
            <w:r>
              <w:rPr>
                <w:rFonts w:ascii="楷体" w:eastAsia="楷体" w:hAnsi="楷体" w:cs="楷体" w:hint="eastAsia"/>
                <w:sz w:val="21"/>
                <w:szCs w:val="21"/>
                <w:lang w:val="en-US"/>
              </w:rPr>
              <w:t>08</w:t>
            </w:r>
            <w:r>
              <w:rPr>
                <w:rFonts w:ascii="楷体" w:eastAsia="楷体" w:hAnsi="楷体" w:cs="楷体" w:hint="eastAsia"/>
                <w:sz w:val="21"/>
                <w:szCs w:val="21"/>
              </w:rPr>
              <w:t>月</w:t>
            </w:r>
            <w:r>
              <w:rPr>
                <w:rFonts w:ascii="楷体" w:eastAsia="楷体" w:hAnsi="楷体" w:cs="楷体" w:hint="eastAsia"/>
                <w:sz w:val="21"/>
                <w:szCs w:val="21"/>
                <w:lang w:val="en-US"/>
              </w:rPr>
              <w:t>27</w:t>
            </w:r>
            <w:r>
              <w:rPr>
                <w:rFonts w:ascii="楷体" w:eastAsia="楷体" w:hAnsi="楷体" w:cs="楷体" w:hint="eastAsia"/>
                <w:sz w:val="21"/>
                <w:szCs w:val="21"/>
              </w:rPr>
              <w:t>日</w:t>
            </w:r>
          </w:p>
        </w:tc>
      </w:tr>
      <w:tr w:rsidR="008E66CE" w14:paraId="077EB17B" w14:textId="77777777">
        <w:trPr>
          <w:trHeight w:val="492"/>
          <w:jc w:val="center"/>
        </w:trPr>
        <w:tc>
          <w:tcPr>
            <w:tcW w:w="1555" w:type="dxa"/>
            <w:tcBorders>
              <w:top w:val="single" w:sz="4" w:space="0" w:color="auto"/>
              <w:left w:val="single" w:sz="4" w:space="0" w:color="auto"/>
              <w:bottom w:val="single" w:sz="4" w:space="0" w:color="auto"/>
              <w:right w:val="single" w:sz="4" w:space="0" w:color="auto"/>
            </w:tcBorders>
            <w:vAlign w:val="center"/>
          </w:tcPr>
          <w:p w14:paraId="629324EC" w14:textId="77777777" w:rsidR="008E66CE" w:rsidRDefault="00D22203">
            <w:pPr>
              <w:pStyle w:val="TableParagraph"/>
              <w:spacing w:before="1" w:line="360" w:lineRule="auto"/>
              <w:ind w:right="96" w:firstLineChars="100" w:firstLine="210"/>
              <w:rPr>
                <w:rFonts w:ascii="楷体" w:eastAsia="楷体" w:hAnsi="楷体" w:cs="楷体"/>
                <w:sz w:val="21"/>
                <w:szCs w:val="21"/>
              </w:rPr>
            </w:pPr>
            <w:r>
              <w:rPr>
                <w:rFonts w:ascii="楷体" w:eastAsia="楷体" w:hAnsi="楷体" w:cs="楷体" w:hint="eastAsia"/>
                <w:sz w:val="21"/>
                <w:szCs w:val="21"/>
              </w:rPr>
              <w:t>地点</w:t>
            </w:r>
          </w:p>
        </w:tc>
        <w:tc>
          <w:tcPr>
            <w:tcW w:w="9072" w:type="dxa"/>
            <w:gridSpan w:val="4"/>
            <w:tcBorders>
              <w:top w:val="single" w:sz="4" w:space="0" w:color="auto"/>
              <w:left w:val="single" w:sz="4" w:space="0" w:color="auto"/>
              <w:bottom w:val="single" w:sz="4" w:space="0" w:color="auto"/>
              <w:right w:val="single" w:sz="4" w:space="0" w:color="auto"/>
            </w:tcBorders>
            <w:vAlign w:val="center"/>
          </w:tcPr>
          <w:p w14:paraId="41FC4F65" w14:textId="77777777" w:rsidR="008E66CE" w:rsidRDefault="00D22203">
            <w:pPr>
              <w:pStyle w:val="TableParagraph"/>
              <w:spacing w:before="1" w:line="360" w:lineRule="auto"/>
              <w:rPr>
                <w:rFonts w:ascii="楷体" w:eastAsia="楷体" w:hAnsi="楷体" w:cs="楷体"/>
                <w:sz w:val="21"/>
                <w:szCs w:val="21"/>
              </w:rPr>
            </w:pPr>
            <w:r>
              <w:rPr>
                <w:rFonts w:ascii="楷体" w:eastAsia="楷体" w:hAnsi="楷体" w:cs="楷体" w:hint="eastAsia"/>
                <w:sz w:val="21"/>
                <w:szCs w:val="21"/>
                <w:lang w:val="en-US"/>
              </w:rPr>
              <w:t>凯立新材</w:t>
            </w:r>
            <w:r>
              <w:rPr>
                <w:rFonts w:ascii="楷体" w:eastAsia="楷体" w:hAnsi="楷体" w:cs="楷体" w:hint="eastAsia"/>
                <w:sz w:val="21"/>
                <w:szCs w:val="21"/>
              </w:rPr>
              <w:t>综合楼办公室</w:t>
            </w:r>
          </w:p>
        </w:tc>
      </w:tr>
      <w:tr w:rsidR="008E66CE" w14:paraId="58B73452" w14:textId="77777777">
        <w:trPr>
          <w:trHeight w:val="558"/>
          <w:jc w:val="center"/>
        </w:trPr>
        <w:tc>
          <w:tcPr>
            <w:tcW w:w="1555" w:type="dxa"/>
            <w:tcBorders>
              <w:top w:val="single" w:sz="4" w:space="0" w:color="auto"/>
            </w:tcBorders>
            <w:vAlign w:val="center"/>
          </w:tcPr>
          <w:p w14:paraId="226B82B8" w14:textId="77777777" w:rsidR="008E66CE" w:rsidRDefault="00D22203">
            <w:pPr>
              <w:pStyle w:val="TableParagraph"/>
              <w:spacing w:before="1" w:line="360" w:lineRule="auto"/>
              <w:rPr>
                <w:rFonts w:ascii="楷体" w:eastAsia="楷体" w:hAnsi="楷体" w:cs="楷体"/>
                <w:sz w:val="21"/>
                <w:szCs w:val="21"/>
              </w:rPr>
            </w:pPr>
            <w:r>
              <w:rPr>
                <w:rFonts w:ascii="楷体" w:eastAsia="楷体" w:hAnsi="楷体" w:cs="楷体" w:hint="eastAsia"/>
                <w:sz w:val="21"/>
                <w:szCs w:val="21"/>
              </w:rPr>
              <w:t>公司接待人员姓名</w:t>
            </w:r>
          </w:p>
        </w:tc>
        <w:tc>
          <w:tcPr>
            <w:tcW w:w="9072" w:type="dxa"/>
            <w:gridSpan w:val="4"/>
            <w:tcBorders>
              <w:top w:val="single" w:sz="4" w:space="0" w:color="auto"/>
            </w:tcBorders>
            <w:vAlign w:val="center"/>
          </w:tcPr>
          <w:p w14:paraId="118287D1" w14:textId="77777777" w:rsidR="008E66CE" w:rsidRDefault="00D22203">
            <w:pPr>
              <w:pStyle w:val="TableParagraph"/>
              <w:spacing w:line="360" w:lineRule="auto"/>
              <w:rPr>
                <w:rFonts w:ascii="楷体" w:eastAsia="楷体" w:hAnsi="楷体" w:cs="楷体"/>
                <w:sz w:val="21"/>
                <w:szCs w:val="21"/>
              </w:rPr>
            </w:pPr>
            <w:r>
              <w:rPr>
                <w:rFonts w:ascii="楷体" w:eastAsia="楷体" w:hAnsi="楷体" w:cs="楷体" w:hint="eastAsia"/>
                <w:sz w:val="21"/>
                <w:szCs w:val="21"/>
              </w:rPr>
              <w:t>财务总监兼董事会秘书：曾利辉</w:t>
            </w:r>
          </w:p>
          <w:p w14:paraId="57A10E87" w14:textId="77777777" w:rsidR="008E66CE" w:rsidRDefault="00D22203">
            <w:pPr>
              <w:pStyle w:val="TableParagraph"/>
              <w:spacing w:line="360" w:lineRule="auto"/>
              <w:rPr>
                <w:rFonts w:ascii="楷体" w:eastAsia="楷体" w:hAnsi="楷体" w:cs="楷体"/>
                <w:sz w:val="21"/>
                <w:szCs w:val="21"/>
              </w:rPr>
            </w:pPr>
            <w:r>
              <w:rPr>
                <w:rFonts w:ascii="楷体" w:eastAsia="楷体" w:hAnsi="楷体" w:cs="楷体" w:hint="eastAsia"/>
                <w:sz w:val="21"/>
                <w:szCs w:val="21"/>
              </w:rPr>
              <w:t>证券事务代表：石婧文、曹渤杨</w:t>
            </w:r>
          </w:p>
        </w:tc>
      </w:tr>
      <w:tr w:rsidR="008E66CE" w14:paraId="7ED2692C" w14:textId="77777777">
        <w:trPr>
          <w:trHeight w:val="1408"/>
          <w:jc w:val="center"/>
        </w:trPr>
        <w:tc>
          <w:tcPr>
            <w:tcW w:w="1555" w:type="dxa"/>
            <w:vAlign w:val="center"/>
          </w:tcPr>
          <w:p w14:paraId="3B171B90" w14:textId="77777777" w:rsidR="008E66CE" w:rsidRDefault="00D22203">
            <w:pPr>
              <w:pStyle w:val="TableParagraph"/>
              <w:spacing w:before="1" w:line="360" w:lineRule="auto"/>
              <w:ind w:right="96"/>
              <w:rPr>
                <w:rFonts w:ascii="楷体" w:eastAsia="楷体" w:hAnsi="楷体" w:cs="楷体"/>
                <w:sz w:val="21"/>
                <w:szCs w:val="21"/>
              </w:rPr>
            </w:pPr>
            <w:r>
              <w:rPr>
                <w:rFonts w:ascii="楷体" w:eastAsia="楷体" w:hAnsi="楷体" w:cs="楷体" w:hint="eastAsia"/>
                <w:sz w:val="21"/>
                <w:szCs w:val="21"/>
              </w:rPr>
              <w:t>投资者关系活动主要内容介绍</w:t>
            </w:r>
          </w:p>
        </w:tc>
        <w:tc>
          <w:tcPr>
            <w:tcW w:w="9072" w:type="dxa"/>
            <w:gridSpan w:val="4"/>
            <w:vAlign w:val="center"/>
          </w:tcPr>
          <w:p w14:paraId="4E572AAF" w14:textId="77777777" w:rsidR="00A56420" w:rsidRDefault="00A56420" w:rsidP="00A56420">
            <w:pPr>
              <w:pStyle w:val="af2"/>
              <w:numPr>
                <w:ilvl w:val="0"/>
                <w:numId w:val="1"/>
              </w:numPr>
              <w:spacing w:line="360" w:lineRule="auto"/>
              <w:ind w:left="375" w:firstLineChars="0" w:hanging="375"/>
              <w:rPr>
                <w:rFonts w:ascii="楷体" w:eastAsia="楷体" w:hAnsi="楷体" w:cs="楷体"/>
                <w:b/>
                <w:sz w:val="24"/>
              </w:rPr>
            </w:pPr>
            <w:r>
              <w:rPr>
                <w:rFonts w:ascii="楷体" w:eastAsia="楷体" w:hAnsi="楷体" w:cs="楷体" w:hint="eastAsia"/>
                <w:b/>
                <w:sz w:val="24"/>
              </w:rPr>
              <w:t>公司2026上半年收入同比上升原因？</w:t>
            </w:r>
          </w:p>
          <w:p w14:paraId="010D5831" w14:textId="77777777" w:rsidR="00A56420" w:rsidRDefault="00A56420" w:rsidP="00A56420">
            <w:pPr>
              <w:pStyle w:val="af2"/>
              <w:spacing w:line="360" w:lineRule="auto"/>
              <w:ind w:firstLineChars="0" w:firstLine="0"/>
              <w:rPr>
                <w:rFonts w:ascii="楷体" w:eastAsia="楷体" w:hAnsi="楷体" w:cs="楷体"/>
                <w:b/>
                <w:sz w:val="24"/>
              </w:rPr>
            </w:pPr>
            <w:r>
              <w:rPr>
                <w:rFonts w:ascii="楷体" w:eastAsia="楷体" w:hAnsi="楷体" w:cs="楷体" w:hint="eastAsia"/>
                <w:sz w:val="24"/>
              </w:rPr>
              <w:t>尊敬的投资者您好！公司实现营业收入153,909.11万元，与上年同期相比增长 51.72%，主要系本期单价较高的均相贵金属催化剂销售产品的销量较上年同期增长48.85%，导致收入同比增加。感谢您对公司的关注！</w:t>
            </w:r>
          </w:p>
          <w:p w14:paraId="77FCF064" w14:textId="77777777" w:rsidR="00A56420" w:rsidRDefault="00A56420" w:rsidP="00A56420">
            <w:pPr>
              <w:pStyle w:val="af2"/>
              <w:spacing w:line="360" w:lineRule="auto"/>
              <w:ind w:left="375" w:firstLineChars="0" w:hanging="375"/>
              <w:rPr>
                <w:rFonts w:ascii="楷体" w:eastAsia="楷体" w:hAnsi="楷体" w:cs="楷体"/>
              </w:rPr>
            </w:pPr>
            <w:r>
              <w:rPr>
                <w:rFonts w:ascii="楷体" w:eastAsia="楷体" w:hAnsi="楷体" w:cs="楷体" w:hint="eastAsia"/>
                <w:b/>
                <w:sz w:val="24"/>
              </w:rPr>
              <w:t>2、PVC无汞催化剂未来订单情况？</w:t>
            </w:r>
          </w:p>
          <w:p w14:paraId="3D9F2D0E" w14:textId="77777777" w:rsidR="00A56420" w:rsidRDefault="00A56420" w:rsidP="00A56420">
            <w:pPr>
              <w:spacing w:line="360" w:lineRule="auto"/>
              <w:jc w:val="both"/>
              <w:rPr>
                <w:rFonts w:ascii="楷体" w:eastAsia="楷体" w:hAnsi="楷体" w:cs="楷体"/>
                <w:sz w:val="24"/>
                <w:szCs w:val="24"/>
              </w:rPr>
            </w:pPr>
            <w:r>
              <w:rPr>
                <w:rFonts w:ascii="楷体" w:eastAsia="楷体" w:hAnsi="楷体" w:cs="楷体" w:hint="eastAsia"/>
                <w:sz w:val="24"/>
                <w:lang w:val="en-US"/>
              </w:rPr>
              <w:t>尊敬的投资者您好！</w:t>
            </w:r>
            <w:r>
              <w:rPr>
                <w:rFonts w:ascii="楷体" w:eastAsia="楷体" w:hAnsi="楷体" w:cs="楷体" w:hint="eastAsia"/>
                <w:sz w:val="24"/>
              </w:rPr>
              <w:t>2026年截至6月底</w:t>
            </w:r>
            <w:r>
              <w:rPr>
                <w:rFonts w:ascii="楷体" w:eastAsia="楷体" w:hAnsi="楷体" w:cs="楷体" w:hint="eastAsia"/>
                <w:sz w:val="24"/>
                <w:lang w:val="en-US"/>
              </w:rPr>
              <w:t>PVC无汞催化剂</w:t>
            </w:r>
            <w:r>
              <w:rPr>
                <w:rFonts w:ascii="楷体" w:eastAsia="楷体" w:hAnsi="楷体" w:cs="楷体" w:hint="eastAsia"/>
                <w:sz w:val="24"/>
              </w:rPr>
              <w:t>在手订单262.32吨，上半年实现销量41吨，未执行订单221.32吨。</w:t>
            </w:r>
            <w:r>
              <w:rPr>
                <w:rFonts w:ascii="楷体" w:eastAsia="楷体" w:hAnsi="楷体" w:cs="楷体" w:hint="eastAsia"/>
                <w:sz w:val="24"/>
                <w:szCs w:val="24"/>
              </w:rPr>
              <w:t>2026年4月13日在乌鲁木齐召开的电石法聚氯乙烯行业座谈会明确指出，无汞化转型是推动电石法聚氯乙烯行业绿色发展的重要举措，要求行业企业高度重视、及早谋划、有序推进电石法聚氯乙烯无汞化转型。从行业进展来看，</w:t>
            </w:r>
            <w:r>
              <w:rPr>
                <w:rFonts w:ascii="楷体" w:eastAsia="楷体" w:hAnsi="楷体" w:cs="楷体" w:hint="eastAsia"/>
                <w:sz w:val="24"/>
                <w:szCs w:val="24"/>
              </w:rPr>
              <w:lastRenderedPageBreak/>
              <w:t>近两年PVC行业无汞化转型步伐明显加快。感谢您对公司的关注！</w:t>
            </w:r>
          </w:p>
          <w:p w14:paraId="1E9059B7" w14:textId="77777777" w:rsidR="00A56420" w:rsidRDefault="00A56420" w:rsidP="00A56420">
            <w:pPr>
              <w:spacing w:line="360" w:lineRule="auto"/>
              <w:rPr>
                <w:rFonts w:ascii="楷体" w:eastAsia="楷体" w:hAnsi="楷体" w:cs="楷体"/>
              </w:rPr>
            </w:pPr>
            <w:r>
              <w:rPr>
                <w:rFonts w:ascii="楷体" w:eastAsia="楷体" w:hAnsi="楷体" w:cs="楷体" w:hint="eastAsia"/>
                <w:b/>
                <w:sz w:val="24"/>
                <w:lang w:val="en-US"/>
              </w:rPr>
              <w:t>3、</w:t>
            </w:r>
            <w:r>
              <w:rPr>
                <w:rFonts w:ascii="楷体" w:eastAsia="楷体" w:hAnsi="楷体" w:cs="楷体" w:hint="eastAsia"/>
                <w:b/>
                <w:sz w:val="24"/>
              </w:rPr>
              <w:t>PVC无汞催化剂目前的客户有哪些？</w:t>
            </w:r>
          </w:p>
          <w:p w14:paraId="22CE7CFA" w14:textId="77777777" w:rsidR="00A56420" w:rsidRDefault="00A56420" w:rsidP="00A56420">
            <w:pPr>
              <w:spacing w:line="360" w:lineRule="auto"/>
              <w:rPr>
                <w:rFonts w:ascii="楷体" w:eastAsia="楷体" w:hAnsi="楷体" w:cs="楷体"/>
                <w:sz w:val="24"/>
                <w:lang w:val="en-US"/>
              </w:rPr>
            </w:pPr>
            <w:r>
              <w:rPr>
                <w:rFonts w:ascii="楷体" w:eastAsia="楷体" w:hAnsi="楷体" w:cs="楷体" w:hint="eastAsia"/>
                <w:sz w:val="24"/>
                <w:lang w:val="en-US"/>
              </w:rPr>
              <w:t>尊敬的投资者您好！</w:t>
            </w:r>
            <w:r>
              <w:rPr>
                <w:rFonts w:ascii="楷体" w:eastAsia="楷体" w:hAnsi="楷体" w:cs="楷体" w:hint="eastAsia"/>
                <w:sz w:val="24"/>
              </w:rPr>
              <w:t>目前PVC无汞催化剂客户已有5-6家，均为国内头部PVC生产企业，包括金泰氯碱、</w:t>
            </w:r>
            <w:r>
              <w:rPr>
                <w:rFonts w:ascii="楷体" w:eastAsia="楷体" w:hAnsi="楷体" w:cs="楷体" w:hint="eastAsia"/>
                <w:sz w:val="24"/>
                <w:lang w:val="en-US"/>
              </w:rPr>
              <w:t>内蒙古</w:t>
            </w:r>
            <w:r>
              <w:rPr>
                <w:rFonts w:ascii="楷体" w:eastAsia="楷体" w:hAnsi="楷体" w:cs="楷体" w:hint="eastAsia"/>
                <w:sz w:val="24"/>
              </w:rPr>
              <w:t>鄂尔多斯</w:t>
            </w:r>
            <w:r>
              <w:rPr>
                <w:rFonts w:ascii="楷体" w:eastAsia="楷体" w:hAnsi="楷体" w:cs="楷体" w:hint="eastAsia"/>
                <w:sz w:val="24"/>
                <w:lang w:val="en-US"/>
              </w:rPr>
              <w:t>等</w:t>
            </w:r>
            <w:r>
              <w:rPr>
                <w:rFonts w:ascii="楷体" w:eastAsia="楷体" w:hAnsi="楷体" w:cs="楷体" w:hint="eastAsia"/>
                <w:sz w:val="24"/>
              </w:rPr>
              <w:t>相关企业等。</w:t>
            </w:r>
            <w:r>
              <w:rPr>
                <w:rFonts w:ascii="楷体" w:eastAsia="楷体" w:hAnsi="楷体" w:cs="楷体" w:hint="eastAsia"/>
                <w:sz w:val="24"/>
                <w:lang w:val="en-US"/>
              </w:rPr>
              <w:t>感谢您对公司的关注！</w:t>
            </w:r>
          </w:p>
          <w:p w14:paraId="669D3ED6" w14:textId="77777777" w:rsidR="00A56420" w:rsidRDefault="00A56420" w:rsidP="00A56420">
            <w:pPr>
              <w:pStyle w:val="af2"/>
              <w:spacing w:line="360" w:lineRule="auto"/>
              <w:ind w:firstLineChars="0" w:firstLine="0"/>
              <w:rPr>
                <w:rFonts w:ascii="楷体" w:eastAsia="楷体" w:hAnsi="楷体" w:cs="楷体"/>
              </w:rPr>
            </w:pPr>
            <w:r>
              <w:rPr>
                <w:rFonts w:ascii="楷体" w:eastAsia="楷体" w:hAnsi="楷体" w:cs="楷体" w:hint="eastAsia"/>
                <w:b/>
                <w:sz w:val="24"/>
              </w:rPr>
              <w:t>4、请介绍PDH催化剂项目进展情况？</w:t>
            </w:r>
          </w:p>
          <w:p w14:paraId="3980848A" w14:textId="77777777" w:rsidR="00A56420" w:rsidRDefault="00A56420" w:rsidP="00A56420">
            <w:pPr>
              <w:spacing w:line="360" w:lineRule="auto"/>
              <w:rPr>
                <w:rFonts w:ascii="楷体" w:eastAsia="楷体" w:hAnsi="楷体" w:cs="楷体"/>
              </w:rPr>
            </w:pPr>
            <w:r>
              <w:rPr>
                <w:rFonts w:ascii="楷体" w:eastAsia="楷体" w:hAnsi="楷体" w:cs="楷体" w:hint="eastAsia"/>
                <w:sz w:val="24"/>
                <w:lang w:val="en-US"/>
              </w:rPr>
              <w:t>尊敬的投资者您好！</w:t>
            </w:r>
            <w:r>
              <w:rPr>
                <w:rFonts w:ascii="楷体" w:eastAsia="楷体" w:hAnsi="楷体" w:cs="楷体" w:hint="eastAsia"/>
                <w:sz w:val="24"/>
              </w:rPr>
              <w:t>PDH催化剂方面，</w:t>
            </w:r>
            <w:r>
              <w:rPr>
                <w:rFonts w:ascii="楷体" w:eastAsia="楷体" w:hAnsi="楷体" w:cs="楷体" w:hint="eastAsia"/>
                <w:sz w:val="24"/>
                <w:lang w:val="en-US"/>
              </w:rPr>
              <w:t>分为贵金属和非贵金属两种工艺路线，与贵金属工艺路线相关的在研项目“</w:t>
            </w:r>
            <w:r>
              <w:rPr>
                <w:rFonts w:ascii="楷体" w:eastAsia="楷体" w:hAnsi="楷体" w:cs="楷体" w:hint="eastAsia"/>
                <w:sz w:val="24"/>
              </w:rPr>
              <w:t>高性能烷烃脱氢铂系催化剂研发”</w:t>
            </w:r>
            <w:r>
              <w:rPr>
                <w:rFonts w:ascii="楷体" w:eastAsia="楷体" w:hAnsi="楷体" w:cs="楷体" w:hint="eastAsia"/>
                <w:sz w:val="24"/>
                <w:lang w:val="en-US"/>
              </w:rPr>
              <w:t>正处于批量试产/产线建设，进行批量生产的工程技术攻关，部分工业试用阶段。与非贵金属工艺路线相关的在研项目“烷烃脱氢用高性能铬系催化材料的研制与产业化”正处于完成实验室研发，中试样品正在进行工业挂篮评测阶段。感谢您对公司的关注！</w:t>
            </w:r>
          </w:p>
          <w:p w14:paraId="12697216" w14:textId="77777777" w:rsidR="00A56420" w:rsidRDefault="00A56420" w:rsidP="00A56420">
            <w:pPr>
              <w:pStyle w:val="af2"/>
              <w:spacing w:line="360" w:lineRule="auto"/>
              <w:ind w:left="375" w:firstLineChars="0" w:hanging="375"/>
              <w:rPr>
                <w:rFonts w:ascii="楷体" w:eastAsia="楷体" w:hAnsi="楷体" w:cs="楷体"/>
              </w:rPr>
            </w:pPr>
            <w:r>
              <w:rPr>
                <w:rFonts w:ascii="楷体" w:eastAsia="楷体" w:hAnsi="楷体" w:cs="楷体" w:hint="eastAsia"/>
                <w:b/>
                <w:sz w:val="24"/>
              </w:rPr>
              <w:t>5、上半年销售和加工业务毛利率下滑的主要原因是什么？</w:t>
            </w:r>
          </w:p>
          <w:p w14:paraId="724A6232" w14:textId="77777777" w:rsidR="00A56420" w:rsidRDefault="00A56420" w:rsidP="00A56420">
            <w:pPr>
              <w:spacing w:line="360" w:lineRule="auto"/>
              <w:rPr>
                <w:rFonts w:ascii="楷体" w:eastAsia="楷体" w:hAnsi="楷体" w:cs="楷体"/>
                <w:sz w:val="24"/>
              </w:rPr>
            </w:pPr>
            <w:r>
              <w:rPr>
                <w:rFonts w:ascii="楷体" w:eastAsia="楷体" w:hAnsi="楷体" w:cs="楷体" w:hint="eastAsia"/>
                <w:sz w:val="24"/>
                <w:lang w:val="en-US"/>
              </w:rPr>
              <w:t>尊敬的投资者您好！</w:t>
            </w:r>
            <w:r>
              <w:rPr>
                <w:rFonts w:ascii="楷体" w:eastAsia="楷体" w:hAnsi="楷体" w:cs="楷体" w:hint="eastAsia"/>
                <w:sz w:val="24"/>
              </w:rPr>
              <w:t>销售业务一直受贵金属原材料价格波动影响而导致毛利率波动较大，二季度价格波动较大在6月份，短期内成本还在高位，收入端对价格敏感下降较快，因此当期对销售业务毛利冲击很大。</w:t>
            </w:r>
          </w:p>
          <w:p w14:paraId="2AA61ED0" w14:textId="77777777" w:rsidR="00A56420" w:rsidRDefault="00A56420" w:rsidP="00A56420">
            <w:pPr>
              <w:spacing w:line="360" w:lineRule="auto"/>
              <w:rPr>
                <w:rFonts w:ascii="楷体" w:eastAsia="楷体" w:hAnsi="楷体" w:cs="楷体"/>
                <w:sz w:val="24"/>
              </w:rPr>
            </w:pPr>
            <w:r>
              <w:rPr>
                <w:rFonts w:ascii="楷体" w:eastAsia="楷体" w:hAnsi="楷体" w:cs="楷体" w:hint="eastAsia"/>
                <w:sz w:val="24"/>
              </w:rPr>
              <w:t>加工业务的毛利率一直相对稳定，在今年上半年出现加工业务毛利率较历史数据下滑，</w:t>
            </w:r>
            <w:r>
              <w:rPr>
                <w:rFonts w:ascii="楷体" w:eastAsia="楷体" w:hAnsi="楷体" w:cs="楷体" w:hint="eastAsia"/>
                <w:sz w:val="24"/>
                <w:lang w:val="en-US"/>
              </w:rPr>
              <w:t>主要系</w:t>
            </w:r>
            <w:r>
              <w:rPr>
                <w:rFonts w:ascii="楷体" w:eastAsia="楷体" w:hAnsi="楷体" w:cs="楷体" w:hint="eastAsia"/>
                <w:sz w:val="24"/>
              </w:rPr>
              <w:t>PVC无汞催化剂较上年同期减少了一百多吨，对整体的加工毛利水平影响很大。这个产品尚未在替换周期，影响是暂时的。</w:t>
            </w:r>
            <w:r>
              <w:rPr>
                <w:rFonts w:ascii="楷体" w:eastAsia="楷体" w:hAnsi="楷体" w:cs="楷体" w:hint="eastAsia"/>
                <w:sz w:val="24"/>
                <w:lang w:val="en-US"/>
              </w:rPr>
              <w:t>感谢您对公司的关注！</w:t>
            </w:r>
          </w:p>
          <w:p w14:paraId="41F8D4C6" w14:textId="77777777" w:rsidR="00A56420" w:rsidRDefault="00A56420" w:rsidP="00A56420">
            <w:pPr>
              <w:pStyle w:val="af2"/>
              <w:spacing w:line="360" w:lineRule="auto"/>
              <w:ind w:left="375" w:firstLineChars="0" w:hanging="375"/>
              <w:rPr>
                <w:rFonts w:ascii="楷体" w:eastAsia="楷体" w:hAnsi="楷体" w:cs="楷体"/>
              </w:rPr>
            </w:pPr>
            <w:r>
              <w:rPr>
                <w:rFonts w:ascii="楷体" w:eastAsia="楷体" w:hAnsi="楷体" w:cs="楷体" w:hint="eastAsia"/>
                <w:b/>
                <w:sz w:val="24"/>
              </w:rPr>
              <w:t>6、贵金属价格波动具体影响了多少利润？</w:t>
            </w:r>
          </w:p>
          <w:p w14:paraId="02078726" w14:textId="77777777" w:rsidR="00A56420" w:rsidRDefault="00A56420" w:rsidP="00A56420">
            <w:pPr>
              <w:spacing w:line="360" w:lineRule="auto"/>
              <w:rPr>
                <w:rFonts w:ascii="楷体" w:eastAsia="楷体" w:hAnsi="楷体" w:cs="楷体"/>
              </w:rPr>
            </w:pPr>
            <w:r>
              <w:rPr>
                <w:rFonts w:ascii="楷体" w:eastAsia="楷体" w:hAnsi="楷体" w:cs="楷体" w:hint="eastAsia"/>
                <w:sz w:val="24"/>
                <w:lang w:val="en-US"/>
              </w:rPr>
              <w:t>尊敬的投资者您好！</w:t>
            </w:r>
            <w:r>
              <w:rPr>
                <w:rFonts w:ascii="楷体" w:eastAsia="楷体" w:hAnsi="楷体" w:cs="楷体" w:hint="eastAsia"/>
                <w:sz w:val="24"/>
              </w:rPr>
              <w:t>半年度计提存货跌价准备累计两千四百多万，这部分对利润直接产生影响。</w:t>
            </w:r>
            <w:r>
              <w:rPr>
                <w:rFonts w:ascii="楷体" w:eastAsia="楷体" w:hAnsi="楷体" w:cs="楷体" w:hint="eastAsia"/>
                <w:sz w:val="24"/>
                <w:lang w:val="en-US"/>
              </w:rPr>
              <w:t>感谢您对公司的关注！</w:t>
            </w:r>
          </w:p>
          <w:p w14:paraId="75D880C3" w14:textId="77777777" w:rsidR="00A56420" w:rsidRDefault="00A56420" w:rsidP="00A56420">
            <w:pPr>
              <w:pStyle w:val="af2"/>
              <w:spacing w:line="360" w:lineRule="auto"/>
              <w:ind w:left="375" w:firstLineChars="0" w:hanging="375"/>
              <w:rPr>
                <w:rFonts w:ascii="楷体" w:eastAsia="楷体" w:hAnsi="楷体" w:cs="楷体"/>
              </w:rPr>
            </w:pPr>
            <w:r>
              <w:rPr>
                <w:rFonts w:ascii="楷体" w:eastAsia="楷体" w:hAnsi="楷体" w:cs="楷体" w:hint="eastAsia"/>
                <w:b/>
                <w:sz w:val="24"/>
              </w:rPr>
              <w:t>7、上半年精细化工（医药、农药）收入增速快但未体现在利润端，是否是行业竞争激烈导致订单质量下降？</w:t>
            </w:r>
          </w:p>
          <w:p w14:paraId="0DD0AF62" w14:textId="77777777" w:rsidR="00A56420" w:rsidRDefault="00A56420" w:rsidP="00A56420">
            <w:pPr>
              <w:spacing w:line="360" w:lineRule="auto"/>
              <w:rPr>
                <w:rFonts w:ascii="楷体" w:eastAsia="楷体" w:hAnsi="楷体" w:cs="楷体"/>
              </w:rPr>
            </w:pPr>
            <w:r>
              <w:rPr>
                <w:rFonts w:ascii="楷体" w:eastAsia="楷体" w:hAnsi="楷体" w:cs="楷体" w:hint="eastAsia"/>
                <w:sz w:val="24"/>
                <w:lang w:val="en-US"/>
              </w:rPr>
              <w:t>尊敬的投资者您好！</w:t>
            </w:r>
            <w:r>
              <w:rPr>
                <w:rFonts w:ascii="楷体" w:eastAsia="楷体" w:hAnsi="楷体" w:cs="楷体" w:hint="eastAsia"/>
                <w:sz w:val="24"/>
              </w:rPr>
              <w:t>报告期，公司在精细化工领域（医药、化工新材料、农药、染料、颜料、香精香料、食品添加剂等）收入较上年同期增长105.19%，其中医药板块收入同比增长122.60%。主要因为报告期内，公司持续推进炭载贵金属催化剂的等效减量、迭代升级、降本增效等研究工作；精细化工用均相贵金属催化剂等多个产品实现性能迭代，多个新产品形成批量销售，持续巩固提升了公司产品的市场竞争力。医药板块增长主要是下游大健康需求提升，新药研发、品质升级需求增加，公司从研发阶段就配套下游企业，下游产品放量带动催化剂销量提升，不存在订单质量下降的情</w:t>
            </w:r>
            <w:r>
              <w:rPr>
                <w:rFonts w:ascii="楷体" w:eastAsia="楷体" w:hAnsi="楷体" w:cs="楷体" w:hint="eastAsia"/>
                <w:sz w:val="24"/>
              </w:rPr>
              <w:lastRenderedPageBreak/>
              <w:t>况。</w:t>
            </w:r>
            <w:r>
              <w:rPr>
                <w:rFonts w:ascii="楷体" w:eastAsia="楷体" w:hAnsi="楷体" w:cs="楷体" w:hint="eastAsia"/>
                <w:sz w:val="24"/>
                <w:lang w:val="en-US"/>
              </w:rPr>
              <w:t>感谢您对公司的关注！</w:t>
            </w:r>
          </w:p>
          <w:p w14:paraId="19E4F46E" w14:textId="77777777" w:rsidR="00A56420" w:rsidRDefault="00A56420" w:rsidP="00A56420">
            <w:pPr>
              <w:pStyle w:val="af2"/>
              <w:spacing w:line="360" w:lineRule="auto"/>
              <w:ind w:left="375" w:firstLineChars="0" w:hanging="375"/>
              <w:rPr>
                <w:rFonts w:ascii="楷体" w:eastAsia="楷体" w:hAnsi="楷体" w:cs="楷体"/>
              </w:rPr>
            </w:pPr>
            <w:r>
              <w:rPr>
                <w:rFonts w:ascii="楷体" w:eastAsia="楷体" w:hAnsi="楷体" w:cs="楷体" w:hint="eastAsia"/>
                <w:b/>
                <w:sz w:val="24"/>
              </w:rPr>
              <w:t>8、请介绍公司具备潜力的在研项目、落地进展？</w:t>
            </w:r>
          </w:p>
          <w:p w14:paraId="7F81F1C7" w14:textId="77777777" w:rsidR="00A56420" w:rsidRDefault="00A56420" w:rsidP="00A56420">
            <w:pPr>
              <w:spacing w:line="360" w:lineRule="auto"/>
              <w:rPr>
                <w:rFonts w:ascii="楷体" w:eastAsia="楷体" w:hAnsi="楷体" w:cs="楷体"/>
              </w:rPr>
            </w:pPr>
            <w:r>
              <w:rPr>
                <w:rFonts w:ascii="楷体" w:eastAsia="楷体" w:hAnsi="楷体" w:cs="楷体" w:hint="eastAsia"/>
                <w:sz w:val="24"/>
                <w:lang w:val="en-US"/>
              </w:rPr>
              <w:t>尊敬的投资者您好！</w:t>
            </w:r>
            <w:r>
              <w:rPr>
                <w:rFonts w:ascii="楷体" w:eastAsia="楷体" w:hAnsi="楷体" w:cs="楷体" w:hint="eastAsia"/>
                <w:sz w:val="24"/>
              </w:rPr>
              <w:t>精细化工领域重点推进新型号催化剂研发、贵金属等效减量迭代升级，核心竞争力将持续提升；非贵金属催化剂布局逐步显现成效，基础化工领域加氢铜系、镍系催化剂取得技术突破；彬州基地将启动高端功能催化材料产业化项目，规划铜锡镍系等</w:t>
            </w:r>
            <w:r>
              <w:rPr>
                <w:rFonts w:ascii="楷体" w:eastAsia="楷体" w:hAnsi="楷体" w:cs="楷体" w:hint="eastAsia"/>
                <w:sz w:val="24"/>
                <w:lang w:val="en-US"/>
              </w:rPr>
              <w:t>2500</w:t>
            </w:r>
            <w:r>
              <w:rPr>
                <w:rFonts w:ascii="楷体" w:eastAsia="楷体" w:hAnsi="楷体" w:cs="楷体" w:hint="eastAsia"/>
                <w:sz w:val="24"/>
              </w:rPr>
              <w:t>多吨产能；乙烯法PVC铜系催化剂当前运行效果良好，有望2026年下半年或明年落地实现进口替代；烷烃脱氢两类工艺催化剂进展顺利，是未来重点布局领域；化工新材料领域多个新项目在实验室研发阶段，后续进展请关注信息披露。</w:t>
            </w:r>
            <w:r>
              <w:rPr>
                <w:rFonts w:ascii="楷体" w:eastAsia="楷体" w:hAnsi="楷体" w:cs="楷体" w:hint="eastAsia"/>
                <w:sz w:val="24"/>
                <w:lang w:val="en-US"/>
              </w:rPr>
              <w:t>感谢您对公司的关注！</w:t>
            </w:r>
          </w:p>
          <w:p w14:paraId="37256CFC" w14:textId="77777777" w:rsidR="00A56420" w:rsidRDefault="00A56420" w:rsidP="00A56420">
            <w:pPr>
              <w:pStyle w:val="af2"/>
              <w:spacing w:line="360" w:lineRule="auto"/>
              <w:ind w:left="375" w:firstLineChars="0" w:hanging="375"/>
              <w:rPr>
                <w:rFonts w:ascii="楷体" w:eastAsia="楷体" w:hAnsi="楷体" w:cs="楷体"/>
              </w:rPr>
            </w:pPr>
            <w:r>
              <w:rPr>
                <w:rFonts w:ascii="楷体" w:eastAsia="楷体" w:hAnsi="楷体" w:cs="楷体" w:hint="eastAsia"/>
                <w:b/>
                <w:sz w:val="24"/>
              </w:rPr>
              <w:t>9、请介绍固/液体氢化丁腈橡胶产品下游应用领域？</w:t>
            </w:r>
          </w:p>
          <w:p w14:paraId="31D2C59B" w14:textId="77777777" w:rsidR="00A56420" w:rsidRDefault="00A56420" w:rsidP="00A56420">
            <w:pPr>
              <w:spacing w:line="360" w:lineRule="auto"/>
              <w:rPr>
                <w:rFonts w:ascii="楷体" w:eastAsia="楷体" w:hAnsi="楷体" w:cs="楷体"/>
              </w:rPr>
            </w:pPr>
            <w:r>
              <w:rPr>
                <w:rFonts w:ascii="楷体" w:eastAsia="楷体" w:hAnsi="楷体" w:cs="楷体" w:hint="eastAsia"/>
                <w:sz w:val="24"/>
                <w:lang w:val="en-US"/>
              </w:rPr>
              <w:t>尊敬的投资者您好！</w:t>
            </w:r>
            <w:r>
              <w:rPr>
                <w:rFonts w:ascii="楷体" w:eastAsia="楷体" w:hAnsi="楷体" w:cs="楷体" w:hint="eastAsia"/>
                <w:sz w:val="24"/>
              </w:rPr>
              <w:t>氢化丁腈橡胶是公司向下游延伸的重点方向，属于高性能弹性体，固体氢化丁腈橡胶主要应用于高端密封、航空航天、油田、汽车传动带等领域。液体氢化丁腈橡胶为2026年新投产产品，已</w:t>
            </w:r>
            <w:r>
              <w:rPr>
                <w:rFonts w:ascii="楷体" w:eastAsia="楷体" w:hAnsi="楷体" w:cs="楷体" w:hint="eastAsia"/>
                <w:sz w:val="24"/>
                <w:lang w:val="en-US"/>
              </w:rPr>
              <w:t>成功</w:t>
            </w:r>
            <w:r>
              <w:rPr>
                <w:rFonts w:ascii="楷体" w:eastAsia="楷体" w:hAnsi="楷体" w:cs="楷体" w:hint="eastAsia"/>
                <w:sz w:val="24"/>
              </w:rPr>
              <w:t>应用至高端锂电领域，整体市场前景广阔。彬州氢化丁腈橡胶项目</w:t>
            </w:r>
            <w:r>
              <w:rPr>
                <w:rFonts w:ascii="楷体" w:eastAsia="楷体" w:hAnsi="楷体" w:cs="楷体" w:hint="eastAsia"/>
                <w:sz w:val="24"/>
                <w:lang w:val="en-US"/>
              </w:rPr>
              <w:t>规划</w:t>
            </w:r>
            <w:r>
              <w:rPr>
                <w:rFonts w:ascii="楷体" w:eastAsia="楷体" w:hAnsi="楷体" w:cs="楷体" w:hint="eastAsia"/>
                <w:sz w:val="24"/>
              </w:rPr>
              <w:t>一期1000吨产能，</w:t>
            </w:r>
            <w:r>
              <w:rPr>
                <w:rFonts w:ascii="楷体" w:eastAsia="楷体" w:hAnsi="楷体" w:cs="楷体" w:hint="eastAsia"/>
                <w:sz w:val="24"/>
                <w:lang w:val="en-US"/>
              </w:rPr>
              <w:t>随着</w:t>
            </w:r>
            <w:r>
              <w:rPr>
                <w:rFonts w:ascii="楷体" w:eastAsia="楷体" w:hAnsi="楷体" w:cs="楷体" w:hint="eastAsia"/>
                <w:sz w:val="24"/>
              </w:rPr>
              <w:t>当前产能逐步释放，后续盈利将逐步兑现。</w:t>
            </w:r>
            <w:r>
              <w:rPr>
                <w:rFonts w:ascii="楷体" w:eastAsia="楷体" w:hAnsi="楷体" w:cs="楷体" w:hint="eastAsia"/>
                <w:sz w:val="24"/>
                <w:lang w:val="en-US"/>
              </w:rPr>
              <w:t>感谢您对公司的关注！</w:t>
            </w:r>
          </w:p>
          <w:p w14:paraId="7DF39EC6" w14:textId="77777777" w:rsidR="00A56420" w:rsidRDefault="00A56420" w:rsidP="00A56420">
            <w:pPr>
              <w:pStyle w:val="af2"/>
              <w:spacing w:line="360" w:lineRule="auto"/>
              <w:ind w:firstLineChars="0" w:firstLine="0"/>
              <w:rPr>
                <w:rFonts w:ascii="楷体" w:eastAsia="楷体" w:hAnsi="楷体" w:cs="楷体"/>
              </w:rPr>
            </w:pPr>
            <w:r>
              <w:rPr>
                <w:rFonts w:ascii="楷体" w:eastAsia="楷体" w:hAnsi="楷体" w:cs="楷体" w:hint="eastAsia"/>
                <w:b/>
                <w:sz w:val="24"/>
              </w:rPr>
              <w:t>10、铜川基地的产能利用率及盈利情况？</w:t>
            </w:r>
          </w:p>
          <w:p w14:paraId="35300083" w14:textId="061F1F79" w:rsidR="008E66CE" w:rsidRDefault="00A56420" w:rsidP="00A56420">
            <w:pPr>
              <w:spacing w:line="360" w:lineRule="auto"/>
              <w:rPr>
                <w:rFonts w:ascii="楷体" w:eastAsia="楷体" w:hAnsi="楷体" w:cs="楷体"/>
                <w:sz w:val="24"/>
                <w:szCs w:val="24"/>
              </w:rPr>
            </w:pPr>
            <w:r>
              <w:rPr>
                <w:rFonts w:ascii="楷体" w:eastAsia="楷体" w:hAnsi="楷体" w:cs="楷体" w:hint="eastAsia"/>
                <w:sz w:val="24"/>
                <w:lang w:val="en-US"/>
              </w:rPr>
              <w:t>尊敬的投资者您好！</w:t>
            </w:r>
            <w:r>
              <w:rPr>
                <w:rFonts w:ascii="楷体" w:eastAsia="楷体" w:hAnsi="楷体" w:cs="楷体" w:hint="eastAsia"/>
                <w:sz w:val="24"/>
              </w:rPr>
              <w:t>当前铜川基地回收板块产能释放较多，催化剂板块正在推进新产品中试放大验证，新建多条示范产线推进实验室成果转化，后续产能将有效释放。PVC催化剂产能释放将根据国家无汞化政策、行业改造进度推进。上半年铜川基地实现营收</w:t>
            </w:r>
            <w:r>
              <w:rPr>
                <w:rFonts w:ascii="楷体" w:eastAsia="楷体" w:hAnsi="楷体" w:cs="楷体" w:hint="eastAsia"/>
                <w:sz w:val="24"/>
                <w:lang w:val="en-US"/>
              </w:rPr>
              <w:t>2</w:t>
            </w:r>
            <w:r>
              <w:rPr>
                <w:rFonts w:ascii="楷体" w:eastAsia="楷体" w:hAnsi="楷体" w:cs="楷体" w:hint="eastAsia"/>
                <w:sz w:val="24"/>
              </w:rPr>
              <w:t>.</w:t>
            </w:r>
            <w:r>
              <w:rPr>
                <w:rFonts w:ascii="楷体" w:eastAsia="楷体" w:hAnsi="楷体" w:cs="楷体" w:hint="eastAsia"/>
                <w:sz w:val="24"/>
                <w:lang w:val="en-US"/>
              </w:rPr>
              <w:t>86</w:t>
            </w:r>
            <w:r>
              <w:rPr>
                <w:rFonts w:ascii="楷体" w:eastAsia="楷体" w:hAnsi="楷体" w:cs="楷体" w:hint="eastAsia"/>
                <w:sz w:val="24"/>
              </w:rPr>
              <w:t>亿元，</w:t>
            </w:r>
            <w:r>
              <w:rPr>
                <w:rFonts w:ascii="楷体" w:eastAsia="楷体" w:hAnsi="楷体" w:cs="楷体" w:hint="eastAsia"/>
                <w:sz w:val="24"/>
                <w:lang w:val="en-US"/>
              </w:rPr>
              <w:t>净</w:t>
            </w:r>
            <w:r>
              <w:rPr>
                <w:rFonts w:ascii="楷体" w:eastAsia="楷体" w:hAnsi="楷体" w:cs="楷体" w:hint="eastAsia"/>
                <w:sz w:val="24"/>
              </w:rPr>
              <w:t>利润</w:t>
            </w:r>
            <w:r>
              <w:rPr>
                <w:rFonts w:ascii="楷体" w:eastAsia="楷体" w:hAnsi="楷体" w:cs="楷体" w:hint="eastAsia"/>
                <w:sz w:val="24"/>
                <w:lang w:val="en-US"/>
              </w:rPr>
              <w:t>663.69万元，</w:t>
            </w:r>
            <w:r>
              <w:rPr>
                <w:rFonts w:ascii="楷体" w:eastAsia="楷体" w:hAnsi="楷体" w:cs="楷体" w:hint="eastAsia"/>
                <w:sz w:val="24"/>
              </w:rPr>
              <w:t>运营情况良好。</w:t>
            </w:r>
            <w:r>
              <w:rPr>
                <w:rFonts w:ascii="楷体" w:eastAsia="楷体" w:hAnsi="楷体" w:cs="楷体" w:hint="eastAsia"/>
                <w:sz w:val="24"/>
                <w:lang w:val="en-US"/>
              </w:rPr>
              <w:t>感谢您对公司的关注！</w:t>
            </w:r>
          </w:p>
        </w:tc>
      </w:tr>
      <w:tr w:rsidR="008E66CE" w14:paraId="34158B21" w14:textId="77777777">
        <w:trPr>
          <w:trHeight w:val="558"/>
          <w:jc w:val="center"/>
        </w:trPr>
        <w:tc>
          <w:tcPr>
            <w:tcW w:w="1555" w:type="dxa"/>
            <w:vAlign w:val="center"/>
          </w:tcPr>
          <w:p w14:paraId="6919A62E" w14:textId="77777777" w:rsidR="008E66CE" w:rsidRDefault="00D22203">
            <w:pPr>
              <w:pStyle w:val="TableParagraph"/>
              <w:spacing w:before="1" w:line="360" w:lineRule="auto"/>
              <w:ind w:firstLineChars="100" w:firstLine="210"/>
              <w:rPr>
                <w:rFonts w:ascii="楷体" w:eastAsia="楷体" w:hAnsi="楷体" w:cs="楷体"/>
                <w:sz w:val="21"/>
                <w:szCs w:val="21"/>
              </w:rPr>
            </w:pPr>
            <w:r>
              <w:rPr>
                <w:rFonts w:ascii="楷体" w:eastAsia="楷体" w:hAnsi="楷体" w:cs="楷体" w:hint="eastAsia"/>
                <w:sz w:val="21"/>
                <w:szCs w:val="21"/>
              </w:rPr>
              <w:lastRenderedPageBreak/>
              <w:t>日期</w:t>
            </w:r>
          </w:p>
        </w:tc>
        <w:tc>
          <w:tcPr>
            <w:tcW w:w="9072" w:type="dxa"/>
            <w:gridSpan w:val="4"/>
            <w:vAlign w:val="center"/>
          </w:tcPr>
          <w:p w14:paraId="180933D1" w14:textId="77777777" w:rsidR="008E66CE" w:rsidRDefault="00D22203">
            <w:pPr>
              <w:pStyle w:val="TableParagraph"/>
              <w:spacing w:line="360" w:lineRule="auto"/>
              <w:rPr>
                <w:rFonts w:ascii="楷体" w:eastAsia="楷体" w:hAnsi="楷体" w:cs="楷体"/>
                <w:b/>
                <w:sz w:val="21"/>
                <w:szCs w:val="21"/>
              </w:rPr>
            </w:pPr>
            <w:r>
              <w:rPr>
                <w:rFonts w:ascii="楷体" w:eastAsia="楷体" w:hAnsi="楷体" w:cs="楷体" w:hint="eastAsia"/>
                <w:b/>
                <w:sz w:val="21"/>
                <w:szCs w:val="21"/>
              </w:rPr>
              <w:t>202</w:t>
            </w:r>
            <w:r>
              <w:rPr>
                <w:rFonts w:ascii="楷体" w:eastAsia="楷体" w:hAnsi="楷体" w:cs="楷体" w:hint="eastAsia"/>
                <w:b/>
                <w:sz w:val="21"/>
                <w:szCs w:val="21"/>
                <w:lang w:val="en-US"/>
              </w:rPr>
              <w:t>6</w:t>
            </w:r>
            <w:r>
              <w:rPr>
                <w:rFonts w:ascii="楷体" w:eastAsia="楷体" w:hAnsi="楷体" w:cs="楷体" w:hint="eastAsia"/>
                <w:b/>
                <w:sz w:val="21"/>
                <w:szCs w:val="21"/>
              </w:rPr>
              <w:t>年</w:t>
            </w:r>
            <w:r>
              <w:rPr>
                <w:rFonts w:ascii="楷体" w:eastAsia="楷体" w:hAnsi="楷体" w:cs="楷体" w:hint="eastAsia"/>
                <w:b/>
                <w:sz w:val="21"/>
                <w:szCs w:val="21"/>
                <w:lang w:val="en-US"/>
              </w:rPr>
              <w:t>8</w:t>
            </w:r>
            <w:r>
              <w:rPr>
                <w:rFonts w:ascii="楷体" w:eastAsia="楷体" w:hAnsi="楷体" w:cs="楷体" w:hint="eastAsia"/>
                <w:b/>
                <w:sz w:val="21"/>
                <w:szCs w:val="21"/>
              </w:rPr>
              <w:t>月</w:t>
            </w:r>
            <w:r>
              <w:rPr>
                <w:rFonts w:ascii="楷体" w:eastAsia="楷体" w:hAnsi="楷体" w:cs="楷体" w:hint="eastAsia"/>
                <w:b/>
                <w:sz w:val="21"/>
                <w:szCs w:val="21"/>
                <w:lang w:val="en-US"/>
              </w:rPr>
              <w:t>31</w:t>
            </w:r>
            <w:r>
              <w:rPr>
                <w:rFonts w:ascii="楷体" w:eastAsia="楷体" w:hAnsi="楷体" w:cs="楷体" w:hint="eastAsia"/>
                <w:b/>
                <w:sz w:val="21"/>
                <w:szCs w:val="21"/>
              </w:rPr>
              <w:t>日</w:t>
            </w:r>
          </w:p>
        </w:tc>
      </w:tr>
    </w:tbl>
    <w:p w14:paraId="7FF740F9" w14:textId="77777777" w:rsidR="008E66CE" w:rsidRDefault="008E66CE">
      <w:pPr>
        <w:spacing w:line="360" w:lineRule="auto"/>
        <w:rPr>
          <w:rFonts w:ascii="楷体" w:eastAsia="楷体" w:hAnsi="楷体"/>
          <w:sz w:val="21"/>
          <w:szCs w:val="21"/>
        </w:rPr>
      </w:pPr>
    </w:p>
    <w:sectPr w:rsidR="008E66C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9B930" w14:textId="77777777" w:rsidR="00D22203" w:rsidRDefault="00D22203" w:rsidP="00A56420">
      <w:r>
        <w:separator/>
      </w:r>
    </w:p>
  </w:endnote>
  <w:endnote w:type="continuationSeparator" w:id="0">
    <w:p w14:paraId="6F344FE7" w14:textId="77777777" w:rsidR="00D22203" w:rsidRDefault="00D22203" w:rsidP="00A5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92751" w14:textId="77777777" w:rsidR="00D22203" w:rsidRDefault="00D22203" w:rsidP="00A56420">
      <w:r>
        <w:separator/>
      </w:r>
    </w:p>
  </w:footnote>
  <w:footnote w:type="continuationSeparator" w:id="0">
    <w:p w14:paraId="6E473964" w14:textId="77777777" w:rsidR="00D22203" w:rsidRDefault="00D22203" w:rsidP="00A564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E9E20F"/>
    <w:multiLevelType w:val="singleLevel"/>
    <w:tmpl w:val="76E9E20F"/>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36F"/>
    <w:rsid w:val="00011670"/>
    <w:rsid w:val="000178F0"/>
    <w:rsid w:val="00055688"/>
    <w:rsid w:val="00061B78"/>
    <w:rsid w:val="00061BB0"/>
    <w:rsid w:val="00093AC2"/>
    <w:rsid w:val="000966D1"/>
    <w:rsid w:val="000A1631"/>
    <w:rsid w:val="000D447D"/>
    <w:rsid w:val="000D6826"/>
    <w:rsid w:val="000E5AB8"/>
    <w:rsid w:val="000E72FB"/>
    <w:rsid w:val="00134781"/>
    <w:rsid w:val="00143CEC"/>
    <w:rsid w:val="00160C83"/>
    <w:rsid w:val="00167490"/>
    <w:rsid w:val="00171ADE"/>
    <w:rsid w:val="001835A4"/>
    <w:rsid w:val="001A3364"/>
    <w:rsid w:val="001A3FF5"/>
    <w:rsid w:val="001A721D"/>
    <w:rsid w:val="001F5F33"/>
    <w:rsid w:val="00251C10"/>
    <w:rsid w:val="00252A93"/>
    <w:rsid w:val="002C10DD"/>
    <w:rsid w:val="002D472E"/>
    <w:rsid w:val="002E6221"/>
    <w:rsid w:val="00326583"/>
    <w:rsid w:val="00326730"/>
    <w:rsid w:val="00333C1D"/>
    <w:rsid w:val="00336E1D"/>
    <w:rsid w:val="003564D2"/>
    <w:rsid w:val="00367934"/>
    <w:rsid w:val="00395614"/>
    <w:rsid w:val="003A6ABF"/>
    <w:rsid w:val="003C1F4A"/>
    <w:rsid w:val="003D64B7"/>
    <w:rsid w:val="00401DB9"/>
    <w:rsid w:val="004044E3"/>
    <w:rsid w:val="0040590F"/>
    <w:rsid w:val="004331D2"/>
    <w:rsid w:val="004539EA"/>
    <w:rsid w:val="0045715B"/>
    <w:rsid w:val="00464307"/>
    <w:rsid w:val="00475891"/>
    <w:rsid w:val="00477563"/>
    <w:rsid w:val="0048028B"/>
    <w:rsid w:val="004C6CA6"/>
    <w:rsid w:val="004C7D68"/>
    <w:rsid w:val="004D0D94"/>
    <w:rsid w:val="004D183F"/>
    <w:rsid w:val="004D23D0"/>
    <w:rsid w:val="004D2A4D"/>
    <w:rsid w:val="004E07B3"/>
    <w:rsid w:val="004E0AA9"/>
    <w:rsid w:val="004E3FFD"/>
    <w:rsid w:val="004E45B9"/>
    <w:rsid w:val="00510CBF"/>
    <w:rsid w:val="00527F6F"/>
    <w:rsid w:val="00533628"/>
    <w:rsid w:val="005368B0"/>
    <w:rsid w:val="00536944"/>
    <w:rsid w:val="005840EB"/>
    <w:rsid w:val="00585BDB"/>
    <w:rsid w:val="00596F15"/>
    <w:rsid w:val="005B0336"/>
    <w:rsid w:val="005B5296"/>
    <w:rsid w:val="005E739B"/>
    <w:rsid w:val="005F3E44"/>
    <w:rsid w:val="00606047"/>
    <w:rsid w:val="00611CEE"/>
    <w:rsid w:val="00627138"/>
    <w:rsid w:val="00631B5A"/>
    <w:rsid w:val="00633734"/>
    <w:rsid w:val="00634829"/>
    <w:rsid w:val="006369D2"/>
    <w:rsid w:val="00646396"/>
    <w:rsid w:val="00662097"/>
    <w:rsid w:val="00665503"/>
    <w:rsid w:val="0067096F"/>
    <w:rsid w:val="006740BE"/>
    <w:rsid w:val="00695D7B"/>
    <w:rsid w:val="006A3389"/>
    <w:rsid w:val="006B61AA"/>
    <w:rsid w:val="006C1B2C"/>
    <w:rsid w:val="006C2111"/>
    <w:rsid w:val="006C6736"/>
    <w:rsid w:val="006D3064"/>
    <w:rsid w:val="006F4D0B"/>
    <w:rsid w:val="00705C9E"/>
    <w:rsid w:val="00707F28"/>
    <w:rsid w:val="00714354"/>
    <w:rsid w:val="00720275"/>
    <w:rsid w:val="007240CB"/>
    <w:rsid w:val="00730927"/>
    <w:rsid w:val="0074241D"/>
    <w:rsid w:val="00786C47"/>
    <w:rsid w:val="007B420B"/>
    <w:rsid w:val="007B75C2"/>
    <w:rsid w:val="007C077D"/>
    <w:rsid w:val="007D6DCC"/>
    <w:rsid w:val="007F14AC"/>
    <w:rsid w:val="008567EC"/>
    <w:rsid w:val="00873F21"/>
    <w:rsid w:val="00877DBA"/>
    <w:rsid w:val="0088319B"/>
    <w:rsid w:val="0088747B"/>
    <w:rsid w:val="008912E3"/>
    <w:rsid w:val="008918B9"/>
    <w:rsid w:val="00897583"/>
    <w:rsid w:val="008C23C6"/>
    <w:rsid w:val="008C5B25"/>
    <w:rsid w:val="008E66CE"/>
    <w:rsid w:val="008F5E6F"/>
    <w:rsid w:val="009238F3"/>
    <w:rsid w:val="009247F2"/>
    <w:rsid w:val="00951859"/>
    <w:rsid w:val="00972327"/>
    <w:rsid w:val="00972544"/>
    <w:rsid w:val="009766F9"/>
    <w:rsid w:val="009B346A"/>
    <w:rsid w:val="009B5B8B"/>
    <w:rsid w:val="009D559B"/>
    <w:rsid w:val="009E3E70"/>
    <w:rsid w:val="009E6301"/>
    <w:rsid w:val="00A25340"/>
    <w:rsid w:val="00A367F0"/>
    <w:rsid w:val="00A526F3"/>
    <w:rsid w:val="00A56420"/>
    <w:rsid w:val="00A85802"/>
    <w:rsid w:val="00A973D5"/>
    <w:rsid w:val="00AC1322"/>
    <w:rsid w:val="00AD6818"/>
    <w:rsid w:val="00AF3164"/>
    <w:rsid w:val="00B02010"/>
    <w:rsid w:val="00B14D45"/>
    <w:rsid w:val="00B21C28"/>
    <w:rsid w:val="00B4147F"/>
    <w:rsid w:val="00B57FDB"/>
    <w:rsid w:val="00B61258"/>
    <w:rsid w:val="00B658CA"/>
    <w:rsid w:val="00B666AD"/>
    <w:rsid w:val="00B94DE4"/>
    <w:rsid w:val="00B970EA"/>
    <w:rsid w:val="00B97F2A"/>
    <w:rsid w:val="00BE063F"/>
    <w:rsid w:val="00BF4527"/>
    <w:rsid w:val="00BF723E"/>
    <w:rsid w:val="00C07CE4"/>
    <w:rsid w:val="00C125EF"/>
    <w:rsid w:val="00C13B54"/>
    <w:rsid w:val="00C52546"/>
    <w:rsid w:val="00C52BFF"/>
    <w:rsid w:val="00C7114F"/>
    <w:rsid w:val="00C860A1"/>
    <w:rsid w:val="00C92825"/>
    <w:rsid w:val="00CA5800"/>
    <w:rsid w:val="00CB6E7A"/>
    <w:rsid w:val="00CC32A6"/>
    <w:rsid w:val="00D22203"/>
    <w:rsid w:val="00D34FB7"/>
    <w:rsid w:val="00D436EE"/>
    <w:rsid w:val="00D4636F"/>
    <w:rsid w:val="00D51529"/>
    <w:rsid w:val="00D92340"/>
    <w:rsid w:val="00D93CE1"/>
    <w:rsid w:val="00D957C8"/>
    <w:rsid w:val="00DB0130"/>
    <w:rsid w:val="00DE00FE"/>
    <w:rsid w:val="00DE7D57"/>
    <w:rsid w:val="00DF4184"/>
    <w:rsid w:val="00E10BAF"/>
    <w:rsid w:val="00E22803"/>
    <w:rsid w:val="00E23B14"/>
    <w:rsid w:val="00E268F7"/>
    <w:rsid w:val="00E45D7B"/>
    <w:rsid w:val="00E61C39"/>
    <w:rsid w:val="00E627D4"/>
    <w:rsid w:val="00E910D8"/>
    <w:rsid w:val="00E92D40"/>
    <w:rsid w:val="00EC0E21"/>
    <w:rsid w:val="00ED009B"/>
    <w:rsid w:val="00EE0A62"/>
    <w:rsid w:val="00EE6E66"/>
    <w:rsid w:val="00F066A6"/>
    <w:rsid w:val="00F10E8E"/>
    <w:rsid w:val="00F20A7E"/>
    <w:rsid w:val="00F23EB9"/>
    <w:rsid w:val="00F43AE6"/>
    <w:rsid w:val="00F46B72"/>
    <w:rsid w:val="00F5706B"/>
    <w:rsid w:val="00F62EA2"/>
    <w:rsid w:val="00F86DC5"/>
    <w:rsid w:val="00FA1E9A"/>
    <w:rsid w:val="00FC036C"/>
    <w:rsid w:val="00FE63DA"/>
    <w:rsid w:val="00FF1A27"/>
    <w:rsid w:val="03E97FA0"/>
    <w:rsid w:val="03FE383E"/>
    <w:rsid w:val="06DB08CB"/>
    <w:rsid w:val="088766C0"/>
    <w:rsid w:val="08ED1A4F"/>
    <w:rsid w:val="10302F3B"/>
    <w:rsid w:val="10FD7D68"/>
    <w:rsid w:val="127754F6"/>
    <w:rsid w:val="148443FC"/>
    <w:rsid w:val="1580455F"/>
    <w:rsid w:val="190938C6"/>
    <w:rsid w:val="1A077661"/>
    <w:rsid w:val="1A6F7E20"/>
    <w:rsid w:val="1B3A75C2"/>
    <w:rsid w:val="1B440441"/>
    <w:rsid w:val="1D882867"/>
    <w:rsid w:val="1FD251AF"/>
    <w:rsid w:val="22DD18A7"/>
    <w:rsid w:val="27003DB6"/>
    <w:rsid w:val="27C00037"/>
    <w:rsid w:val="2A201526"/>
    <w:rsid w:val="2B746B21"/>
    <w:rsid w:val="2EA43279"/>
    <w:rsid w:val="35EF127D"/>
    <w:rsid w:val="36607E95"/>
    <w:rsid w:val="38787C50"/>
    <w:rsid w:val="3A053765"/>
    <w:rsid w:val="3B9D177C"/>
    <w:rsid w:val="3D6B373C"/>
    <w:rsid w:val="420365F8"/>
    <w:rsid w:val="42497589"/>
    <w:rsid w:val="43010842"/>
    <w:rsid w:val="43D2655C"/>
    <w:rsid w:val="441C2919"/>
    <w:rsid w:val="44DC1567"/>
    <w:rsid w:val="4A2445C6"/>
    <w:rsid w:val="4CB933D5"/>
    <w:rsid w:val="4CCC0E43"/>
    <w:rsid w:val="4D615438"/>
    <w:rsid w:val="4EE74D90"/>
    <w:rsid w:val="4F5C0865"/>
    <w:rsid w:val="4FB437DA"/>
    <w:rsid w:val="51297EBA"/>
    <w:rsid w:val="52AA11D3"/>
    <w:rsid w:val="54BB5DC5"/>
    <w:rsid w:val="54F8584D"/>
    <w:rsid w:val="552D243F"/>
    <w:rsid w:val="599B2CFB"/>
    <w:rsid w:val="59B70439"/>
    <w:rsid w:val="5DDE364A"/>
    <w:rsid w:val="5ECB647C"/>
    <w:rsid w:val="64283A29"/>
    <w:rsid w:val="64E536C8"/>
    <w:rsid w:val="65D26342"/>
    <w:rsid w:val="68F6143E"/>
    <w:rsid w:val="68FA3C61"/>
    <w:rsid w:val="6C317CEF"/>
    <w:rsid w:val="70270BF5"/>
    <w:rsid w:val="70593DEA"/>
    <w:rsid w:val="71BC3A02"/>
    <w:rsid w:val="756F0752"/>
    <w:rsid w:val="75B90985"/>
    <w:rsid w:val="75E063F8"/>
    <w:rsid w:val="75E67B42"/>
    <w:rsid w:val="77205ABA"/>
    <w:rsid w:val="794767E7"/>
    <w:rsid w:val="7A6A04A0"/>
    <w:rsid w:val="7AE10A11"/>
    <w:rsid w:val="7B1E128A"/>
    <w:rsid w:val="7FE75AE8"/>
    <w:rsid w:val="7FF94733"/>
    <w:rsid w:val="7FFB0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D6A8BE-2E25-4524-AFCB-E23DAC0E6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style>
  <w:style w:type="paragraph" w:styleId="a5">
    <w:name w:val="Body Text"/>
    <w:basedOn w:val="a"/>
    <w:link w:val="a6"/>
    <w:uiPriority w:val="1"/>
    <w:qFormat/>
    <w:pPr>
      <w:ind w:left="220"/>
    </w:pPr>
    <w:rPr>
      <w:sz w:val="32"/>
      <w:szCs w:val="32"/>
    </w:r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widowControl/>
      <w:autoSpaceDE/>
      <w:autoSpaceDN/>
      <w:spacing w:before="100" w:beforeAutospacing="1" w:after="100" w:afterAutospacing="1"/>
    </w:pPr>
    <w:rPr>
      <w:rFonts w:ascii="宋体" w:eastAsia="宋体" w:hAnsi="宋体" w:cs="宋体"/>
      <w:sz w:val="24"/>
      <w:szCs w:val="24"/>
      <w:lang w:val="en-US" w:bidi="ar-SA"/>
    </w:rPr>
  </w:style>
  <w:style w:type="paragraph" w:styleId="ae">
    <w:name w:val="annotation subject"/>
    <w:basedOn w:val="a3"/>
    <w:next w:val="a3"/>
    <w:link w:val="af"/>
    <w:uiPriority w:val="99"/>
    <w:unhideWhenUsed/>
    <w:qFormat/>
    <w:rPr>
      <w:b/>
      <w:bCs/>
    </w:rPr>
  </w:style>
  <w:style w:type="character" w:styleId="af0">
    <w:name w:val="annotation reference"/>
    <w:basedOn w:val="a0"/>
    <w:uiPriority w:val="99"/>
    <w:unhideWhenUsed/>
    <w:qFormat/>
    <w:rPr>
      <w:sz w:val="21"/>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6">
    <w:name w:val="正文文本 字符"/>
    <w:basedOn w:val="a0"/>
    <w:link w:val="a5"/>
    <w:uiPriority w:val="1"/>
    <w:qFormat/>
    <w:rPr>
      <w:rFonts w:ascii="仿宋" w:eastAsia="仿宋" w:hAnsi="仿宋" w:cs="仿宋"/>
      <w:kern w:val="0"/>
      <w:sz w:val="32"/>
      <w:szCs w:val="32"/>
      <w:lang w:val="zh-CN" w:bidi="zh-CN"/>
    </w:rPr>
  </w:style>
  <w:style w:type="paragraph" w:customStyle="1" w:styleId="TableParagraph">
    <w:name w:val="Table Paragraph"/>
    <w:basedOn w:val="a"/>
    <w:uiPriority w:val="1"/>
    <w:qFormat/>
  </w:style>
  <w:style w:type="paragraph" w:customStyle="1" w:styleId="1">
    <w:name w:val="列出段落1"/>
    <w:basedOn w:val="a"/>
    <w:uiPriority w:val="34"/>
    <w:qFormat/>
    <w:pPr>
      <w:autoSpaceDE/>
      <w:autoSpaceDN/>
      <w:ind w:firstLineChars="200" w:firstLine="420"/>
      <w:jc w:val="both"/>
    </w:pPr>
    <w:rPr>
      <w:rFonts w:asciiTheme="minorHAnsi" w:eastAsiaTheme="minorEastAsia" w:hAnsiTheme="minorHAnsi" w:cstheme="minorBidi"/>
      <w:kern w:val="2"/>
      <w:sz w:val="21"/>
      <w:lang w:val="en-US" w:bidi="ar-SA"/>
    </w:rPr>
  </w:style>
  <w:style w:type="character" w:customStyle="1" w:styleId="a4">
    <w:name w:val="批注文字 字符"/>
    <w:basedOn w:val="a0"/>
    <w:link w:val="a3"/>
    <w:uiPriority w:val="99"/>
    <w:qFormat/>
    <w:rPr>
      <w:rFonts w:ascii="仿宋" w:eastAsia="仿宋" w:hAnsi="仿宋" w:cs="仿宋"/>
      <w:kern w:val="0"/>
      <w:sz w:val="22"/>
      <w:lang w:val="zh-CN" w:bidi="zh-CN"/>
    </w:rPr>
  </w:style>
  <w:style w:type="character" w:customStyle="1" w:styleId="af">
    <w:name w:val="批注主题 字符"/>
    <w:basedOn w:val="a4"/>
    <w:link w:val="ae"/>
    <w:uiPriority w:val="99"/>
    <w:semiHidden/>
    <w:qFormat/>
    <w:rPr>
      <w:rFonts w:ascii="仿宋" w:eastAsia="仿宋" w:hAnsi="仿宋" w:cs="仿宋"/>
      <w:b/>
      <w:bCs/>
      <w:kern w:val="0"/>
      <w:sz w:val="22"/>
      <w:lang w:val="zh-CN" w:bidi="zh-CN"/>
    </w:rPr>
  </w:style>
  <w:style w:type="character" w:customStyle="1" w:styleId="a8">
    <w:name w:val="批注框文本 字符"/>
    <w:basedOn w:val="a0"/>
    <w:link w:val="a7"/>
    <w:uiPriority w:val="99"/>
    <w:semiHidden/>
    <w:qFormat/>
    <w:rPr>
      <w:rFonts w:ascii="仿宋" w:eastAsia="仿宋" w:hAnsi="仿宋" w:cs="仿宋"/>
      <w:kern w:val="0"/>
      <w:sz w:val="18"/>
      <w:szCs w:val="18"/>
      <w:lang w:val="zh-CN" w:bidi="zh-CN"/>
    </w:rPr>
  </w:style>
  <w:style w:type="paragraph" w:customStyle="1" w:styleId="10">
    <w:name w:val="修订1"/>
    <w:hidden/>
    <w:uiPriority w:val="99"/>
    <w:semiHidden/>
    <w:qFormat/>
    <w:rPr>
      <w:rFonts w:ascii="仿宋" w:eastAsia="仿宋" w:hAnsi="仿宋" w:cs="仿宋"/>
      <w:sz w:val="22"/>
      <w:szCs w:val="22"/>
      <w:lang w:val="zh-CN" w:bidi="zh-CN"/>
    </w:rPr>
  </w:style>
  <w:style w:type="character" w:customStyle="1" w:styleId="005Char">
    <w:name w:val="005正文 Char"/>
    <w:link w:val="005"/>
    <w:qFormat/>
    <w:rPr>
      <w:rFonts w:ascii="Times New Roman" w:eastAsia="宋体" w:hAnsi="Times New Roman" w:cs="Times New Roman"/>
      <w:sz w:val="24"/>
    </w:rPr>
  </w:style>
  <w:style w:type="paragraph" w:customStyle="1" w:styleId="005">
    <w:name w:val="005正文"/>
    <w:basedOn w:val="a"/>
    <w:link w:val="005Char"/>
    <w:qFormat/>
    <w:pPr>
      <w:autoSpaceDE/>
      <w:autoSpaceDN/>
      <w:spacing w:line="360" w:lineRule="auto"/>
      <w:ind w:firstLineChars="200" w:firstLine="200"/>
      <w:jc w:val="both"/>
    </w:pPr>
    <w:rPr>
      <w:rFonts w:ascii="Times New Roman" w:eastAsia="宋体" w:hAnsi="Times New Roman" w:cs="Times New Roman"/>
      <w:kern w:val="2"/>
      <w:sz w:val="24"/>
      <w:lang w:val="en-US" w:bidi="ar-SA"/>
    </w:rPr>
  </w:style>
  <w:style w:type="paragraph" w:customStyle="1" w:styleId="2">
    <w:name w:val="列出段落2"/>
    <w:basedOn w:val="a"/>
    <w:link w:val="af1"/>
    <w:uiPriority w:val="34"/>
    <w:qFormat/>
    <w:pPr>
      <w:autoSpaceDE/>
      <w:autoSpaceDN/>
      <w:ind w:firstLineChars="200" w:firstLine="420"/>
      <w:jc w:val="both"/>
    </w:pPr>
    <w:rPr>
      <w:rFonts w:asciiTheme="minorHAnsi" w:eastAsiaTheme="minorEastAsia" w:hAnsiTheme="minorHAnsi" w:cstheme="minorBidi"/>
      <w:kern w:val="2"/>
      <w:sz w:val="21"/>
      <w:lang w:val="en-US" w:bidi="ar-SA"/>
    </w:rPr>
  </w:style>
  <w:style w:type="character" w:customStyle="1" w:styleId="af1">
    <w:name w:val="列出段落 字符"/>
    <w:link w:val="2"/>
    <w:uiPriority w:val="34"/>
    <w:qFormat/>
    <w:locked/>
  </w:style>
  <w:style w:type="paragraph" w:customStyle="1" w:styleId="11">
    <w:name w:val="列表段落1"/>
    <w:basedOn w:val="a"/>
    <w:uiPriority w:val="34"/>
    <w:qFormat/>
    <w:pPr>
      <w:autoSpaceDE/>
      <w:autoSpaceDN/>
      <w:ind w:firstLineChars="200" w:firstLine="420"/>
      <w:jc w:val="both"/>
    </w:pPr>
    <w:rPr>
      <w:rFonts w:asciiTheme="minorHAnsi" w:eastAsiaTheme="minorEastAsia" w:hAnsiTheme="minorHAnsi" w:cstheme="minorBidi"/>
      <w:kern w:val="2"/>
      <w:sz w:val="21"/>
      <w:lang w:val="en-US" w:bidi="ar-SA"/>
    </w:rPr>
  </w:style>
  <w:style w:type="character" w:customStyle="1" w:styleId="keyword">
    <w:name w:val="keyword"/>
    <w:basedOn w:val="a0"/>
    <w:qFormat/>
  </w:style>
  <w:style w:type="paragraph" w:customStyle="1" w:styleId="20">
    <w:name w:val="修订2"/>
    <w:hidden/>
    <w:uiPriority w:val="99"/>
    <w:semiHidden/>
    <w:qFormat/>
    <w:rPr>
      <w:rFonts w:ascii="仿宋" w:eastAsia="仿宋" w:hAnsi="仿宋" w:cs="仿宋"/>
      <w:sz w:val="22"/>
      <w:szCs w:val="22"/>
      <w:lang w:val="zh-CN" w:bidi="zh-CN"/>
    </w:rPr>
  </w:style>
  <w:style w:type="paragraph" w:styleId="af2">
    <w:name w:val="List Paragraph"/>
    <w:basedOn w:val="a"/>
    <w:uiPriority w:val="34"/>
    <w:qFormat/>
    <w:pPr>
      <w:autoSpaceDE/>
      <w:autoSpaceDN/>
      <w:ind w:firstLineChars="200" w:firstLine="420"/>
      <w:jc w:val="both"/>
    </w:pPr>
    <w:rPr>
      <w:rFonts w:asciiTheme="minorHAnsi" w:eastAsiaTheme="minorEastAsia" w:hAnsiTheme="minorHAnsi" w:cstheme="minorBidi"/>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422</Words>
  <Characters>2406</Characters>
  <Application>Microsoft Office Word</Application>
  <DocSecurity>0</DocSecurity>
  <Lines>20</Lines>
  <Paragraphs>5</Paragraphs>
  <ScaleCrop>false</ScaleCrop>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shijingwen</cp:lastModifiedBy>
  <cp:revision>7</cp:revision>
  <cp:lastPrinted>2023-09-01T08:20:00Z</cp:lastPrinted>
  <dcterms:created xsi:type="dcterms:W3CDTF">2025-10-30T07:18:00Z</dcterms:created>
  <dcterms:modified xsi:type="dcterms:W3CDTF">2026-08-31T10:45:00Z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D2181413A5F747E5A42A30A82ACB8F3C</vt:lpwstr>
  </property>
  <property fmtid="{D5CDD505-2E9C-101B-9397-08002B2CF9AE}" pid="4" name="KSOTemplateDocerSaveRecord">
    <vt:lpwstr>eyJoZGlkIjoiMzVkNzdhYWI5M2IyMGY0OWMzYmI1MzM3NGQ0ZTUxMzkiLCJ1c2VySWQiOiI0MzA3MjQwMjIifQ==</vt:lpwstr>
  </property>
</Properties>
</file>