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D11B4" w14:textId="77777777" w:rsidR="00DF3F5C" w:rsidRDefault="008C2D4C">
      <w:pPr>
        <w:pStyle w:val="1"/>
        <w:rPr>
          <w:rFonts w:ascii="Times New Roman" w:eastAsia="宋体" w:hAnsi="Times New Roman" w:cs="Times New Roman"/>
          <w:sz w:val="24"/>
          <w:szCs w:val="24"/>
          <w:lang w:val="en-US"/>
        </w:rPr>
      </w:pPr>
      <w:r>
        <w:rPr>
          <w:rFonts w:ascii="Times New Roman" w:eastAsia="宋体" w:hAnsi="Times New Roman" w:cs="Times New Roman"/>
          <w:sz w:val="24"/>
          <w:szCs w:val="24"/>
          <w:lang w:val="en-US"/>
        </w:rPr>
        <w:t>证券代码：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688</w:t>
      </w:r>
      <w:r>
        <w:rPr>
          <w:rFonts w:ascii="Times New Roman" w:eastAsia="宋体" w:hAnsi="Times New Roman" w:cs="Times New Roman" w:hint="eastAsia"/>
          <w:sz w:val="24"/>
          <w:szCs w:val="24"/>
          <w:lang w:val="en-US"/>
        </w:rPr>
        <w:t>372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 xml:space="preserve">                                   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证券简称：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val="en-US"/>
        </w:rPr>
        <w:t>伟测</w:t>
      </w:r>
      <w:r>
        <w:rPr>
          <w:rFonts w:ascii="Times New Roman" w:eastAsia="宋体" w:hAnsi="Times New Roman" w:cs="Times New Roman"/>
          <w:sz w:val="24"/>
          <w:szCs w:val="24"/>
          <w:lang w:val="en-US"/>
        </w:rPr>
        <w:t>科技</w:t>
      </w:r>
      <w:proofErr w:type="gramEnd"/>
    </w:p>
    <w:p w14:paraId="3CA4622F" w14:textId="77777777" w:rsidR="00DF3F5C" w:rsidRDefault="00DF3F5C">
      <w:pPr>
        <w:rPr>
          <w:rFonts w:ascii="Times New Roman" w:eastAsia="宋体" w:hAnsi="Times New Roman"/>
          <w:lang w:val="en-US"/>
        </w:rPr>
      </w:pPr>
    </w:p>
    <w:p w14:paraId="72A217B7" w14:textId="77777777" w:rsidR="00DF3F5C" w:rsidRDefault="008C2D4C">
      <w:pPr>
        <w:spacing w:line="360" w:lineRule="auto"/>
        <w:jc w:val="center"/>
        <w:rPr>
          <w:rFonts w:ascii="Times New Roman" w:eastAsia="宋体" w:hAnsi="Times New Roman" w:cs="宋体"/>
          <w:b/>
          <w:bCs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sz w:val="30"/>
          <w:szCs w:val="30"/>
        </w:rPr>
        <w:t>上海伟测半导体科技股份有限公司</w:t>
      </w:r>
    </w:p>
    <w:p w14:paraId="3603D426" w14:textId="77777777" w:rsidR="00DF3F5C" w:rsidRDefault="008C2D4C">
      <w:pPr>
        <w:spacing w:line="360" w:lineRule="auto"/>
        <w:jc w:val="center"/>
        <w:rPr>
          <w:rFonts w:ascii="Times New Roman" w:eastAsia="宋体" w:hAnsi="Times New Roman" w:cs="宋体"/>
          <w:sz w:val="30"/>
          <w:szCs w:val="30"/>
        </w:rPr>
      </w:pPr>
      <w:r>
        <w:rPr>
          <w:rFonts w:ascii="Times New Roman" w:eastAsia="宋体" w:hAnsi="Times New Roman" w:cs="宋体" w:hint="eastAsia"/>
          <w:b/>
          <w:bCs/>
          <w:sz w:val="30"/>
          <w:szCs w:val="30"/>
        </w:rPr>
        <w:t>投资者关系活动记录表</w:t>
      </w:r>
    </w:p>
    <w:p w14:paraId="177DF8B7" w14:textId="35AE9A54" w:rsidR="00DF3F5C" w:rsidRDefault="008C2D4C">
      <w:pPr>
        <w:spacing w:before="51" w:after="32"/>
        <w:ind w:right="19"/>
        <w:jc w:val="right"/>
        <w:rPr>
          <w:rFonts w:ascii="Times New Roman" w:eastAsia="宋体" w:hAnsi="Times New Roman" w:cs="宋体"/>
          <w:sz w:val="24"/>
          <w:szCs w:val="24"/>
          <w:lang w:val="en-US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编号：</w:t>
      </w:r>
      <w:r>
        <w:rPr>
          <w:rFonts w:ascii="Times New Roman" w:eastAsia="宋体" w:hAnsi="Times New Roman" w:cs="宋体" w:hint="eastAsia"/>
          <w:sz w:val="24"/>
          <w:szCs w:val="24"/>
          <w:lang w:val="en-US"/>
        </w:rPr>
        <w:t>202</w:t>
      </w:r>
      <w:r w:rsidR="005D6E65">
        <w:rPr>
          <w:rFonts w:ascii="Times New Roman" w:eastAsia="宋体" w:hAnsi="Times New Roman" w:cs="宋体" w:hint="eastAsia"/>
          <w:sz w:val="24"/>
          <w:szCs w:val="24"/>
          <w:lang w:val="en-US"/>
        </w:rPr>
        <w:t>6</w:t>
      </w:r>
      <w:r>
        <w:rPr>
          <w:rFonts w:ascii="Times New Roman" w:eastAsia="宋体" w:hAnsi="Times New Roman" w:cs="宋体" w:hint="eastAsia"/>
          <w:sz w:val="24"/>
          <w:szCs w:val="24"/>
        </w:rPr>
        <w:t>-00</w:t>
      </w:r>
      <w:r w:rsidR="00803899">
        <w:rPr>
          <w:rFonts w:ascii="Times New Roman" w:eastAsia="宋体" w:hAnsi="Times New Roman" w:cs="宋体" w:hint="eastAsia"/>
          <w:sz w:val="24"/>
          <w:szCs w:val="24"/>
          <w:lang w:val="en-US"/>
        </w:rPr>
        <w:t>3</w:t>
      </w:r>
    </w:p>
    <w:tbl>
      <w:tblPr>
        <w:tblW w:w="86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7463"/>
      </w:tblGrid>
      <w:tr w:rsidR="00DF3F5C" w14:paraId="459B98A4" w14:textId="77777777">
        <w:trPr>
          <w:trHeight w:val="2801"/>
          <w:jc w:val="center"/>
        </w:trPr>
        <w:tc>
          <w:tcPr>
            <w:tcW w:w="1139" w:type="dxa"/>
            <w:vAlign w:val="center"/>
          </w:tcPr>
          <w:p w14:paraId="11AE9F3E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7463" w:type="dxa"/>
          </w:tcPr>
          <w:p w14:paraId="42EEC4CD" w14:textId="77777777" w:rsidR="00DF3F5C" w:rsidRDefault="00DF3F5C">
            <w:pPr>
              <w:pStyle w:val="TableParagraph"/>
              <w:spacing w:before="7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58831D41" w14:textId="77777777" w:rsidR="00DF3F5C" w:rsidRDefault="00747F98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特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对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象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调研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分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析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师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议</w:t>
            </w:r>
          </w:p>
          <w:p w14:paraId="19BE919B" w14:textId="77777777" w:rsidR="00DF3F5C" w:rsidRDefault="00DF3F5C">
            <w:pPr>
              <w:pStyle w:val="TableParagraph"/>
              <w:spacing w:before="11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F21A2E7" w14:textId="77777777" w:rsidR="00DF3F5C" w:rsidRDefault="00747F98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媒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体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采访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业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绩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说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明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</w:p>
          <w:p w14:paraId="3E812998" w14:textId="77777777" w:rsidR="00DF3F5C" w:rsidRDefault="00DF3F5C">
            <w:pPr>
              <w:pStyle w:val="TableParagraph"/>
              <w:spacing w:before="8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28BFC867" w14:textId="77777777" w:rsidR="00DF3F5C" w:rsidRDefault="00747F98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新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闻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发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布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路</w:t>
            </w:r>
            <w:r w:rsidR="008C2D4C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演</w:t>
            </w:r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活动</w:t>
            </w:r>
          </w:p>
          <w:p w14:paraId="3122382C" w14:textId="77777777" w:rsidR="00DF3F5C" w:rsidRDefault="00DF3F5C">
            <w:pPr>
              <w:pStyle w:val="TableParagraph"/>
              <w:spacing w:before="8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768903ED" w14:textId="77777777" w:rsidR="00DF3F5C" w:rsidRDefault="00747F98">
            <w:pPr>
              <w:pStyle w:val="TableParagraph"/>
              <w:ind w:left="107"/>
              <w:rPr>
                <w:rFonts w:ascii="宋体" w:eastAsia="宋体" w:hAnsi="宋体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 xml:space="preserve">现场访谈          </w:t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20441104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宋体" w:eastAsia="宋体" w:hAnsi="宋体" w:cs="宋体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>电话会议</w:t>
            </w:r>
          </w:p>
          <w:p w14:paraId="59C4796E" w14:textId="77777777" w:rsidR="00DF3F5C" w:rsidRDefault="00DF3F5C">
            <w:pPr>
              <w:pStyle w:val="TableParagraph"/>
              <w:spacing w:before="11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F860F88" w14:textId="77777777" w:rsidR="00DF3F5C" w:rsidRDefault="00747F98">
            <w:pPr>
              <w:pStyle w:val="TableParagraph"/>
              <w:ind w:left="107"/>
              <w:rPr>
                <w:rFonts w:ascii="Times New Roman" w:eastAsia="宋体" w:hAnsi="Times New Roman" w:cs="宋体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C2D4C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8C2D4C">
              <w:rPr>
                <w:rFonts w:ascii="宋体" w:eastAsia="宋体" w:hAnsi="宋体" w:cs="宋体" w:hint="eastAsia"/>
                <w:sz w:val="24"/>
                <w:szCs w:val="24"/>
              </w:rPr>
              <w:t xml:space="preserve">其他 </w:t>
            </w:r>
            <w:r w:rsidR="008C2D4C">
              <w:rPr>
                <w:rFonts w:ascii="宋体" w:eastAsia="宋体" w:hAnsi="宋体" w:cs="宋体"/>
                <w:sz w:val="24"/>
                <w:szCs w:val="24"/>
              </w:rPr>
              <w:t xml:space="preserve">  </w:t>
            </w:r>
          </w:p>
        </w:tc>
      </w:tr>
      <w:tr w:rsidR="00DF3F5C" w14:paraId="4224B6B1" w14:textId="77777777">
        <w:trPr>
          <w:trHeight w:val="485"/>
          <w:jc w:val="center"/>
        </w:trPr>
        <w:tc>
          <w:tcPr>
            <w:tcW w:w="1139" w:type="dxa"/>
            <w:vAlign w:val="center"/>
          </w:tcPr>
          <w:p w14:paraId="7E0305B3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463" w:type="dxa"/>
            <w:vAlign w:val="center"/>
          </w:tcPr>
          <w:p w14:paraId="2D304ABD" w14:textId="7FB8E684" w:rsidR="00DF3F5C" w:rsidRDefault="00B13D51" w:rsidP="005D6E65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诺安基金、中金公司、</w:t>
            </w:r>
            <w:proofErr w:type="gramStart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天弘基金</w:t>
            </w:r>
            <w:proofErr w:type="gramEnd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、长盛基金、华宝基金、长城财富、新华基金、瑞银证券、中航证券、招商证券、摩根基金、幸福人寿、天风证券、宏利基金、中银基金、兴业基金、中邮证券、银河基金、平安基金、泰康基金、国海证券、中欧基金、国信证券、</w:t>
            </w:r>
            <w:proofErr w:type="gramStart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中信保诚</w:t>
            </w:r>
            <w:proofErr w:type="gramEnd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、国寿安保、富国基金、前海开源、</w:t>
            </w:r>
            <w:proofErr w:type="gramStart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交银施罗</w:t>
            </w:r>
            <w:proofErr w:type="gramEnd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德、申万宏源、农银汇理、汇</w:t>
            </w:r>
            <w:proofErr w:type="gramStart"/>
            <w:r w:rsidRPr="00B13D51">
              <w:rPr>
                <w:rFonts w:ascii="Times New Roman" w:eastAsia="宋体" w:hAnsi="Times New Roman" w:cs="宋体" w:hint="eastAsia"/>
                <w:sz w:val="24"/>
                <w:szCs w:val="24"/>
              </w:rPr>
              <w:t>丰晋信</w:t>
            </w:r>
            <w:proofErr w:type="gramEnd"/>
          </w:p>
        </w:tc>
      </w:tr>
      <w:tr w:rsidR="00DF3F5C" w14:paraId="425F98B1" w14:textId="77777777">
        <w:trPr>
          <w:trHeight w:val="558"/>
          <w:jc w:val="center"/>
        </w:trPr>
        <w:tc>
          <w:tcPr>
            <w:tcW w:w="1139" w:type="dxa"/>
            <w:vAlign w:val="center"/>
          </w:tcPr>
          <w:p w14:paraId="3C3F810D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463" w:type="dxa"/>
            <w:vAlign w:val="center"/>
          </w:tcPr>
          <w:p w14:paraId="66BF5A0A" w14:textId="0980278B" w:rsidR="00DF3F5C" w:rsidRDefault="005D6E65" w:rsidP="00803899">
            <w:pPr>
              <w:pStyle w:val="TableParagraph"/>
              <w:spacing w:line="360" w:lineRule="auto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2026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年</w:t>
            </w:r>
            <w:r w:rsidR="00803899">
              <w:rPr>
                <w:rFonts w:ascii="Times New Roman" w:eastAsia="宋体" w:hAnsi="Times New Roman" w:cs="宋体" w:hint="eastAsia"/>
                <w:sz w:val="24"/>
                <w:szCs w:val="24"/>
              </w:rPr>
              <w:t>8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月</w:t>
            </w:r>
            <w:r w:rsidR="00803899">
              <w:rPr>
                <w:rFonts w:ascii="Times New Roman" w:eastAsia="宋体" w:hAnsi="Times New Roman" w:cs="宋体" w:hint="eastAsia"/>
                <w:sz w:val="24"/>
                <w:szCs w:val="24"/>
              </w:rPr>
              <w:t>31</w:t>
            </w:r>
            <w:r w:rsidR="008C2D4C">
              <w:rPr>
                <w:rFonts w:ascii="Times New Roman" w:eastAsia="宋体" w:hAnsi="Times New Roman" w:cs="宋体" w:hint="eastAsia"/>
                <w:sz w:val="24"/>
                <w:szCs w:val="24"/>
              </w:rPr>
              <w:t>日</w:t>
            </w:r>
          </w:p>
        </w:tc>
      </w:tr>
      <w:tr w:rsidR="00DF3F5C" w14:paraId="15F15593" w14:textId="77777777">
        <w:trPr>
          <w:trHeight w:val="561"/>
          <w:jc w:val="center"/>
        </w:trPr>
        <w:tc>
          <w:tcPr>
            <w:tcW w:w="1139" w:type="dxa"/>
            <w:vAlign w:val="center"/>
          </w:tcPr>
          <w:p w14:paraId="23F08BB9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463" w:type="dxa"/>
            <w:vAlign w:val="center"/>
          </w:tcPr>
          <w:p w14:paraId="2FB4C04C" w14:textId="77777777" w:rsidR="00DF3F5C" w:rsidRDefault="008C2D4C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电话会议</w:t>
            </w:r>
          </w:p>
        </w:tc>
      </w:tr>
      <w:tr w:rsidR="00DF3F5C" w14:paraId="7858F3AA" w14:textId="77777777">
        <w:trPr>
          <w:trHeight w:val="643"/>
          <w:jc w:val="center"/>
        </w:trPr>
        <w:tc>
          <w:tcPr>
            <w:tcW w:w="1139" w:type="dxa"/>
            <w:vAlign w:val="center"/>
          </w:tcPr>
          <w:p w14:paraId="6F3F4F1F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7463" w:type="dxa"/>
            <w:vAlign w:val="center"/>
          </w:tcPr>
          <w:p w14:paraId="36734B09" w14:textId="77777777" w:rsidR="00DF3F5C" w:rsidRDefault="008C2D4C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宋体"/>
                <w:sz w:val="24"/>
                <w:szCs w:val="24"/>
              </w:rPr>
            </w:pPr>
            <w:r>
              <w:rPr>
                <w:rFonts w:ascii="Times New Roman" w:eastAsia="宋体" w:hAnsi="Times New Roman" w:cs="宋体"/>
                <w:sz w:val="24"/>
                <w:szCs w:val="24"/>
              </w:rPr>
              <w:t>董事、副总经理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宋体" w:hint="eastAsia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sz w:val="24"/>
                <w:szCs w:val="24"/>
              </w:rPr>
              <w:t>财务总监王沛女士</w:t>
            </w:r>
          </w:p>
        </w:tc>
      </w:tr>
      <w:tr w:rsidR="00DF3F5C" w14:paraId="0DB8D9F1" w14:textId="77777777">
        <w:trPr>
          <w:trHeight w:val="2800"/>
          <w:jc w:val="center"/>
        </w:trPr>
        <w:tc>
          <w:tcPr>
            <w:tcW w:w="1139" w:type="dxa"/>
            <w:vAlign w:val="center"/>
          </w:tcPr>
          <w:p w14:paraId="7A6AFD28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463" w:type="dxa"/>
          </w:tcPr>
          <w:p w14:paraId="0E60D24A" w14:textId="1BA3C6E2" w:rsidR="00DF3F5C" w:rsidRDefault="008C2D4C">
            <w:pPr>
              <w:autoSpaceDE/>
              <w:autoSpaceDN/>
              <w:spacing w:line="360" w:lineRule="auto"/>
              <w:ind w:firstLineChars="200" w:firstLine="482"/>
              <w:jc w:val="both"/>
              <w:rPr>
                <w:rFonts w:ascii="Times New Roman" w:eastAsia="宋体" w:hAnsi="Times New Roman" w:cs="宋体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一、董事、副总经理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财务总监王沛女士</w:t>
            </w:r>
            <w:r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介绍公司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202</w:t>
            </w:r>
            <w:r w:rsidR="00803899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年</w:t>
            </w:r>
            <w:r w:rsidR="00803899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半</w:t>
            </w:r>
            <w:r w:rsidR="005D6E65">
              <w:rPr>
                <w:rFonts w:ascii="Times New Roman" w:eastAsia="宋体" w:hAnsi="Times New Roman" w:cs="宋体" w:hint="eastAsia"/>
                <w:b/>
                <w:sz w:val="24"/>
                <w:szCs w:val="24"/>
              </w:rPr>
              <w:t>年度</w:t>
            </w:r>
            <w:r>
              <w:rPr>
                <w:rFonts w:ascii="Times New Roman" w:eastAsia="宋体" w:hAnsi="Times New Roman" w:cs="宋体"/>
                <w:b/>
                <w:sz w:val="24"/>
                <w:szCs w:val="24"/>
              </w:rPr>
              <w:t>业绩与经营情况</w:t>
            </w:r>
          </w:p>
          <w:p w14:paraId="4CFA86ED" w14:textId="77777777" w:rsidR="00DF3F5C" w:rsidRDefault="008C2D4C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（一）财务状况</w:t>
            </w:r>
          </w:p>
          <w:p w14:paraId="3F5B1B66" w14:textId="5D05E268" w:rsidR="00AE28B6" w:rsidRPr="00AE28B6" w:rsidRDefault="00AE28B6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EF5A8F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上半年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公司实现营业收入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10.72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69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.00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实现归属于上市公司股东的净利润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1.59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57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.61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实现归属于上市公司股东的扣除非经常性损益的净利润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1.46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元，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同比</w:t>
            </w:r>
            <w:r w:rsidR="00C2792C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增长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171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.33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第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二季度</w:t>
            </w:r>
            <w:r w:rsid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实现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营收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5.8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亿元，环比增长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18.76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proofErr w:type="gramStart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创单季度</w:t>
            </w:r>
            <w:proofErr w:type="gramEnd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营</w:t>
            </w:r>
            <w:proofErr w:type="gramStart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收历史</w:t>
            </w:r>
            <w:proofErr w:type="gramEnd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新高；</w:t>
            </w:r>
            <w:r w:rsidR="00C8296B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第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二季度净</w:t>
            </w:r>
            <w:proofErr w:type="gramStart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利润环</w:t>
            </w:r>
            <w:proofErr w:type="gramEnd"/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比增长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24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.83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486EE9EA" w14:textId="6A7E2908" w:rsidR="00AE28B6" w:rsidRPr="00AE28B6" w:rsidRDefault="00AE28B6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lastRenderedPageBreak/>
              <w:t>截止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月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3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0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日，</w:t>
            </w:r>
            <w:r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公司的总资产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94.34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</w:t>
            </w:r>
            <w:r w:rsidR="002A163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元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C8296B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较上年末增长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22.10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2A1636" w:rsidRP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归属于上市公司股东的净资产</w:t>
            </w:r>
            <w:r w:rsidR="002A163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42.28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</w:t>
            </w:r>
            <w:r w:rsidR="00C8296B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较上年末增长</w:t>
            </w:r>
            <w:r w:rsidR="00C8296B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42.</w:t>
            </w:r>
            <w:r w:rsidR="00C8296B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4</w:t>
            </w:r>
            <w:r w:rsidR="00C8296B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8</w:t>
            </w:r>
            <w:r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2A163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年上半年经营性净现金流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5.47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亿元。</w:t>
            </w:r>
          </w:p>
          <w:p w14:paraId="1A6059EC" w14:textId="6FA344BE" w:rsidR="00EA2580" w:rsidRPr="00AE28B6" w:rsidRDefault="00EA2580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从各方面拆分下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202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年</w:t>
            </w:r>
            <w:r w:rsidR="00EF5A8F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上半年</w:t>
            </w:r>
            <w:r w:rsidR="00416824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营收情况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：</w:t>
            </w:r>
          </w:p>
          <w:p w14:paraId="7589A0A0" w14:textId="4BBE211D" w:rsidR="00AE28B6" w:rsidRPr="00AE28B6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产品类别上</w:t>
            </w:r>
            <w:r w:rsidR="003016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划分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各占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49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30160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51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C2792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往年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业务占比约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60%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、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占比约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40%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未来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预计将维持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CP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、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FT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各占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50%</w:t>
            </w:r>
            <w:r w:rsidR="00C2792C" w:rsidRPr="00C2792C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左右的结构。</w:t>
            </w:r>
          </w:p>
          <w:p w14:paraId="21064F1B" w14:textId="7D5301CD" w:rsidR="00EA2580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</w:t>
            </w:r>
            <w:r w:rsidR="00301608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中</w:t>
            </w:r>
            <w:r w:rsidR="003016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/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高端</w:t>
            </w:r>
            <w:r w:rsidR="00EA6881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业务</w:t>
            </w:r>
            <w:r w:rsidR="0030160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划分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高端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和中端各占</w:t>
            </w:r>
            <w:r w:rsidR="00EA2580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7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和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29%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3BE417B5" w14:textId="6AE6AC09" w:rsidR="00AE28B6" w:rsidRPr="00AE28B6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芯片的类别</w:t>
            </w:r>
            <w:r w:rsidR="00EA2580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划分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，消费电子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类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59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，工业类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占比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为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25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，车</w:t>
            </w:r>
            <w:proofErr w:type="gramStart"/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规</w:t>
            </w:r>
            <w:proofErr w:type="gramEnd"/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类占比</w:t>
            </w:r>
            <w:r w:rsidR="00AE2043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约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1</w:t>
            </w:r>
            <w:r w:rsidR="00AE2043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6</w:t>
            </w:r>
            <w:r w:rsidR="00AE28B6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%</w:t>
            </w:r>
            <w:r w:rsidR="00EA2580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2D9908C2" w14:textId="069114EC" w:rsidR="00EA2580" w:rsidRPr="00FB1B6A" w:rsidRDefault="00FB1B6A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proofErr w:type="gramStart"/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按算力</w:t>
            </w:r>
            <w:proofErr w:type="gramEnd"/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属性划分，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年上半年</w:t>
            </w:r>
            <w:proofErr w:type="gramStart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算力相关</w:t>
            </w:r>
            <w:proofErr w:type="gramEnd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业务营收占比</w:t>
            </w:r>
            <w:r w:rsidR="001802FE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约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21.5%</w:t>
            </w: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。去年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同期占比仅为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9%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，绝对值已翻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3-4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倍，预计</w:t>
            </w:r>
            <w:proofErr w:type="gramStart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后续该占比</w:t>
            </w:r>
            <w:proofErr w:type="gramEnd"/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将持续提升。</w:t>
            </w:r>
          </w:p>
          <w:p w14:paraId="09A93D8B" w14:textId="71550EAD" w:rsidR="00FB1B6A" w:rsidRDefault="00FB1B6A" w:rsidP="00FB1B6A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年一季度综合毛利率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34.96%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，二季度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32.44%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，主营业务毛利率基本持平，综合毛利率下滑主要受其他业务毛利下降、折旧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/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人员成本增加、二季度</w:t>
            </w:r>
            <w:r w:rsidR="002B3D01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外包及</w:t>
            </w:r>
            <w:r w:rsidRPr="00FB1B6A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维修费上升影响。</w:t>
            </w:r>
          </w:p>
          <w:p w14:paraId="66006824" w14:textId="6ACD0353" w:rsidR="00AE28B6" w:rsidRPr="00AE28B6" w:rsidRDefault="007C7839" w:rsidP="00AE28B6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费用方面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整体是比较合理正常的。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年上半年销售费用同比增长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42%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，管理费用同比增长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21%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，财务费用同比增长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16%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，研发费用约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9000</w:t>
            </w:r>
            <w:r w:rsidR="00B90507"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万元，研发费用率随</w:t>
            </w:r>
            <w:r w:rsidR="00B90507" w:rsidRPr="00B9050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营业收入</w:t>
            </w:r>
            <w:r w:rsid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增加有所下降</w:t>
            </w:r>
            <w:r w:rsidR="00AE28B6" w:rsidRPr="00AE28B6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046077ED" w14:textId="79CB2644" w:rsidR="00DF3F5C" w:rsidRDefault="008C2D4C" w:rsidP="00604F3B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（</w:t>
            </w: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二</w:t>
            </w: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）业务布局与产能</w:t>
            </w:r>
          </w:p>
          <w:p w14:paraId="524F09BC" w14:textId="5DBFF4D8" w:rsidR="00B26867" w:rsidRDefault="00B90507" w:rsidP="00B90507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年上半年总资本开支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17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亿元（含设备和土建），其中设备类资本开支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16.2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亿元；一季度单季度资本开支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9.88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</w:t>
            </w:r>
            <w:r w:rsidR="00B26867" w:rsidRPr="00AE28B6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2025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年总资本开支近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30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亿元，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2026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年预计总资本开支与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2025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年持平，维持较高投入强度，投入节奏与公司的营收增长目标匹配。</w:t>
            </w:r>
          </w:p>
          <w:p w14:paraId="264C3BC8" w14:textId="12EC6F21" w:rsidR="00B90507" w:rsidRPr="00AE28B6" w:rsidRDefault="00B90507" w:rsidP="00B90507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B9050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现有上海、无锡、南京、深圳四</w:t>
            </w:r>
            <w:bookmarkStart w:id="0" w:name="_GoBack"/>
            <w:bookmarkEnd w:id="0"/>
            <w:r w:rsidRPr="00B90507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个生产基地，无锡基地为最大产能基地，营收占比超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50%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；上海、南京基地各占约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20%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，深圳基地占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4%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，</w:t>
            </w:r>
            <w:r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威矽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子公司占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3%</w:t>
            </w:r>
            <w:r w:rsidR="008D4D1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左右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。</w:t>
            </w:r>
          </w:p>
          <w:p w14:paraId="34D5CF0B" w14:textId="1B1846ED" w:rsidR="003442FC" w:rsidRDefault="00B90507" w:rsidP="00B90507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无锡</w:t>
            </w:r>
            <w:r w:rsidR="008D4D1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基地</w:t>
            </w:r>
            <w:r w:rsidRPr="00B90507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厂房已完工，正推进产能布局和新客户导入。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目前上海</w:t>
            </w:r>
            <w:r w:rsid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总部基地</w:t>
            </w:r>
            <w:r w:rsidR="008D4D1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已封顶</w:t>
            </w:r>
            <w:r w:rsid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，预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计今年年底完工，明年上半年启动从老基地到新总部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lastRenderedPageBreak/>
              <w:t>的搬迁工作</w:t>
            </w:r>
            <w:r w:rsid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，同时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还将进行设备更新投资。</w:t>
            </w:r>
            <w:r w:rsid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南京项目已经投入使用，目前仍在爬坡期，逐渐释放产能。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长三角区域的生产空间</w:t>
            </w:r>
            <w:r w:rsidR="008D4D18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已基本趋于稳定，未来将根据客户需求和市场动态，灵活调整产能布局</w:t>
            </w:r>
            <w:r w:rsidR="003442FC" w:rsidRPr="003442FC"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。</w:t>
            </w:r>
            <w:r w:rsidR="008D4D18" w:rsidRPr="008D4D1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成都基地预计</w:t>
            </w:r>
            <w:r w:rsidR="008D4D18" w:rsidRPr="008D4D1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2027</w:t>
            </w:r>
            <w:r w:rsidR="008D4D18" w:rsidRPr="008D4D18"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  <w:t>年开工，完成后将形成长三角、珠三角、西南区域的完整布局。</w:t>
            </w:r>
          </w:p>
          <w:p w14:paraId="7C00348F" w14:textId="77777777" w:rsidR="00DF3F5C" w:rsidRDefault="008C2D4C">
            <w:pPr>
              <w:autoSpaceDE/>
              <w:autoSpaceDN/>
              <w:spacing w:line="360" w:lineRule="auto"/>
              <w:ind w:firstLineChars="200" w:firstLine="482"/>
              <w:jc w:val="both"/>
              <w:rPr>
                <w:rFonts w:ascii="Times New Roman" w:eastAsia="宋体" w:hAnsi="Times New Roman" w:cs="宋体"/>
                <w:b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kern w:val="2"/>
                <w:sz w:val="24"/>
                <w:szCs w:val="24"/>
                <w:lang w:val="en-US" w:bidi="ar-SA"/>
              </w:rPr>
              <w:t>二、投资者提问</w:t>
            </w:r>
          </w:p>
          <w:p w14:paraId="621B0230" w14:textId="4DF3AB27" w:rsidR="00DF3F5C" w:rsidRDefault="008C2D4C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、</w:t>
            </w:r>
            <w:r w:rsidR="0025596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</w:t>
            </w:r>
            <w:proofErr w:type="gramStart"/>
            <w:r w:rsidR="0025596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算力类</w:t>
            </w:r>
            <w:proofErr w:type="gramEnd"/>
            <w:r w:rsidR="0025596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业务情况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</w:p>
          <w:p w14:paraId="6B92D351" w14:textId="136FFA6A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随着国内主流</w:t>
            </w:r>
            <w:proofErr w:type="gramStart"/>
            <w:r w:rsid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算力类</w:t>
            </w:r>
            <w:proofErr w:type="gramEnd"/>
            <w:r w:rsid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客户放量，公司</w:t>
            </w:r>
            <w:proofErr w:type="gramStart"/>
            <w:r w:rsidR="00255965" w:rsidRP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算力</w:t>
            </w:r>
            <w:r w:rsid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类</w:t>
            </w:r>
            <w:proofErr w:type="gramEnd"/>
            <w:r w:rsidR="00255965" w:rsidRP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业务的营收占比</w:t>
            </w:r>
            <w:r w:rsid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预计</w:t>
            </w:r>
            <w:r w:rsidR="00255965" w:rsidRP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将持续提升，短期</w:t>
            </w:r>
            <w:r w:rsidR="002B3D0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可能</w:t>
            </w:r>
            <w:r w:rsidR="00255965" w:rsidRP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会受不同客户自身业务节奏、产业链短期产能问题</w:t>
            </w:r>
            <w:r w:rsidR="00FF173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而有所</w:t>
            </w:r>
            <w:r w:rsidR="00255965" w:rsidRPr="002559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影响。</w:t>
            </w:r>
          </w:p>
          <w:p w14:paraId="57571F9A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079537E" w14:textId="2F46E609" w:rsidR="00DF3F5C" w:rsidRDefault="008C2D4C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、</w:t>
            </w:r>
            <w:r w:rsidR="00BB520F" w:rsidRP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2026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年三季度单季毛利情况？</w:t>
            </w:r>
          </w:p>
          <w:p w14:paraId="58765BB6" w14:textId="6BAD4E00" w:rsidR="00BB520F" w:rsidRDefault="00BB520F" w:rsidP="00BB520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年三季度产能利用率不及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去年同期水平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，主要是受存储涨价导致消费电子类（如手机）产品出货量下滑影响，今年消费电子传统旺季表现不及预期，头部手机厂商的销量预测均有下调，同时新的</w:t>
            </w:r>
            <w:proofErr w:type="gramStart"/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算力客户</w:t>
            </w:r>
            <w:proofErr w:type="gramEnd"/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尚未</w:t>
            </w:r>
            <w:r w:rsidR="002B3D01">
              <w:rPr>
                <w:rFonts w:ascii="Times New Roman" w:eastAsia="宋体" w:hAnsi="Times New Roman" w:cs="Times New Roman"/>
                <w:sz w:val="24"/>
                <w:szCs w:val="24"/>
              </w:rPr>
              <w:t>大幅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起量。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年三季度毛利预计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短期存在压力。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  <w:p w14:paraId="529BB1DE" w14:textId="697562B3" w:rsidR="00DF3F5C" w:rsidRPr="00C80FC9" w:rsidRDefault="00DF3F5C" w:rsidP="00FF173B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A3B8171" w14:textId="1FE1AA17" w:rsidR="00BB520F" w:rsidRDefault="00C80FC9" w:rsidP="00BB520F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3</w:t>
            </w:r>
            <w:r w:rsidR="00EA6954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BB520F" w:rsidRP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2026</w:t>
            </w:r>
            <w:r w:rsid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年上半年</w:t>
            </w:r>
            <w:proofErr w:type="gramStart"/>
            <w:r w:rsid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智驾业务</w:t>
            </w:r>
            <w:proofErr w:type="gramEnd"/>
            <w:r w:rsid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的收入</w:t>
            </w:r>
            <w:r w:rsidR="00BB520F" w:rsidRPr="00BB520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？</w:t>
            </w:r>
            <w:r w:rsid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  <w:p w14:paraId="5A649010" w14:textId="6C32A24C" w:rsidR="00DF3F5C" w:rsidRDefault="008C2D4C" w:rsidP="00BB520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公司未将</w:t>
            </w:r>
            <w:proofErr w:type="gramStart"/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智驾业务</w:t>
            </w:r>
            <w:proofErr w:type="gramEnd"/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从车</w:t>
            </w:r>
            <w:proofErr w:type="gramStart"/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规</w:t>
            </w:r>
            <w:proofErr w:type="gramEnd"/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业务中单独拆分披露，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年上半年车</w:t>
            </w:r>
            <w:proofErr w:type="gramStart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规</w:t>
            </w:r>
            <w:proofErr w:type="gramEnd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业务整体收入约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1.6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亿元，包含智驾、车载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、车载自动控制类相关产品的测试收入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目前除原有核心智</w:t>
            </w:r>
            <w:proofErr w:type="gramStart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驾客户</w:t>
            </w:r>
            <w:proofErr w:type="gramEnd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外，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公司同步加大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拓展其他</w:t>
            </w:r>
            <w:proofErr w:type="gramStart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新兴智驾</w:t>
            </w:r>
            <w:proofErr w:type="gramEnd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客户。</w:t>
            </w:r>
          </w:p>
          <w:p w14:paraId="7E7893BE" w14:textId="77777777" w:rsidR="00DF3F5C" w:rsidRDefault="00DF3F5C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76BDB31" w14:textId="17F9E6BD" w:rsidR="00DF3F5C" w:rsidRDefault="00C80FC9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4</w:t>
            </w:r>
            <w:r w:rsidR="001C75BD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BB520F" w:rsidRPr="00BB520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公司整体毛利率趋势？</w:t>
            </w:r>
          </w:p>
          <w:p w14:paraId="66A1A0FD" w14:textId="77777777" w:rsidR="00FF173B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年上半年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="00BB520F" w:rsidRPr="00BB520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</w:t>
            </w:r>
            <w:r w:rsidR="00C00A6D">
              <w:rPr>
                <w:rFonts w:ascii="Times New Roman" w:eastAsia="宋体" w:hAnsi="Times New Roman" w:cs="Times New Roman"/>
                <w:sz w:val="24"/>
                <w:szCs w:val="24"/>
              </w:rPr>
              <w:t>占比提升至</w:t>
            </w:r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51%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。因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业务材料成本、人工成本更高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，导致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业务毛利率低于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CP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；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业务占比提升会对整体毛利率形成一定压力。</w:t>
            </w:r>
            <w:r w:rsidR="00C00A6D">
              <w:rPr>
                <w:rFonts w:ascii="Times New Roman" w:eastAsia="宋体" w:hAnsi="Times New Roman" w:cs="Times New Roman"/>
                <w:sz w:val="24"/>
                <w:szCs w:val="24"/>
              </w:rPr>
              <w:t>另一方面，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SLT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burn-in</w:t>
            </w:r>
            <w:r w:rsidR="00BB520F">
              <w:rPr>
                <w:rFonts w:ascii="Times New Roman" w:eastAsia="宋体" w:hAnsi="Times New Roman" w:cs="Times New Roman"/>
                <w:sz w:val="24"/>
                <w:szCs w:val="24"/>
              </w:rPr>
              <w:t>测试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作为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业务的配套</w:t>
            </w:r>
            <w:r w:rsidR="00C00A6D">
              <w:rPr>
                <w:rFonts w:ascii="Times New Roman" w:eastAsia="宋体" w:hAnsi="Times New Roman" w:cs="Times New Roman"/>
                <w:sz w:val="24"/>
                <w:szCs w:val="24"/>
              </w:rPr>
              <w:t>服务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，主要作用是绑定核心客户，可满足客户全流程服务需求，避免客户订单外流</w:t>
            </w:r>
            <w:r w:rsidR="00C00A6D">
              <w:rPr>
                <w:rFonts w:ascii="Times New Roman" w:eastAsia="宋体" w:hAnsi="Times New Roman" w:cs="Times New Roman"/>
                <w:sz w:val="24"/>
                <w:szCs w:val="24"/>
              </w:rPr>
              <w:t>。公司可通过该类业务切入汽车电子、</w:t>
            </w:r>
            <w:proofErr w:type="gramStart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算力芯片</w:t>
            </w:r>
            <w:proofErr w:type="gramEnd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等领域客户，</w:t>
            </w:r>
            <w:r w:rsidR="00FF173B">
              <w:rPr>
                <w:rFonts w:ascii="Times New Roman" w:eastAsia="宋体" w:hAnsi="Times New Roman" w:cs="Times New Roman"/>
                <w:sz w:val="24"/>
                <w:szCs w:val="24"/>
              </w:rPr>
              <w:t>但该类业务自身毛利率不高，</w:t>
            </w:r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会</w:t>
            </w:r>
            <w:proofErr w:type="gramStart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小幅拉低整体</w:t>
            </w:r>
            <w:proofErr w:type="gramEnd"/>
            <w:r w:rsidR="00BB520F"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毛利率。</w:t>
            </w:r>
          </w:p>
          <w:p w14:paraId="114EC2D8" w14:textId="61AA0145" w:rsidR="00DF3F5C" w:rsidRDefault="00BB520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t>长期来看，毛利率提升主要取决于产能利用率水平，当前不同设备</w:t>
            </w:r>
            <w:r w:rsidRPr="00BB520F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平台的产能利用率存在分化，尚未达到所有机台满负荷运转的状态，毛利率会存在一定波动；公司当前资本开支投入以高端设备为主，将持续优化产品结构、提升高端业务占比，后续产能利用率提升后毛利率将有所改善。</w:t>
            </w:r>
          </w:p>
          <w:p w14:paraId="57FB5789" w14:textId="77777777" w:rsidR="00DE4DE7" w:rsidRDefault="00DE4DE7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DD65277" w14:textId="6915A5E4" w:rsidR="00DF3F5C" w:rsidRDefault="00C80FC9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5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C00A6D" w:rsidRPr="00C00A6D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</w:t>
            </w:r>
            <w:r w:rsidR="00C00A6D" w:rsidRPr="00C00A6D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2026</w:t>
            </w:r>
            <w:r w:rsidR="00C00A6D" w:rsidRPr="00C00A6D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年折旧规模？</w:t>
            </w:r>
          </w:p>
          <w:p w14:paraId="2089CC60" w14:textId="01090360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年全年整体折旧</w:t>
            </w:r>
            <w:proofErr w:type="gramStart"/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测算约</w:t>
            </w:r>
            <w:proofErr w:type="gramEnd"/>
            <w:r w:rsidR="00C00A6D">
              <w:rPr>
                <w:rFonts w:ascii="Times New Roman" w:eastAsia="宋体" w:hAnsi="Times New Roman" w:cs="Times New Roman"/>
                <w:sz w:val="24"/>
                <w:szCs w:val="24"/>
              </w:rPr>
              <w:t>7.7</w:t>
            </w:r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亿元，其中设备类折旧约</w:t>
            </w:r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6.9</w:t>
            </w:r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亿元，折旧规模会</w:t>
            </w:r>
            <w:proofErr w:type="gramStart"/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随设备</w:t>
            </w:r>
            <w:proofErr w:type="gramEnd"/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采购</w:t>
            </w:r>
            <w:proofErr w:type="gramStart"/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和转固节奏</w:t>
            </w:r>
            <w:proofErr w:type="gramEnd"/>
            <w:r w:rsidR="00C00A6D" w:rsidRPr="00C00A6D">
              <w:rPr>
                <w:rFonts w:ascii="Times New Roman" w:eastAsia="宋体" w:hAnsi="Times New Roman" w:cs="Times New Roman"/>
                <w:sz w:val="24"/>
                <w:szCs w:val="24"/>
              </w:rPr>
              <w:t>有所调整，整体属于刚性支出，后续将持续增长。</w:t>
            </w:r>
          </w:p>
          <w:p w14:paraId="6A990F6F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71015F" w14:textId="77777777" w:rsidR="00C00A6D" w:rsidRDefault="00C80FC9" w:rsidP="00C00A6D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6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C00A6D" w:rsidRPr="00C00A6D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公司的</w:t>
            </w:r>
            <w:r w:rsidR="00C00A6D" w:rsidRPr="00C00A6D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SLT</w:t>
            </w:r>
            <w:r w:rsidR="00C00A6D" w:rsidRPr="00C00A6D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和老化测试业务主要配套哪些客户？</w:t>
            </w:r>
          </w:p>
          <w:p w14:paraId="7C280DA3" w14:textId="49E67B8A" w:rsidR="00DF3F5C" w:rsidRDefault="008C2D4C" w:rsidP="002B3D01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答：</w:t>
            </w:r>
            <w:r w:rsidR="00C00A6D" w:rsidRP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该类</w:t>
            </w:r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业务主要覆盖车</w:t>
            </w:r>
            <w:proofErr w:type="gramStart"/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规</w:t>
            </w:r>
            <w:proofErr w:type="gramEnd"/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级高可靠芯片与</w:t>
            </w:r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 w:rsid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级大功耗芯片的客户</w:t>
            </w:r>
            <w:r w:rsidR="00C00A6D" w:rsidRPr="00C00A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247B65E5" w14:textId="77777777" w:rsidR="00DF3F5C" w:rsidRDefault="00DF3F5C" w:rsidP="00973FA0">
            <w:pPr>
              <w:pStyle w:val="TableParagraph"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309E438" w14:textId="7E8A15BC" w:rsidR="00DF3F5C" w:rsidRDefault="002B3D01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7</w:t>
            </w:r>
            <w:r w:rsidR="008C2D4C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、</w:t>
            </w:r>
            <w:r w:rsidR="00BE3B10" w:rsidRPr="00BE3B10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公司</w:t>
            </w:r>
            <w:r w:rsidR="00BE3B10" w:rsidRPr="00BE3B1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2026</w:t>
            </w:r>
            <w:r w:rsidR="00BE3B10" w:rsidRPr="00BE3B1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年全年的资本开支计划？</w:t>
            </w:r>
          </w:p>
          <w:p w14:paraId="017FC9AC" w14:textId="4EE99BDC" w:rsidR="00DF3F5C" w:rsidRDefault="008C2D4C" w:rsidP="00BE502E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BE3B10" w:rsidRPr="00BE3B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公司整体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capex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投入维持在较高水平，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年设备加土建投资将近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30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亿，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年下半年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capex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略有放缓，但全年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capex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预计和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年基本持平，具体会结合整体市场情况以及公司自身资金情况调整。</w:t>
            </w:r>
          </w:p>
          <w:p w14:paraId="5408B14F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9B23426" w14:textId="314832CE" w:rsidR="00DF3F5C" w:rsidRPr="007B35E2" w:rsidRDefault="002B3D01" w:rsidP="007B35E2">
            <w:pPr>
              <w:pStyle w:val="TableParagraph"/>
              <w:spacing w:line="360" w:lineRule="auto"/>
              <w:ind w:firstLineChars="200" w:firstLine="482"/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8</w:t>
            </w:r>
            <w:r w:rsidR="008C2D4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BE3B10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测试设备的采购周期</w:t>
            </w:r>
            <w:proofErr w:type="gramStart"/>
            <w:r w:rsidR="00BE3B10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及转固节奏</w:t>
            </w:r>
            <w:proofErr w:type="gramEnd"/>
            <w:r w:rsidR="008C2D4C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？</w:t>
            </w:r>
          </w:p>
          <w:p w14:paraId="3752FF5F" w14:textId="55FC178B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BE3B10" w:rsidRPr="00BE3B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在建工程中的测试设备是滚动采购的，设备从采购进场，到布局、安装、调试的周期为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1-5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个月不等，</w:t>
            </w:r>
            <w:proofErr w:type="gramStart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转固周期</w:t>
            </w:r>
            <w:proofErr w:type="gramEnd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约为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3-4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个月。在建工程余额是滚动变动的，会有新采购的设备计入在建，同时也有调试</w:t>
            </w:r>
            <w:r w:rsidR="00FF173B">
              <w:rPr>
                <w:rFonts w:ascii="Times New Roman" w:eastAsia="宋体" w:hAnsi="Times New Roman" w:cs="Times New Roman"/>
                <w:sz w:val="24"/>
                <w:szCs w:val="24"/>
              </w:rPr>
              <w:t>完成的设备转固，因此三季报时在建工程仍可能保持十几亿的设备余额</w:t>
            </w:r>
            <w:r w:rsidR="0065273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7536B2AE" w14:textId="77777777" w:rsidR="00DF3F5C" w:rsidRDefault="00DF3F5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094513F" w14:textId="441CF694" w:rsidR="00DF3F5C" w:rsidRDefault="002B3D01">
            <w:pPr>
              <w:pStyle w:val="TableParagraph"/>
              <w:spacing w:line="360" w:lineRule="auto"/>
              <w:ind w:firstLineChars="200" w:firstLine="482"/>
              <w:rPr>
                <w:rFonts w:asciiTheme="minorEastAsia" w:eastAsia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9</w:t>
            </w:r>
            <w:r w:rsidR="008C2D4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BE3B10" w:rsidRPr="00BE3B10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公司的测试机在</w:t>
            </w:r>
            <w:r w:rsidR="00BE3B10" w:rsidRPr="00BE3B10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CP和FT业务之</w:t>
            </w:r>
            <w:r w:rsidR="00BE3B10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间、</w:t>
            </w:r>
            <w:proofErr w:type="gramStart"/>
            <w:r w:rsidR="00BE3B10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算力业务</w:t>
            </w:r>
            <w:proofErr w:type="gramEnd"/>
            <w:r w:rsidR="00BE3B10">
              <w:rPr>
                <w:rFonts w:asciiTheme="minorEastAsia" w:eastAsiaTheme="minorEastAsia" w:hAnsiTheme="minorEastAsia"/>
                <w:b/>
                <w:bCs/>
                <w:sz w:val="24"/>
                <w:szCs w:val="24"/>
                <w:lang w:val="en-US"/>
              </w:rPr>
              <w:t>和消费电子业务之间，是否可以实现同一设备的产能协调</w:t>
            </w:r>
            <w:r w:rsidR="008C2D4C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？</w:t>
            </w:r>
          </w:p>
          <w:p w14:paraId="7BA527BB" w14:textId="262C7411" w:rsidR="00DF3F5C" w:rsidRDefault="008C2D4C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="00BE3B10" w:rsidRPr="00BE3B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可以实现产能协调，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CP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业务使用的测试机是相同的，仅需为测试机搭配不同的探针台（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CP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业务使用）或分选机（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业务使用）即可。公司内部</w:t>
            </w:r>
            <w:proofErr w:type="gramStart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探针台</w:t>
            </w:r>
            <w:proofErr w:type="gramEnd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加分选机的数量大于测试机的数量，具备一定的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灵活度，可以实现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CP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FT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之间的产能调整。相同设备在不同产品之间也可以调整，若配置不同仅需加减板卡即可；比如消费电子客户和</w:t>
            </w:r>
            <w:proofErr w:type="gramStart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算力客户</w:t>
            </w:r>
            <w:proofErr w:type="gramEnd"/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都使用</w:t>
            </w:r>
            <w:r w:rsidR="002B3D01">
              <w:rPr>
                <w:rFonts w:ascii="Times New Roman" w:eastAsia="宋体" w:hAnsi="Times New Roman" w:cs="Times New Roman"/>
                <w:sz w:val="24"/>
                <w:szCs w:val="24"/>
              </w:rPr>
              <w:t>相同</w:t>
            </w:r>
            <w:r w:rsidR="00BE3B10" w:rsidRPr="00BE3B10">
              <w:rPr>
                <w:rFonts w:ascii="Times New Roman" w:eastAsia="宋体" w:hAnsi="Times New Roman" w:cs="Times New Roman"/>
                <w:sz w:val="24"/>
                <w:szCs w:val="24"/>
              </w:rPr>
              <w:t>机型的情况下，相同机型的机台可以互相转用，仅需要一定的调整时间，没有明显障碍。</w:t>
            </w:r>
          </w:p>
          <w:p w14:paraId="0D65B29D" w14:textId="77777777" w:rsidR="008D4D18" w:rsidRDefault="008D4D18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2FEEF45" w14:textId="04C63486" w:rsidR="00EF5A8F" w:rsidRDefault="002B3D01" w:rsidP="00EF5A8F">
            <w:pPr>
              <w:pStyle w:val="TableParagraph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0</w:t>
            </w:r>
            <w:r w:rsidR="00EF5A8F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、</w:t>
            </w:r>
            <w:r w:rsidR="008D78B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公司</w:t>
            </w:r>
            <w:r w:rsidR="00EF5A8F" w:rsidRPr="00EF5A8F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  <w:lang w:val="en-US"/>
              </w:rPr>
              <w:t>人员增长趋势？</w:t>
            </w:r>
          </w:p>
          <w:p w14:paraId="58093298" w14:textId="77777777" w:rsidR="00E00DEC" w:rsidRDefault="00EF5A8F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答：</w:t>
            </w:r>
            <w:r w:rsidRPr="00EF5A8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公司会提前进行人员储备，每年三季度、四季度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一般</w:t>
            </w:r>
            <w:r w:rsidRPr="00EF5A8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是行业旺季，公司会提前两三个月招聘人员，相关成本会提前体现；公司年底人员数量会比较多，应对春节期间的人员离职高峰，春节后一季度人员数量相对较少，二季度、三季度逐步增加人员。</w:t>
            </w:r>
          </w:p>
          <w:p w14:paraId="73E6E1FC" w14:textId="77777777" w:rsidR="00973FA0" w:rsidRDefault="00973FA0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093DA63" w14:textId="4639AC59" w:rsidR="00973FA0" w:rsidRDefault="00973FA0" w:rsidP="00EF5A8F">
            <w:pPr>
              <w:pStyle w:val="TableParagraph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DF3F5C" w14:paraId="6C7F4666" w14:textId="77777777">
        <w:trPr>
          <w:trHeight w:val="1433"/>
          <w:jc w:val="center"/>
        </w:trPr>
        <w:tc>
          <w:tcPr>
            <w:tcW w:w="1139" w:type="dxa"/>
            <w:vAlign w:val="center"/>
          </w:tcPr>
          <w:p w14:paraId="7E8B0EAF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7463" w:type="dxa"/>
          </w:tcPr>
          <w:p w14:paraId="530EDC9E" w14:textId="77777777" w:rsidR="00DF3F5C" w:rsidRDefault="008C2D4C">
            <w:pPr>
              <w:autoSpaceDE/>
              <w:autoSpaceDN/>
              <w:spacing w:line="360" w:lineRule="auto"/>
              <w:ind w:firstLineChars="200" w:firstLine="480"/>
              <w:jc w:val="both"/>
              <w:rPr>
                <w:rFonts w:ascii="Times New Roman" w:eastAsia="宋体" w:hAnsi="Times New Roman" w:cs="宋体"/>
                <w:bCs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Times New Roman" w:eastAsia="宋体" w:hAnsi="Times New Roman" w:cs="宋体" w:hint="eastAsia"/>
                <w:bCs/>
                <w:kern w:val="2"/>
                <w:sz w:val="24"/>
                <w:szCs w:val="24"/>
                <w:lang w:val="en-US" w:bidi="ar-SA"/>
              </w:rPr>
              <w:t>以上如涉及对行业的预测、公司发展规划等相关内容，不代表公司或公司管理层对行业、公司发展或业绩的盈利预测和承诺，不构成公司对投资者的实质性承诺，敬请广大投资者注意投资风险。</w:t>
            </w:r>
          </w:p>
        </w:tc>
      </w:tr>
      <w:tr w:rsidR="00DF3F5C" w14:paraId="4225B1AD" w14:textId="77777777">
        <w:trPr>
          <w:trHeight w:val="599"/>
          <w:jc w:val="center"/>
        </w:trPr>
        <w:tc>
          <w:tcPr>
            <w:tcW w:w="1139" w:type="dxa"/>
            <w:vAlign w:val="center"/>
          </w:tcPr>
          <w:p w14:paraId="21A6E327" w14:textId="77777777" w:rsidR="00DF3F5C" w:rsidRDefault="008C2D4C">
            <w:pPr>
              <w:pStyle w:val="TableParagraph"/>
              <w:spacing w:line="360" w:lineRule="auto"/>
              <w:jc w:val="center"/>
              <w:rPr>
                <w:rFonts w:ascii="Times New Roman" w:eastAsia="宋体" w:hAnsi="Times New Roman" w:cs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7463" w:type="dxa"/>
            <w:vAlign w:val="center"/>
          </w:tcPr>
          <w:p w14:paraId="7EE7F072" w14:textId="77777777" w:rsidR="00DF3F5C" w:rsidRDefault="008C2D4C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宋体"/>
                <w:sz w:val="24"/>
                <w:szCs w:val="24"/>
                <w:lang w:val="en-US" w:eastAsia="zh-Hans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val="en-US"/>
              </w:rPr>
              <w:t>无</w:t>
            </w:r>
          </w:p>
        </w:tc>
      </w:tr>
    </w:tbl>
    <w:p w14:paraId="655743AE" w14:textId="77777777" w:rsidR="00DF3F5C" w:rsidRDefault="00DF3F5C">
      <w:pPr>
        <w:pStyle w:val="paragraph"/>
        <w:spacing w:before="0" w:beforeAutospacing="0" w:afterLines="100" w:after="240" w:afterAutospacing="0"/>
        <w:jc w:val="both"/>
        <w:rPr>
          <w:rFonts w:ascii="Times New Roman" w:eastAsia="宋体" w:hAnsi="Times New Roman"/>
          <w:color w:val="000000"/>
        </w:rPr>
      </w:pPr>
    </w:p>
    <w:sectPr w:rsidR="00DF3F5C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4FE41" w14:textId="77777777" w:rsidR="00747F98" w:rsidRDefault="00747F98" w:rsidP="00097FCB">
      <w:r>
        <w:separator/>
      </w:r>
    </w:p>
  </w:endnote>
  <w:endnote w:type="continuationSeparator" w:id="0">
    <w:p w14:paraId="4520FB43" w14:textId="77777777" w:rsidR="00747F98" w:rsidRDefault="00747F98" w:rsidP="0009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B4EEB" w14:textId="77777777" w:rsidR="00747F98" w:rsidRDefault="00747F98" w:rsidP="00097FCB">
      <w:r>
        <w:separator/>
      </w:r>
    </w:p>
  </w:footnote>
  <w:footnote w:type="continuationSeparator" w:id="0">
    <w:p w14:paraId="07064AFB" w14:textId="77777777" w:rsidR="00747F98" w:rsidRDefault="00747F98" w:rsidP="00097FCB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g Pei">
    <w15:presenceInfo w15:providerId="AD" w15:userId="S-1-5-21-3292799169-1765499166-59751486-17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5MjcwYWNlZThiOGMwZDUyZjM5MDlmNWI1NjUzZGEifQ=="/>
  </w:docVars>
  <w:rsids>
    <w:rsidRoot w:val="00301D32"/>
    <w:rsid w:val="00014F61"/>
    <w:rsid w:val="0001523E"/>
    <w:rsid w:val="00026CC3"/>
    <w:rsid w:val="00036089"/>
    <w:rsid w:val="00053CFA"/>
    <w:rsid w:val="000577F8"/>
    <w:rsid w:val="000633EC"/>
    <w:rsid w:val="00063804"/>
    <w:rsid w:val="000665A2"/>
    <w:rsid w:val="00070D81"/>
    <w:rsid w:val="000759D7"/>
    <w:rsid w:val="00082944"/>
    <w:rsid w:val="000857A4"/>
    <w:rsid w:val="000877AB"/>
    <w:rsid w:val="0009126F"/>
    <w:rsid w:val="00097FCB"/>
    <w:rsid w:val="000A2828"/>
    <w:rsid w:val="000A44DE"/>
    <w:rsid w:val="000B75BA"/>
    <w:rsid w:val="000B7C08"/>
    <w:rsid w:val="000C41DA"/>
    <w:rsid w:val="000D12CF"/>
    <w:rsid w:val="000D2D88"/>
    <w:rsid w:val="000D658C"/>
    <w:rsid w:val="000E4B20"/>
    <w:rsid w:val="000E4FCF"/>
    <w:rsid w:val="000F5CFF"/>
    <w:rsid w:val="000F7B52"/>
    <w:rsid w:val="0011418F"/>
    <w:rsid w:val="00117B1D"/>
    <w:rsid w:val="0012250D"/>
    <w:rsid w:val="0013206B"/>
    <w:rsid w:val="00140904"/>
    <w:rsid w:val="00150BC8"/>
    <w:rsid w:val="00172C24"/>
    <w:rsid w:val="00173C36"/>
    <w:rsid w:val="00173DE7"/>
    <w:rsid w:val="001778F6"/>
    <w:rsid w:val="001802FE"/>
    <w:rsid w:val="001818AD"/>
    <w:rsid w:val="00190FE3"/>
    <w:rsid w:val="001918C4"/>
    <w:rsid w:val="001A57E3"/>
    <w:rsid w:val="001B4711"/>
    <w:rsid w:val="001B559B"/>
    <w:rsid w:val="001C1D90"/>
    <w:rsid w:val="001C7260"/>
    <w:rsid w:val="001C75BD"/>
    <w:rsid w:val="001D2D55"/>
    <w:rsid w:val="001E1886"/>
    <w:rsid w:val="001E59D1"/>
    <w:rsid w:val="001E5EA4"/>
    <w:rsid w:val="001F1EE1"/>
    <w:rsid w:val="001F7884"/>
    <w:rsid w:val="002042A7"/>
    <w:rsid w:val="002051AE"/>
    <w:rsid w:val="00205911"/>
    <w:rsid w:val="002146AD"/>
    <w:rsid w:val="002348D1"/>
    <w:rsid w:val="0024262E"/>
    <w:rsid w:val="00255965"/>
    <w:rsid w:val="002618DB"/>
    <w:rsid w:val="002676DB"/>
    <w:rsid w:val="00275CB6"/>
    <w:rsid w:val="002800B5"/>
    <w:rsid w:val="00285CD0"/>
    <w:rsid w:val="00290116"/>
    <w:rsid w:val="00293238"/>
    <w:rsid w:val="00295331"/>
    <w:rsid w:val="00295B29"/>
    <w:rsid w:val="0029704C"/>
    <w:rsid w:val="00297501"/>
    <w:rsid w:val="002A1636"/>
    <w:rsid w:val="002B3D01"/>
    <w:rsid w:val="002B45D2"/>
    <w:rsid w:val="002B62C3"/>
    <w:rsid w:val="002C13E4"/>
    <w:rsid w:val="002C4055"/>
    <w:rsid w:val="002C549B"/>
    <w:rsid w:val="002C6F3D"/>
    <w:rsid w:val="002D1A46"/>
    <w:rsid w:val="002D2CE3"/>
    <w:rsid w:val="002D355E"/>
    <w:rsid w:val="002D4073"/>
    <w:rsid w:val="002E7098"/>
    <w:rsid w:val="002F5191"/>
    <w:rsid w:val="002F63BE"/>
    <w:rsid w:val="00301608"/>
    <w:rsid w:val="00301D32"/>
    <w:rsid w:val="0030456B"/>
    <w:rsid w:val="00306A62"/>
    <w:rsid w:val="00307AB6"/>
    <w:rsid w:val="00307E23"/>
    <w:rsid w:val="0031357A"/>
    <w:rsid w:val="00322733"/>
    <w:rsid w:val="003442FC"/>
    <w:rsid w:val="003449A4"/>
    <w:rsid w:val="00344E88"/>
    <w:rsid w:val="00347CB6"/>
    <w:rsid w:val="00351E4A"/>
    <w:rsid w:val="0035561C"/>
    <w:rsid w:val="00357807"/>
    <w:rsid w:val="003578E8"/>
    <w:rsid w:val="00366FAD"/>
    <w:rsid w:val="0036713B"/>
    <w:rsid w:val="0037105B"/>
    <w:rsid w:val="0038006C"/>
    <w:rsid w:val="0039316F"/>
    <w:rsid w:val="003975BA"/>
    <w:rsid w:val="003A2B26"/>
    <w:rsid w:val="003A74E6"/>
    <w:rsid w:val="003B4B92"/>
    <w:rsid w:val="003B73DD"/>
    <w:rsid w:val="003C7C2F"/>
    <w:rsid w:val="003D011C"/>
    <w:rsid w:val="003F6D3C"/>
    <w:rsid w:val="00401496"/>
    <w:rsid w:val="00403B08"/>
    <w:rsid w:val="004108C7"/>
    <w:rsid w:val="00412DC2"/>
    <w:rsid w:val="004146AD"/>
    <w:rsid w:val="00416824"/>
    <w:rsid w:val="004350A0"/>
    <w:rsid w:val="004368FF"/>
    <w:rsid w:val="00440041"/>
    <w:rsid w:val="00443FE5"/>
    <w:rsid w:val="00451268"/>
    <w:rsid w:val="004515AD"/>
    <w:rsid w:val="00451857"/>
    <w:rsid w:val="00453516"/>
    <w:rsid w:val="0045629D"/>
    <w:rsid w:val="00457548"/>
    <w:rsid w:val="00461796"/>
    <w:rsid w:val="0046309A"/>
    <w:rsid w:val="004632DA"/>
    <w:rsid w:val="00463650"/>
    <w:rsid w:val="00470DB2"/>
    <w:rsid w:val="00471EC6"/>
    <w:rsid w:val="00474A28"/>
    <w:rsid w:val="00480ACA"/>
    <w:rsid w:val="00482DDD"/>
    <w:rsid w:val="00483B65"/>
    <w:rsid w:val="0048425F"/>
    <w:rsid w:val="004856C8"/>
    <w:rsid w:val="00485A3F"/>
    <w:rsid w:val="004925E7"/>
    <w:rsid w:val="00495B11"/>
    <w:rsid w:val="004B0DE7"/>
    <w:rsid w:val="004C4F91"/>
    <w:rsid w:val="004D414E"/>
    <w:rsid w:val="004D503C"/>
    <w:rsid w:val="004E286B"/>
    <w:rsid w:val="004E3894"/>
    <w:rsid w:val="004E4304"/>
    <w:rsid w:val="004E43C1"/>
    <w:rsid w:val="004E4491"/>
    <w:rsid w:val="004F0F72"/>
    <w:rsid w:val="004F1B91"/>
    <w:rsid w:val="004F6FF3"/>
    <w:rsid w:val="00500908"/>
    <w:rsid w:val="00507A0D"/>
    <w:rsid w:val="0051181D"/>
    <w:rsid w:val="00522E31"/>
    <w:rsid w:val="00524AC9"/>
    <w:rsid w:val="00525CFE"/>
    <w:rsid w:val="00533E07"/>
    <w:rsid w:val="00544AD9"/>
    <w:rsid w:val="005458CF"/>
    <w:rsid w:val="005540AA"/>
    <w:rsid w:val="00571B49"/>
    <w:rsid w:val="005743AE"/>
    <w:rsid w:val="005762CD"/>
    <w:rsid w:val="00583233"/>
    <w:rsid w:val="005869A1"/>
    <w:rsid w:val="005934B2"/>
    <w:rsid w:val="0059477D"/>
    <w:rsid w:val="005972A6"/>
    <w:rsid w:val="005A3F66"/>
    <w:rsid w:val="005B313C"/>
    <w:rsid w:val="005B46BE"/>
    <w:rsid w:val="005B482C"/>
    <w:rsid w:val="005D0DCE"/>
    <w:rsid w:val="005D30A7"/>
    <w:rsid w:val="005D64CA"/>
    <w:rsid w:val="005D6E65"/>
    <w:rsid w:val="005E2FC7"/>
    <w:rsid w:val="005E5717"/>
    <w:rsid w:val="005E6DB2"/>
    <w:rsid w:val="005F44BD"/>
    <w:rsid w:val="005F709A"/>
    <w:rsid w:val="00604F3B"/>
    <w:rsid w:val="00611393"/>
    <w:rsid w:val="00611E0E"/>
    <w:rsid w:val="0061433E"/>
    <w:rsid w:val="006159E3"/>
    <w:rsid w:val="00616F76"/>
    <w:rsid w:val="00616FDF"/>
    <w:rsid w:val="0062246F"/>
    <w:rsid w:val="0062751D"/>
    <w:rsid w:val="00627BB3"/>
    <w:rsid w:val="0063059B"/>
    <w:rsid w:val="00631087"/>
    <w:rsid w:val="006354AA"/>
    <w:rsid w:val="00642556"/>
    <w:rsid w:val="0064351C"/>
    <w:rsid w:val="00652735"/>
    <w:rsid w:val="00661AFA"/>
    <w:rsid w:val="0066788C"/>
    <w:rsid w:val="006726BF"/>
    <w:rsid w:val="00675B49"/>
    <w:rsid w:val="00677B77"/>
    <w:rsid w:val="0068718A"/>
    <w:rsid w:val="0069089C"/>
    <w:rsid w:val="006960E7"/>
    <w:rsid w:val="00696FCC"/>
    <w:rsid w:val="006A2286"/>
    <w:rsid w:val="006A2739"/>
    <w:rsid w:val="006A57E2"/>
    <w:rsid w:val="006B5C95"/>
    <w:rsid w:val="006B7293"/>
    <w:rsid w:val="006C0CED"/>
    <w:rsid w:val="006D1AD0"/>
    <w:rsid w:val="006D44A3"/>
    <w:rsid w:val="006D544A"/>
    <w:rsid w:val="006D737E"/>
    <w:rsid w:val="006E14B0"/>
    <w:rsid w:val="006E66E1"/>
    <w:rsid w:val="006F0108"/>
    <w:rsid w:val="006F4275"/>
    <w:rsid w:val="006F4608"/>
    <w:rsid w:val="006F672A"/>
    <w:rsid w:val="00704AE6"/>
    <w:rsid w:val="00711DB3"/>
    <w:rsid w:val="007153A2"/>
    <w:rsid w:val="007205DC"/>
    <w:rsid w:val="00724A68"/>
    <w:rsid w:val="007271BF"/>
    <w:rsid w:val="00727DDE"/>
    <w:rsid w:val="00730DD3"/>
    <w:rsid w:val="00733224"/>
    <w:rsid w:val="00733C9A"/>
    <w:rsid w:val="00741E7A"/>
    <w:rsid w:val="00744BA0"/>
    <w:rsid w:val="00747F98"/>
    <w:rsid w:val="00755F0F"/>
    <w:rsid w:val="00756904"/>
    <w:rsid w:val="00763EA3"/>
    <w:rsid w:val="00764128"/>
    <w:rsid w:val="00767AE4"/>
    <w:rsid w:val="007817AF"/>
    <w:rsid w:val="007824B8"/>
    <w:rsid w:val="00785B39"/>
    <w:rsid w:val="007910DD"/>
    <w:rsid w:val="00795B68"/>
    <w:rsid w:val="007A3EC1"/>
    <w:rsid w:val="007B3368"/>
    <w:rsid w:val="007B35E2"/>
    <w:rsid w:val="007C10BC"/>
    <w:rsid w:val="007C1D25"/>
    <w:rsid w:val="007C37B9"/>
    <w:rsid w:val="007C3CA9"/>
    <w:rsid w:val="007C68E1"/>
    <w:rsid w:val="007C7017"/>
    <w:rsid w:val="007C7839"/>
    <w:rsid w:val="007D0A69"/>
    <w:rsid w:val="007D64BB"/>
    <w:rsid w:val="007D6DC4"/>
    <w:rsid w:val="007F529A"/>
    <w:rsid w:val="00803899"/>
    <w:rsid w:val="00807FCD"/>
    <w:rsid w:val="00810505"/>
    <w:rsid w:val="00812425"/>
    <w:rsid w:val="00812598"/>
    <w:rsid w:val="008160A0"/>
    <w:rsid w:val="00830491"/>
    <w:rsid w:val="00831107"/>
    <w:rsid w:val="00832BF4"/>
    <w:rsid w:val="0083536E"/>
    <w:rsid w:val="00840B10"/>
    <w:rsid w:val="00840FC0"/>
    <w:rsid w:val="008467EA"/>
    <w:rsid w:val="0085308D"/>
    <w:rsid w:val="00853463"/>
    <w:rsid w:val="00856D25"/>
    <w:rsid w:val="008615C6"/>
    <w:rsid w:val="00870A23"/>
    <w:rsid w:val="00876634"/>
    <w:rsid w:val="00877D31"/>
    <w:rsid w:val="00890268"/>
    <w:rsid w:val="00893F25"/>
    <w:rsid w:val="008949B2"/>
    <w:rsid w:val="00895035"/>
    <w:rsid w:val="008977AF"/>
    <w:rsid w:val="008A1E07"/>
    <w:rsid w:val="008B2B14"/>
    <w:rsid w:val="008B57AA"/>
    <w:rsid w:val="008B6464"/>
    <w:rsid w:val="008C1BE0"/>
    <w:rsid w:val="008C2D4C"/>
    <w:rsid w:val="008C6AED"/>
    <w:rsid w:val="008C7604"/>
    <w:rsid w:val="008D2EAF"/>
    <w:rsid w:val="008D4D18"/>
    <w:rsid w:val="008D78BC"/>
    <w:rsid w:val="008E0A51"/>
    <w:rsid w:val="008E1B27"/>
    <w:rsid w:val="008E2C4E"/>
    <w:rsid w:val="008E61B0"/>
    <w:rsid w:val="008F7496"/>
    <w:rsid w:val="008F78A3"/>
    <w:rsid w:val="00903379"/>
    <w:rsid w:val="00906975"/>
    <w:rsid w:val="009171C5"/>
    <w:rsid w:val="00917F0B"/>
    <w:rsid w:val="00917F8B"/>
    <w:rsid w:val="00932338"/>
    <w:rsid w:val="00951CD8"/>
    <w:rsid w:val="00954332"/>
    <w:rsid w:val="009564E0"/>
    <w:rsid w:val="009605F6"/>
    <w:rsid w:val="00960698"/>
    <w:rsid w:val="00960964"/>
    <w:rsid w:val="00965E4D"/>
    <w:rsid w:val="0097232E"/>
    <w:rsid w:val="00973FA0"/>
    <w:rsid w:val="009760BD"/>
    <w:rsid w:val="00977143"/>
    <w:rsid w:val="00986110"/>
    <w:rsid w:val="0099154E"/>
    <w:rsid w:val="009922B0"/>
    <w:rsid w:val="009A0E1F"/>
    <w:rsid w:val="009A20C4"/>
    <w:rsid w:val="009B1D5C"/>
    <w:rsid w:val="009B4901"/>
    <w:rsid w:val="009C080B"/>
    <w:rsid w:val="009C2464"/>
    <w:rsid w:val="009C2E31"/>
    <w:rsid w:val="009C3234"/>
    <w:rsid w:val="009D0316"/>
    <w:rsid w:val="009D4301"/>
    <w:rsid w:val="009E0D5D"/>
    <w:rsid w:val="009E1955"/>
    <w:rsid w:val="009E7ED5"/>
    <w:rsid w:val="00A061BF"/>
    <w:rsid w:val="00A10245"/>
    <w:rsid w:val="00A26325"/>
    <w:rsid w:val="00A32A51"/>
    <w:rsid w:val="00A330C0"/>
    <w:rsid w:val="00A33784"/>
    <w:rsid w:val="00A3445D"/>
    <w:rsid w:val="00A416C4"/>
    <w:rsid w:val="00A43140"/>
    <w:rsid w:val="00A52607"/>
    <w:rsid w:val="00A527AA"/>
    <w:rsid w:val="00A56784"/>
    <w:rsid w:val="00A5684D"/>
    <w:rsid w:val="00A63B43"/>
    <w:rsid w:val="00A75C61"/>
    <w:rsid w:val="00A76316"/>
    <w:rsid w:val="00A7758F"/>
    <w:rsid w:val="00A955CE"/>
    <w:rsid w:val="00A9601B"/>
    <w:rsid w:val="00A9642C"/>
    <w:rsid w:val="00AA02FC"/>
    <w:rsid w:val="00AA0910"/>
    <w:rsid w:val="00AA4348"/>
    <w:rsid w:val="00AB2DDC"/>
    <w:rsid w:val="00AD100E"/>
    <w:rsid w:val="00AD3FFF"/>
    <w:rsid w:val="00AE1E36"/>
    <w:rsid w:val="00AE2043"/>
    <w:rsid w:val="00AE28B6"/>
    <w:rsid w:val="00AF0DB7"/>
    <w:rsid w:val="00AF74AA"/>
    <w:rsid w:val="00B03C2F"/>
    <w:rsid w:val="00B05CAA"/>
    <w:rsid w:val="00B07DE9"/>
    <w:rsid w:val="00B13D51"/>
    <w:rsid w:val="00B15064"/>
    <w:rsid w:val="00B219F7"/>
    <w:rsid w:val="00B26867"/>
    <w:rsid w:val="00B27754"/>
    <w:rsid w:val="00B3167B"/>
    <w:rsid w:val="00B340A3"/>
    <w:rsid w:val="00B36D66"/>
    <w:rsid w:val="00B375AD"/>
    <w:rsid w:val="00B40BD5"/>
    <w:rsid w:val="00B410F5"/>
    <w:rsid w:val="00B44242"/>
    <w:rsid w:val="00B546CF"/>
    <w:rsid w:val="00B60803"/>
    <w:rsid w:val="00B6280C"/>
    <w:rsid w:val="00B6415C"/>
    <w:rsid w:val="00B671A4"/>
    <w:rsid w:val="00B72CD4"/>
    <w:rsid w:val="00B83832"/>
    <w:rsid w:val="00B85B00"/>
    <w:rsid w:val="00B8651C"/>
    <w:rsid w:val="00B90507"/>
    <w:rsid w:val="00BA4159"/>
    <w:rsid w:val="00BA5BB7"/>
    <w:rsid w:val="00BB40A8"/>
    <w:rsid w:val="00BB520F"/>
    <w:rsid w:val="00BB56F7"/>
    <w:rsid w:val="00BC0C7F"/>
    <w:rsid w:val="00BC1591"/>
    <w:rsid w:val="00BC41EC"/>
    <w:rsid w:val="00BD5195"/>
    <w:rsid w:val="00BD66FE"/>
    <w:rsid w:val="00BE0A7D"/>
    <w:rsid w:val="00BE3B10"/>
    <w:rsid w:val="00BE502E"/>
    <w:rsid w:val="00BE74F3"/>
    <w:rsid w:val="00BF132F"/>
    <w:rsid w:val="00BF1A6E"/>
    <w:rsid w:val="00BF3270"/>
    <w:rsid w:val="00BF392F"/>
    <w:rsid w:val="00BF5955"/>
    <w:rsid w:val="00C00A6D"/>
    <w:rsid w:val="00C04289"/>
    <w:rsid w:val="00C06081"/>
    <w:rsid w:val="00C13878"/>
    <w:rsid w:val="00C15DBD"/>
    <w:rsid w:val="00C2792C"/>
    <w:rsid w:val="00C31284"/>
    <w:rsid w:val="00C40110"/>
    <w:rsid w:val="00C40873"/>
    <w:rsid w:val="00C60BE0"/>
    <w:rsid w:val="00C634E9"/>
    <w:rsid w:val="00C80FC9"/>
    <w:rsid w:val="00C8296B"/>
    <w:rsid w:val="00C94E06"/>
    <w:rsid w:val="00C9551B"/>
    <w:rsid w:val="00CA1705"/>
    <w:rsid w:val="00CB787F"/>
    <w:rsid w:val="00CC2F08"/>
    <w:rsid w:val="00CC322F"/>
    <w:rsid w:val="00CE1A54"/>
    <w:rsid w:val="00CE3B27"/>
    <w:rsid w:val="00CF1332"/>
    <w:rsid w:val="00CF18F2"/>
    <w:rsid w:val="00CF4A48"/>
    <w:rsid w:val="00CF5FB6"/>
    <w:rsid w:val="00CF629B"/>
    <w:rsid w:val="00CF7697"/>
    <w:rsid w:val="00D02518"/>
    <w:rsid w:val="00D02BF7"/>
    <w:rsid w:val="00D05354"/>
    <w:rsid w:val="00D17454"/>
    <w:rsid w:val="00D242D6"/>
    <w:rsid w:val="00D33FBC"/>
    <w:rsid w:val="00D4153D"/>
    <w:rsid w:val="00D55021"/>
    <w:rsid w:val="00D55629"/>
    <w:rsid w:val="00D65CF6"/>
    <w:rsid w:val="00D67CC9"/>
    <w:rsid w:val="00D7535C"/>
    <w:rsid w:val="00D76302"/>
    <w:rsid w:val="00D8173D"/>
    <w:rsid w:val="00D920F6"/>
    <w:rsid w:val="00DA5CE2"/>
    <w:rsid w:val="00DB32A8"/>
    <w:rsid w:val="00DB37BC"/>
    <w:rsid w:val="00DC17B4"/>
    <w:rsid w:val="00DC5238"/>
    <w:rsid w:val="00DD4AAF"/>
    <w:rsid w:val="00DD77DA"/>
    <w:rsid w:val="00DE10E8"/>
    <w:rsid w:val="00DE4A17"/>
    <w:rsid w:val="00DE4DE7"/>
    <w:rsid w:val="00DF3F5C"/>
    <w:rsid w:val="00DF432F"/>
    <w:rsid w:val="00DF5B93"/>
    <w:rsid w:val="00DF6703"/>
    <w:rsid w:val="00E00DEC"/>
    <w:rsid w:val="00E06DBC"/>
    <w:rsid w:val="00E12C2C"/>
    <w:rsid w:val="00E16FDA"/>
    <w:rsid w:val="00E22383"/>
    <w:rsid w:val="00E24110"/>
    <w:rsid w:val="00E32F5A"/>
    <w:rsid w:val="00E3505B"/>
    <w:rsid w:val="00E35F58"/>
    <w:rsid w:val="00E36B27"/>
    <w:rsid w:val="00E40CAC"/>
    <w:rsid w:val="00E41F88"/>
    <w:rsid w:val="00E42644"/>
    <w:rsid w:val="00E42989"/>
    <w:rsid w:val="00E45BD9"/>
    <w:rsid w:val="00E46A6A"/>
    <w:rsid w:val="00E5290D"/>
    <w:rsid w:val="00E54418"/>
    <w:rsid w:val="00E5761F"/>
    <w:rsid w:val="00E66FFC"/>
    <w:rsid w:val="00E7556B"/>
    <w:rsid w:val="00E759D6"/>
    <w:rsid w:val="00E75D35"/>
    <w:rsid w:val="00E82523"/>
    <w:rsid w:val="00E84A8C"/>
    <w:rsid w:val="00E91D05"/>
    <w:rsid w:val="00E97626"/>
    <w:rsid w:val="00E976DE"/>
    <w:rsid w:val="00EA06FF"/>
    <w:rsid w:val="00EA2580"/>
    <w:rsid w:val="00EA3568"/>
    <w:rsid w:val="00EA6881"/>
    <w:rsid w:val="00EA6954"/>
    <w:rsid w:val="00EB1A79"/>
    <w:rsid w:val="00EC0A5A"/>
    <w:rsid w:val="00EC0F83"/>
    <w:rsid w:val="00EC2F21"/>
    <w:rsid w:val="00ED45DB"/>
    <w:rsid w:val="00EE3187"/>
    <w:rsid w:val="00EE5EE9"/>
    <w:rsid w:val="00EE617E"/>
    <w:rsid w:val="00EF4407"/>
    <w:rsid w:val="00EF499B"/>
    <w:rsid w:val="00EF5A8F"/>
    <w:rsid w:val="00F12205"/>
    <w:rsid w:val="00F13757"/>
    <w:rsid w:val="00F14977"/>
    <w:rsid w:val="00F23035"/>
    <w:rsid w:val="00F252DF"/>
    <w:rsid w:val="00F3343A"/>
    <w:rsid w:val="00F4504F"/>
    <w:rsid w:val="00F52668"/>
    <w:rsid w:val="00F54764"/>
    <w:rsid w:val="00F772C5"/>
    <w:rsid w:val="00FA7F70"/>
    <w:rsid w:val="00FB1B6A"/>
    <w:rsid w:val="00FB4A08"/>
    <w:rsid w:val="00FB597F"/>
    <w:rsid w:val="00FC0C2A"/>
    <w:rsid w:val="00FC3C57"/>
    <w:rsid w:val="00FC6286"/>
    <w:rsid w:val="00FD4B9B"/>
    <w:rsid w:val="00FD7F8E"/>
    <w:rsid w:val="00FE13FC"/>
    <w:rsid w:val="00FE2093"/>
    <w:rsid w:val="00FF11E4"/>
    <w:rsid w:val="00FF173B"/>
    <w:rsid w:val="00FF7C19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9CB37D4"/>
    <w:rsid w:val="6A0D5B9B"/>
    <w:rsid w:val="6A3B23B1"/>
    <w:rsid w:val="6AEA32DC"/>
    <w:rsid w:val="6CA950E9"/>
    <w:rsid w:val="6CC24AB5"/>
    <w:rsid w:val="6D9271B2"/>
    <w:rsid w:val="6F134790"/>
    <w:rsid w:val="6FE81F5F"/>
    <w:rsid w:val="72446028"/>
    <w:rsid w:val="73076EC0"/>
    <w:rsid w:val="74210CA6"/>
    <w:rsid w:val="746F4E76"/>
    <w:rsid w:val="788C25F5"/>
    <w:rsid w:val="79F72AA9"/>
    <w:rsid w:val="7A144529"/>
    <w:rsid w:val="7DD37FAE"/>
    <w:rsid w:val="7FA7D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table" w:styleId="a9">
    <w:name w:val="Table Grid"/>
    <w:basedOn w:val="a1"/>
    <w:uiPriority w:val="39"/>
    <w:rPr>
      <w:kern w:val="2"/>
      <w:sz w:val="21"/>
      <w:szCs w:val="22"/>
    </w:rPr>
    <w:tblPr>
      <w:tblInd w:w="0" w:type="dxa"/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aa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paragraph">
    <w:name w:val="paragraph"/>
    <w:basedOn w:val="a"/>
    <w:semiHidden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 w:bidi="ar-SA"/>
    </w:rPr>
  </w:style>
  <w:style w:type="character" w:styleId="ab">
    <w:name w:val="Strong"/>
    <w:basedOn w:val="a0"/>
    <w:uiPriority w:val="22"/>
    <w:qFormat/>
    <w:rsid w:val="008F78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table" w:styleId="a9">
    <w:name w:val="Table Grid"/>
    <w:basedOn w:val="a1"/>
    <w:uiPriority w:val="39"/>
    <w:rPr>
      <w:kern w:val="2"/>
      <w:sz w:val="21"/>
      <w:szCs w:val="22"/>
    </w:rPr>
    <w:tblPr>
      <w:tblInd w:w="0" w:type="dxa"/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aa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paragraph">
    <w:name w:val="paragraph"/>
    <w:basedOn w:val="a"/>
    <w:semiHidden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 w:bidi="ar-SA"/>
    </w:rPr>
  </w:style>
  <w:style w:type="character" w:styleId="ab">
    <w:name w:val="Strong"/>
    <w:basedOn w:val="a0"/>
    <w:uiPriority w:val="22"/>
    <w:qFormat/>
    <w:rsid w:val="008F7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471</Words>
  <Characters>2690</Characters>
  <Application>Microsoft Office Word</Application>
  <DocSecurity>0</DocSecurity>
  <Lines>22</Lines>
  <Paragraphs>6</Paragraphs>
  <ScaleCrop>false</ScaleCrop>
  <Company>P R C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Dan Liu</cp:lastModifiedBy>
  <cp:revision>13</cp:revision>
  <dcterms:created xsi:type="dcterms:W3CDTF">2026-09-01T02:40:00Z</dcterms:created>
  <dcterms:modified xsi:type="dcterms:W3CDTF">2026-09-01T07:00:00Z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eyJoZGlkIjoiYmQ0NjBhOGUzYTQyMGFkMGJhOTU5ZTA0NTU4YWViMWUifQ==</vt:lpwstr>
  </property>
</Properties>
</file>