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b/>
          <w:bCs/>
          <w:iCs/>
          <w:color w:val="000000"/>
        </w:rPr>
      </w:pPr>
      <w:r>
        <w:rPr>
          <w:bCs/>
          <w:iCs/>
          <w:color w:val="000000"/>
        </w:rPr>
        <w:t>证券代码：</w:t>
      </w:r>
      <w:r>
        <w:rPr>
          <w:rFonts w:hint="eastAsia"/>
          <w:bCs/>
          <w:iCs/>
          <w:color w:val="000000"/>
        </w:rPr>
        <w:t>688512</w:t>
      </w:r>
      <w:r>
        <w:rPr>
          <w:bCs/>
          <w:iCs/>
          <w:color w:val="000000"/>
        </w:rPr>
        <w:t xml:space="preserve">                            </w:t>
      </w:r>
      <w:r>
        <w:rPr>
          <w:rFonts w:hint="eastAsia"/>
          <w:bCs/>
          <w:iCs/>
          <w:color w:val="000000"/>
        </w:rPr>
        <w:t xml:space="preserve">         </w:t>
      </w:r>
      <w:r>
        <w:rPr>
          <w:bCs/>
          <w:iCs/>
          <w:color w:val="000000"/>
        </w:rPr>
        <w:t>证券简称：</w:t>
      </w:r>
      <w:r>
        <w:rPr>
          <w:rFonts w:hint="eastAsia"/>
          <w:bCs/>
          <w:iCs/>
          <w:color w:val="000000"/>
        </w:rPr>
        <w:t xml:space="preserve">慧智微 </w:t>
      </w:r>
      <w:r>
        <w:rPr>
          <w:bCs/>
          <w:iCs/>
          <w:color w:val="000000"/>
        </w:rPr>
        <w:t xml:space="preserve">  </w:t>
      </w:r>
    </w:p>
    <w:p>
      <w:pPr>
        <w:ind w:firstLine="562"/>
        <w:jc w:val="center"/>
        <w:rPr>
          <w:b/>
          <w:bCs/>
          <w:iCs/>
          <w:color w:val="000000"/>
          <w:sz w:val="28"/>
          <w:szCs w:val="28"/>
        </w:rPr>
      </w:pPr>
      <w:r>
        <w:rPr>
          <w:rFonts w:hint="eastAsia"/>
          <w:b/>
          <w:bCs/>
          <w:iCs/>
          <w:color w:val="000000"/>
          <w:sz w:val="28"/>
          <w:szCs w:val="28"/>
        </w:rPr>
        <w:t>广州慧智微电子股份有限公司</w:t>
      </w:r>
    </w:p>
    <w:p>
      <w:pPr>
        <w:ind w:firstLine="562"/>
        <w:jc w:val="center"/>
        <w:rPr>
          <w:b/>
          <w:bCs/>
          <w:iCs/>
          <w:color w:val="000000"/>
          <w:sz w:val="28"/>
          <w:szCs w:val="28"/>
        </w:rPr>
      </w:pPr>
      <w:r>
        <w:rPr>
          <w:rFonts w:hint="eastAsia"/>
          <w:b/>
          <w:bCs/>
          <w:iCs/>
          <w:color w:val="000000"/>
          <w:sz w:val="28"/>
          <w:szCs w:val="28"/>
        </w:rPr>
        <w:t>投资者关系活动记录表</w:t>
      </w:r>
    </w:p>
    <w:p>
      <w:pPr>
        <w:spacing w:line="400" w:lineRule="exact"/>
        <w:ind w:firstLine="480"/>
        <w:jc w:val="right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编号：</w:t>
      </w:r>
      <w:r>
        <w:rPr>
          <w:bCs/>
          <w:iCs/>
          <w:color w:val="000000"/>
          <w:highlight w:val="none"/>
        </w:rPr>
        <w:t>2026-002</w:t>
      </w:r>
    </w:p>
    <w:tbl>
      <w:tblPr>
        <w:tblStyle w:val="18"/>
        <w:tblpPr w:leftFromText="180" w:rightFromText="180" w:vertAnchor="text" w:horzAnchor="page" w:tblpX="1798" w:tblpY="38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67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投资者关系活动类别</w:t>
            </w:r>
          </w:p>
          <w:p>
            <w:pPr>
              <w:ind w:firstLine="0" w:firstLineChars="0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6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tLeast"/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sym w:font="Wingdings 2" w:char="0052"/>
            </w:r>
            <w:r>
              <w:t xml:space="preserve">特定对象调研        </w:t>
            </w:r>
            <w:r>
              <w:rPr>
                <w:bCs/>
                <w:iCs/>
                <w:color w:val="000000"/>
              </w:rPr>
              <w:sym w:font="Wingdings 2" w:char="00A3"/>
            </w:r>
            <w:r>
              <w:t>分析师会议</w:t>
            </w:r>
          </w:p>
          <w:p>
            <w:pPr>
              <w:spacing w:line="480" w:lineRule="atLeast"/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sym w:font="Wingdings 2" w:char="00A3"/>
            </w:r>
            <w:r>
              <w:t xml:space="preserve">媒体采访            </w:t>
            </w:r>
            <w:bookmarkStart w:id="0" w:name="_GoBack"/>
            <w:bookmarkEnd w:id="0"/>
            <w:r>
              <w:rPr>
                <w:bCs/>
                <w:iCs/>
                <w:color w:val="000000"/>
              </w:rPr>
              <w:sym w:font="Wingdings 2" w:char="00A3"/>
            </w:r>
            <w:r>
              <w:t>业绩说明会</w:t>
            </w:r>
          </w:p>
          <w:p>
            <w:pPr>
              <w:spacing w:line="480" w:lineRule="atLeast"/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sym w:font="Wingdings 2" w:char="00A3"/>
            </w:r>
            <w:r>
              <w:t xml:space="preserve">新闻发布会          </w:t>
            </w:r>
            <w:r>
              <w:rPr>
                <w:bCs/>
                <w:iCs/>
                <w:color w:val="000000"/>
              </w:rPr>
              <w:sym w:font="Wingdings 2" w:char="00A3"/>
            </w:r>
            <w:r>
              <w:t>路演活动</w:t>
            </w:r>
          </w:p>
          <w:p>
            <w:pPr>
              <w:tabs>
                <w:tab w:val="left" w:pos="3045"/>
                <w:tab w:val="center" w:pos="3199"/>
              </w:tabs>
              <w:spacing w:line="480" w:lineRule="atLeast"/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sym w:font="Wingdings 2" w:char="00A3"/>
            </w:r>
            <w:r>
              <w:t>现场参观</w:t>
            </w:r>
            <w:r>
              <w:rPr>
                <w:bCs/>
                <w:iCs/>
                <w:color w:val="000000"/>
              </w:rPr>
              <w:tab/>
            </w:r>
          </w:p>
          <w:p>
            <w:pPr>
              <w:tabs>
                <w:tab w:val="center" w:pos="3199"/>
              </w:tabs>
              <w:spacing w:line="480" w:lineRule="atLeast"/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sym w:font="Wingdings 2" w:char="00A3"/>
            </w:r>
            <w:r>
              <w:t>其他 （</w:t>
            </w:r>
            <w:r>
              <w:rPr>
                <w:u w:val="single"/>
              </w:rPr>
              <w:t>请文字说明其他活动内容）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参与单位名称及人员姓名</w:t>
            </w:r>
          </w:p>
        </w:tc>
        <w:tc>
          <w:tcPr>
            <w:tcW w:w="6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tLeast"/>
              <w:ind w:firstLine="0" w:firstLineChars="0"/>
              <w:jc w:val="lef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华泰证券、中金</w:t>
            </w:r>
            <w:r>
              <w:rPr>
                <w:rFonts w:hint="eastAsia"/>
                <w:bCs/>
                <w:iCs/>
                <w:color w:val="000000"/>
              </w:rPr>
              <w:t>公司</w:t>
            </w:r>
            <w:r>
              <w:rPr>
                <w:bCs/>
                <w:iCs/>
                <w:color w:val="000000"/>
              </w:rPr>
              <w:t>、广发证券、山西证券、朱雀基金、太平基金、东兴基金、九泰基金、上海理臻投资、闻天私募、仲春私募、上海贵源投资、鸿运私募基金、于翼资管、上海鹤禧基金、西安敦成投资、深圳宽源基金、北京云晖私募、循远资管、上海润义投资、东晟私募证券、北京泽铭投资、北京金安私募基金、润晖（天津）、深圳市红石榴、上海明汯投资、邦政资管、前海汇杰达理资本、上海明河投资、盘京</w:t>
            </w:r>
            <w:r>
              <w:rPr>
                <w:rFonts w:hint="eastAsia"/>
                <w:bCs/>
                <w:iCs/>
                <w:color w:val="000000"/>
              </w:rPr>
              <w:t>投资</w:t>
            </w:r>
            <w:r>
              <w:rPr>
                <w:bCs/>
                <w:iCs/>
                <w:color w:val="000000"/>
              </w:rPr>
              <w:t>、丰琰投资、深圳富存投资、广州云禧私募基金、招商信诺资管、华安财保资管、UOBKH、远望资产、丞毅投资、渝汇投资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时间</w:t>
            </w:r>
          </w:p>
        </w:tc>
        <w:tc>
          <w:tcPr>
            <w:tcW w:w="6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tLeast"/>
              <w:ind w:firstLine="0" w:firstLineChars="0"/>
              <w:jc w:val="lef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202</w:t>
            </w:r>
            <w:r>
              <w:rPr>
                <w:rFonts w:hint="eastAsia"/>
                <w:bCs/>
                <w:iCs/>
                <w:color w:val="000000"/>
              </w:rPr>
              <w:t>6</w:t>
            </w:r>
            <w:r>
              <w:rPr>
                <w:bCs/>
                <w:iCs/>
                <w:color w:val="000000"/>
              </w:rPr>
              <w:t>年</w:t>
            </w:r>
            <w:r>
              <w:rPr>
                <w:rFonts w:hint="eastAsia"/>
                <w:bCs/>
                <w:iCs/>
                <w:color w:val="000000"/>
              </w:rPr>
              <w:t>8</w:t>
            </w:r>
            <w:r>
              <w:rPr>
                <w:bCs/>
                <w:iCs/>
                <w:color w:val="000000"/>
              </w:rPr>
              <w:t>月</w:t>
            </w:r>
            <w:r>
              <w:rPr>
                <w:rFonts w:hint="eastAsia"/>
                <w:bCs/>
                <w:iCs/>
                <w:color w:val="000000"/>
              </w:rPr>
              <w:t>31</w:t>
            </w:r>
            <w:r>
              <w:rPr>
                <w:bCs/>
                <w:iCs/>
                <w:color w:val="00000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地点</w:t>
            </w:r>
          </w:p>
        </w:tc>
        <w:tc>
          <w:tcPr>
            <w:tcW w:w="6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tLeast"/>
              <w:ind w:firstLine="0" w:firstLineChars="0"/>
              <w:jc w:val="lef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广州慧智微电子股份有限公司上海办公室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上市公司接待人员姓名</w:t>
            </w:r>
          </w:p>
        </w:tc>
        <w:tc>
          <w:tcPr>
            <w:tcW w:w="6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tLeast"/>
              <w:ind w:firstLine="0" w:firstLineChars="0"/>
              <w:jc w:val="lef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财务总监兼董事会秘书：徐斌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投资者关系活动主要内容介绍</w:t>
            </w:r>
          </w:p>
          <w:p>
            <w:pPr>
              <w:ind w:firstLine="0" w:firstLineChars="0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6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tLeast"/>
              <w:ind w:firstLine="0" w:firstLineChars="0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一、202</w:t>
            </w:r>
            <w:r>
              <w:rPr>
                <w:rFonts w:hint="eastAsia"/>
                <w:b/>
                <w:iCs/>
                <w:color w:val="000000"/>
              </w:rPr>
              <w:t>6</w:t>
            </w:r>
            <w:r>
              <w:rPr>
                <w:b/>
                <w:iCs/>
                <w:color w:val="000000"/>
              </w:rPr>
              <w:t>年</w:t>
            </w:r>
            <w:r>
              <w:rPr>
                <w:rFonts w:hint="eastAsia"/>
                <w:b/>
                <w:iCs/>
                <w:color w:val="000000"/>
              </w:rPr>
              <w:t>上半年度及2026年2季度经营</w:t>
            </w:r>
            <w:r>
              <w:rPr>
                <w:b/>
                <w:iCs/>
                <w:color w:val="000000"/>
              </w:rPr>
              <w:t>情况介绍</w:t>
            </w:r>
          </w:p>
          <w:p>
            <w:pPr>
              <w:pStyle w:val="35"/>
              <w:spacing w:line="480" w:lineRule="atLeast"/>
              <w:ind w:firstLine="480" w:firstLineChars="20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2026年上半年，公司实现营业收入4.68亿元，同比增长32.1%；毛利率为11.66%，同比提升3.12个百分点；期间费用为1.64亿元</w:t>
            </w:r>
            <w:r>
              <w:rPr>
                <w:rFonts w:hint="eastAsia"/>
                <w:bCs/>
                <w:iCs/>
                <w:color w:val="000000"/>
              </w:rPr>
              <w:t>，</w:t>
            </w:r>
            <w:r>
              <w:rPr>
                <w:bCs/>
                <w:iCs/>
                <w:color w:val="000000"/>
              </w:rPr>
              <w:t>归母净利润亏损1.37亿元，扣非归母净利润亏损1.46亿元</w:t>
            </w:r>
            <w:r>
              <w:rPr>
                <w:rFonts w:hint="eastAsia"/>
                <w:bCs/>
                <w:iCs/>
                <w:color w:val="000000"/>
              </w:rPr>
              <w:t>。</w:t>
            </w:r>
          </w:p>
          <w:p>
            <w:pPr>
              <w:pStyle w:val="35"/>
              <w:spacing w:line="480" w:lineRule="atLeast"/>
              <w:ind w:firstLine="480" w:firstLineChars="20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2026年2季度实现营业收入2.54亿元，同比增长16.6%，环比增长18.2%；毛利率为10.52%，同比提升4.69个百分点；期间费用为8,463万元</w:t>
            </w:r>
            <w:r>
              <w:rPr>
                <w:rFonts w:hint="eastAsia"/>
                <w:bCs/>
                <w:iCs/>
                <w:color w:val="000000"/>
              </w:rPr>
              <w:t>，</w:t>
            </w:r>
            <w:r>
              <w:rPr>
                <w:bCs/>
                <w:iCs/>
                <w:color w:val="000000"/>
              </w:rPr>
              <w:t>归母净利润亏损7,024万元</w:t>
            </w:r>
            <w:r>
              <w:rPr>
                <w:rFonts w:hint="eastAsia"/>
                <w:bCs/>
                <w:iCs/>
                <w:color w:val="000000"/>
              </w:rPr>
              <w:t>，</w:t>
            </w:r>
            <w:r>
              <w:rPr>
                <w:bCs/>
                <w:iCs/>
                <w:color w:val="000000"/>
              </w:rPr>
              <w:t>扣非归母净利润亏损7,675万元，同比亏损基本持平</w:t>
            </w:r>
            <w:r>
              <w:rPr>
                <w:rFonts w:hint="eastAsia"/>
                <w:bCs/>
                <w:iCs/>
                <w:color w:val="000000"/>
              </w:rPr>
              <w:t>。</w:t>
            </w:r>
          </w:p>
          <w:p>
            <w:pPr>
              <w:spacing w:line="480" w:lineRule="atLeast"/>
              <w:ind w:firstLine="0" w:firstLineChars="0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二、交流的主要问题及回复</w:t>
            </w:r>
          </w:p>
          <w:p>
            <w:pPr>
              <w:pStyle w:val="34"/>
              <w:numPr>
                <w:ilvl w:val="0"/>
                <w:numId w:val="2"/>
              </w:numPr>
              <w:spacing w:before="156" w:after="156"/>
              <w:ind w:left="0" w:firstLine="0" w:firstLineChars="0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上半年公司收入增长的重要增量来自海外客户的产品导入，海外客户产品导入的最新进展及收入贡献情况如何？</w:t>
            </w:r>
          </w:p>
          <w:p>
            <w:pPr>
              <w:pStyle w:val="34"/>
              <w:spacing w:before="156" w:after="156"/>
              <w:ind w:firstLine="480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海外安卓客户自2025年上半年开始出货，2025年下半年起量，2026年上半年规模上量。</w:t>
            </w:r>
          </w:p>
          <w:p>
            <w:pPr>
              <w:pStyle w:val="34"/>
              <w:numPr>
                <w:ilvl w:val="0"/>
                <w:numId w:val="2"/>
              </w:numPr>
              <w:spacing w:before="156" w:after="156"/>
              <w:ind w:left="0" w:firstLine="0" w:firstLineChars="0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公司此前已导入5G MMMB、L-PAMiF等产品，目前具体产品料号的导入情况是否有变化？</w:t>
            </w:r>
          </w:p>
          <w:p>
            <w:pPr>
              <w:pStyle w:val="34"/>
              <w:spacing w:before="156" w:after="156"/>
              <w:ind w:firstLine="480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公司新导入的产品预计在三季度、四季度陆续开始出货。</w:t>
            </w:r>
          </w:p>
          <w:p>
            <w:pPr>
              <w:pStyle w:val="34"/>
              <w:numPr>
                <w:ilvl w:val="0"/>
                <w:numId w:val="2"/>
              </w:numPr>
              <w:spacing w:before="156" w:after="156"/>
              <w:ind w:left="0" w:firstLine="0" w:firstLineChars="0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公司产能端（封测、基板等）是否紧张？对量和成本端有何压力或变化？</w:t>
            </w:r>
          </w:p>
          <w:p>
            <w:pPr>
              <w:pStyle w:val="34"/>
              <w:spacing w:before="156" w:after="156"/>
              <w:ind w:firstLine="480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整个供应链封测产能、基板都较为紧张，公司采取积极的备货策略来保障客户端交付。</w:t>
            </w:r>
          </w:p>
          <w:p>
            <w:pPr>
              <w:pStyle w:val="34"/>
              <w:numPr>
                <w:ilvl w:val="0"/>
                <w:numId w:val="2"/>
              </w:numPr>
              <w:spacing w:before="156" w:after="156"/>
              <w:ind w:left="0" w:firstLine="0" w:firstLineChars="0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产能和供应链问题下半年是否会有改善？对营收的制约是否得到缓解？</w:t>
            </w:r>
          </w:p>
          <w:p>
            <w:pPr>
              <w:pStyle w:val="34"/>
              <w:spacing w:before="156" w:after="156"/>
              <w:ind w:firstLine="480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公司在封测和基板等方面采取了积极的措施应对，并与供应商积极沟通，预计下半年公司获得的产能规模将比上半年更多。</w:t>
            </w:r>
          </w:p>
          <w:p>
            <w:pPr>
              <w:pStyle w:val="34"/>
              <w:numPr>
                <w:ilvl w:val="0"/>
                <w:numId w:val="2"/>
              </w:numPr>
              <w:spacing w:before="156" w:after="156"/>
              <w:ind w:left="0" w:firstLine="0" w:firstLineChars="0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近期射频行业有友商发布涨价函，公司如何看待后续射频涨价情况及对毛利率的影响？</w:t>
            </w:r>
          </w:p>
          <w:p>
            <w:pPr>
              <w:pStyle w:val="34"/>
              <w:spacing w:before="156" w:after="156"/>
              <w:ind w:firstLine="480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公司目前仍处于观望状态。</w:t>
            </w:r>
          </w:p>
          <w:p>
            <w:pPr>
              <w:pStyle w:val="34"/>
              <w:numPr>
                <w:ilvl w:val="0"/>
                <w:numId w:val="2"/>
              </w:numPr>
              <w:spacing w:before="156" w:after="156"/>
              <w:ind w:left="0" w:firstLine="0" w:firstLineChars="0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国际厂商在高端射频前端仍具备滤波器专利及供应链整合优势，公司目前与国际厂商的差距主要体现在哪些产品或技术环节？</w:t>
            </w:r>
          </w:p>
          <w:p>
            <w:pPr>
              <w:pStyle w:val="34"/>
              <w:spacing w:before="156" w:after="156"/>
              <w:ind w:firstLine="480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国际厂商在滤波器方面的技术和专利都有深厚的积累。公司深耕射频前端设计领域，具有PA、LNA、开关等器件的设计能力，目前基本能与国际厂商同步同质推出射频前端产品。</w:t>
            </w:r>
          </w:p>
          <w:p>
            <w:pPr>
              <w:pStyle w:val="34"/>
              <w:numPr>
                <w:ilvl w:val="0"/>
                <w:numId w:val="2"/>
              </w:numPr>
              <w:spacing w:before="156" w:after="156"/>
              <w:ind w:left="0" w:firstLine="0" w:firstLineChars="0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部分国内同行正在从Fabless向Fab-Lite转型，公司是否仍会长期坚持Fabless模式？这一模式在成本交付和高集成模组能力上的优劣如何评估？</w:t>
            </w:r>
          </w:p>
          <w:p>
            <w:pPr>
              <w:pStyle w:val="34"/>
              <w:spacing w:before="156" w:after="156"/>
              <w:ind w:firstLine="480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无论Fabless还是Fab-Lite都是射频赛道主线上迭代的方向；从Fabless切换到IDM模式需要选择恰当的时机，并与公司规模和盈利状况相匹配。</w:t>
            </w:r>
          </w:p>
          <w:p>
            <w:pPr>
              <w:pStyle w:val="34"/>
              <w:numPr>
                <w:ilvl w:val="0"/>
                <w:numId w:val="2"/>
              </w:numPr>
              <w:spacing w:before="156" w:after="156"/>
              <w:ind w:left="0" w:firstLine="0" w:firstLineChars="0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公司过去几年的毛利率波动较大，管理层认为毛利率达到什么水平后，才可以判断商业模式真正进入稳定状态？</w:t>
            </w:r>
          </w:p>
          <w:p>
            <w:pPr>
              <w:pStyle w:val="34"/>
              <w:spacing w:before="156" w:after="156"/>
              <w:ind w:firstLine="480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过去几年射频前端赛道国内厂商竞争激烈，5G MMMB、4G等产品毛利较低，公司认为射频前端芯片毛利率起码达到25%，才算稳健正常的生意。</w:t>
            </w:r>
          </w:p>
          <w:p>
            <w:pPr>
              <w:pStyle w:val="34"/>
              <w:numPr>
                <w:ilvl w:val="0"/>
                <w:numId w:val="2"/>
              </w:numPr>
              <w:spacing w:before="156" w:after="156"/>
              <w:ind w:left="0" w:firstLine="0" w:firstLineChars="0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可重构射频技术一直是公司的核心路线，在高度集成模组时代，这项技术的优势主要体现在芯片面积、开发周期、成本还是功率功耗上？</w:t>
            </w:r>
          </w:p>
          <w:p>
            <w:pPr>
              <w:pStyle w:val="34"/>
              <w:spacing w:before="156" w:after="156"/>
              <w:ind w:firstLine="480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公司自2011年成立以来，投入大量资源开发迭代可重构架构，凭借架构优势，公司产品的高集成能力更强，设计成本更低。</w:t>
            </w:r>
          </w:p>
          <w:p>
            <w:pPr>
              <w:pStyle w:val="34"/>
              <w:numPr>
                <w:ilvl w:val="0"/>
                <w:numId w:val="2"/>
              </w:numPr>
              <w:spacing w:before="156" w:after="156"/>
              <w:ind w:left="0" w:firstLine="0" w:firstLineChars="0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国内头部客户高端旗舰项目取得突破后，能否向中高端走量进行复制，以及管理层如何权衡旗舰机型的示范效应和走量机型的收入贡献？</w:t>
            </w:r>
          </w:p>
          <w:p>
            <w:pPr>
              <w:pStyle w:val="34"/>
              <w:spacing w:before="156" w:after="156"/>
              <w:ind w:firstLine="480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公司自2021年起，已陆续量产多个中低端项目。鉴于高端旗舰机型对芯片性能、功能指标、方案规划等要求极高，公司产品已实现在高端旗舰机型量产，证明公司产品达到国际主流厂商同等的技术能力。</w:t>
            </w:r>
          </w:p>
          <w:p>
            <w:pPr>
              <w:pStyle w:val="34"/>
              <w:numPr>
                <w:ilvl w:val="0"/>
                <w:numId w:val="2"/>
              </w:numPr>
              <w:spacing w:before="156" w:after="156"/>
              <w:ind w:left="0" w:firstLine="0" w:firstLineChars="0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公司过去长期保持较高研发强度，当前研发费用率下降是否具有持续性，还是5G-A、6G及新兴应用项目启动后会重新上升？</w:t>
            </w:r>
          </w:p>
          <w:p>
            <w:pPr>
              <w:pStyle w:val="34"/>
              <w:spacing w:before="156" w:after="156"/>
              <w:ind w:firstLine="480" w:firstLineChars="200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公司近几年研发费用基本持平，研发费用率下降主要由于收入增长。</w:t>
            </w:r>
          </w:p>
          <w:p>
            <w:pPr>
              <w:pStyle w:val="34"/>
              <w:numPr>
                <w:ilvl w:val="0"/>
                <w:numId w:val="2"/>
              </w:numPr>
              <w:spacing w:before="156" w:after="156"/>
              <w:ind w:left="0" w:firstLine="0" w:firstLineChars="0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下半年是否存在客户拉货、季节性项目切换或终端需求走弱导致收入环比波动的风险？目前在手订单对未来1个季度收入的覆盖程度如何？公司订单能见度较去年同期是否有改善？</w:t>
            </w:r>
          </w:p>
          <w:p>
            <w:pPr>
              <w:pStyle w:val="34"/>
              <w:spacing w:before="156" w:after="156"/>
              <w:ind w:firstLine="480" w:firstLineChars="200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目前射频前端行业的涨价趋势已经显现，因为射频器件是长周期物料，客户四季度提货需求增加，预计2026年收入较2025年将实现增长。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附件清单（如有）</w:t>
            </w:r>
          </w:p>
        </w:tc>
        <w:tc>
          <w:tcPr>
            <w:tcW w:w="6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tLeast"/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关于本次活动是否涉及应当披露重大信息的说明</w:t>
            </w:r>
          </w:p>
        </w:tc>
        <w:tc>
          <w:tcPr>
            <w:tcW w:w="6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tLeast"/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本次活动不涉及应当披露重大信息。</w:t>
            </w:r>
          </w:p>
        </w:tc>
      </w:tr>
    </w:tbl>
    <w:p>
      <w:pPr>
        <w:spacing w:line="400" w:lineRule="exact"/>
        <w:ind w:firstLine="0" w:firstLineChars="0"/>
        <w:rPr>
          <w:bCs/>
          <w:iCs/>
          <w:color w:val="000000"/>
        </w:rPr>
      </w:pPr>
    </w:p>
    <w:p>
      <w:pPr>
        <w:ind w:firstLine="48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97" w:bottom="1440" w:left="1797" w:header="737" w:footer="68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pBdr>
        <w:top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1E2CC6"/>
    <w:multiLevelType w:val="multilevel"/>
    <w:tmpl w:val="211E2CC6"/>
    <w:lvl w:ilvl="0" w:tentative="0">
      <w:start w:val="1"/>
      <w:numFmt w:val="chineseCountingThousand"/>
      <w:pStyle w:val="2"/>
      <w:suff w:val="nothing"/>
      <w:lvlText w:val="第%1节"/>
      <w:lvlJc w:val="left"/>
      <w:pPr>
        <w:ind w:left="0" w:firstLine="0"/>
      </w:pPr>
      <w:rPr>
        <w:rFonts w:hint="eastAsia" w:ascii="黑体" w:hAnsi="黑体" w:eastAsia="黑体"/>
        <w:b w:val="0"/>
        <w:i w:val="0"/>
        <w:sz w:val="32"/>
      </w:rPr>
    </w:lvl>
    <w:lvl w:ilvl="1" w:tentative="0">
      <w:start w:val="1"/>
      <w:numFmt w:val="koreanDigital2"/>
      <w:pStyle w:val="4"/>
      <w:suff w:val="nothing"/>
      <w:lvlText w:val="%2、"/>
      <w:lvlJc w:val="left"/>
      <w:pPr>
        <w:ind w:left="0" w:firstLine="0"/>
      </w:pPr>
      <w:rPr>
        <w:rFonts w:hint="default" w:ascii="Times New Roman" w:hAnsi="Times New Roman" w:cs="Times New Roman"/>
        <w:b w:val="0"/>
        <w:i w:val="0"/>
        <w:sz w:val="28"/>
      </w:rPr>
    </w:lvl>
    <w:lvl w:ilvl="2" w:tentative="0">
      <w:start w:val="1"/>
      <w:numFmt w:val="koreanDigital2"/>
      <w:pStyle w:val="5"/>
      <w:suff w:val="nothing"/>
      <w:lvlText w:val="（%3）"/>
      <w:lvlJc w:val="left"/>
      <w:pPr>
        <w:ind w:left="0" w:firstLine="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24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3" w:tentative="0">
      <w:start w:val="1"/>
      <w:numFmt w:val="decimal"/>
      <w:pStyle w:val="6"/>
      <w:suff w:val="nothing"/>
      <w:lvlText w:val="%4、"/>
      <w:lvlJc w:val="left"/>
      <w:pPr>
        <w:ind w:left="0" w:firstLine="0"/>
      </w:pPr>
      <w:rPr>
        <w:rFonts w:hint="default" w:ascii="Times New Roman" w:hAnsi="Times New Roman" w:cs="Times New Roman"/>
        <w:b/>
        <w:i w:val="0"/>
        <w:sz w:val="24"/>
      </w:rPr>
    </w:lvl>
    <w:lvl w:ilvl="4" w:tentative="0">
      <w:start w:val="1"/>
      <w:numFmt w:val="decimal"/>
      <w:pStyle w:val="7"/>
      <w:suff w:val="nothing"/>
      <w:lvlText w:val="（%5）"/>
      <w:lvlJc w:val="left"/>
      <w:pPr>
        <w:ind w:left="0" w:firstLine="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24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0"/>
      </w:pPr>
      <w:rPr>
        <w:rFonts w:hint="default" w:ascii="Times New Roman" w:hAnsi="Times New Roman" w:cs="Times New Roman"/>
        <w:b w:val="0"/>
        <w:i w:val="0"/>
        <w:sz w:val="24"/>
        <w:u w:val="none"/>
      </w:rPr>
    </w:lvl>
    <w:lvl w:ilvl="6" w:tentative="0">
      <w:start w:val="1"/>
      <w:numFmt w:val="decimalEnclosedCircle"/>
      <w:pStyle w:val="9"/>
      <w:suff w:val="nothing"/>
      <w:lvlText w:val="%7"/>
      <w:lvlJc w:val="left"/>
      <w:pPr>
        <w:ind w:left="0" w:firstLine="0"/>
      </w:pPr>
      <w:rPr>
        <w:rFonts w:hint="default" w:ascii="Times New Roman" w:hAnsi="Times New Roman" w:cs="Times New Roman"/>
        <w:b w:val="0"/>
        <w:i w:val="0"/>
        <w:sz w:val="24"/>
        <w:lang w:val="en-US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0480CB2"/>
    <w:multiLevelType w:val="multilevel"/>
    <w:tmpl w:val="60480CB2"/>
    <w:lvl w:ilvl="0" w:tentative="0">
      <w:start w:val="1"/>
      <w:numFmt w:val="decimal"/>
      <w:suff w:val="nothing"/>
      <w:lvlText w:val="%1、"/>
      <w:lvlJc w:val="left"/>
      <w:pPr>
        <w:ind w:left="865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E2NzBjZjY1N2M2ZDhiZTU1ZjM1ODczNDhiOWJkOTQifQ=="/>
  </w:docVars>
  <w:rsids>
    <w:rsidRoot w:val="002963FE"/>
    <w:rsid w:val="0000167D"/>
    <w:rsid w:val="0000205E"/>
    <w:rsid w:val="00003434"/>
    <w:rsid w:val="000107ED"/>
    <w:rsid w:val="00026015"/>
    <w:rsid w:val="00027259"/>
    <w:rsid w:val="000339DC"/>
    <w:rsid w:val="00037243"/>
    <w:rsid w:val="0005388C"/>
    <w:rsid w:val="00065F0D"/>
    <w:rsid w:val="00083884"/>
    <w:rsid w:val="00085B1A"/>
    <w:rsid w:val="000865B1"/>
    <w:rsid w:val="000876C2"/>
    <w:rsid w:val="00087737"/>
    <w:rsid w:val="000A7959"/>
    <w:rsid w:val="000C49D3"/>
    <w:rsid w:val="000D081B"/>
    <w:rsid w:val="000D1E57"/>
    <w:rsid w:val="0012543D"/>
    <w:rsid w:val="00135880"/>
    <w:rsid w:val="00167C0C"/>
    <w:rsid w:val="0018582C"/>
    <w:rsid w:val="001954EA"/>
    <w:rsid w:val="001A0B10"/>
    <w:rsid w:val="001A16DE"/>
    <w:rsid w:val="001B32A7"/>
    <w:rsid w:val="001C724B"/>
    <w:rsid w:val="001D0865"/>
    <w:rsid w:val="001E7710"/>
    <w:rsid w:val="00221BF8"/>
    <w:rsid w:val="00227AC2"/>
    <w:rsid w:val="00227ADB"/>
    <w:rsid w:val="00245149"/>
    <w:rsid w:val="0024611F"/>
    <w:rsid w:val="00252422"/>
    <w:rsid w:val="00290F09"/>
    <w:rsid w:val="0029227E"/>
    <w:rsid w:val="002963FE"/>
    <w:rsid w:val="002A5C0B"/>
    <w:rsid w:val="002B3BDE"/>
    <w:rsid w:val="002B55F2"/>
    <w:rsid w:val="00301862"/>
    <w:rsid w:val="0031037B"/>
    <w:rsid w:val="003310D8"/>
    <w:rsid w:val="00333E15"/>
    <w:rsid w:val="00366385"/>
    <w:rsid w:val="003A0C0D"/>
    <w:rsid w:val="003C59A0"/>
    <w:rsid w:val="003E2B9A"/>
    <w:rsid w:val="003E2E84"/>
    <w:rsid w:val="003F3957"/>
    <w:rsid w:val="00417016"/>
    <w:rsid w:val="00417070"/>
    <w:rsid w:val="0042117C"/>
    <w:rsid w:val="004239E3"/>
    <w:rsid w:val="00426E8D"/>
    <w:rsid w:val="004465B7"/>
    <w:rsid w:val="00452299"/>
    <w:rsid w:val="0045621F"/>
    <w:rsid w:val="00476251"/>
    <w:rsid w:val="004809ED"/>
    <w:rsid w:val="004A09A3"/>
    <w:rsid w:val="004A6B81"/>
    <w:rsid w:val="004B1074"/>
    <w:rsid w:val="004B5A8B"/>
    <w:rsid w:val="004D53FD"/>
    <w:rsid w:val="0051273D"/>
    <w:rsid w:val="00513D17"/>
    <w:rsid w:val="00546DA6"/>
    <w:rsid w:val="00555B7C"/>
    <w:rsid w:val="00556977"/>
    <w:rsid w:val="00556D71"/>
    <w:rsid w:val="00561621"/>
    <w:rsid w:val="005660E9"/>
    <w:rsid w:val="005B2EA6"/>
    <w:rsid w:val="00614719"/>
    <w:rsid w:val="00641E48"/>
    <w:rsid w:val="00653806"/>
    <w:rsid w:val="00655546"/>
    <w:rsid w:val="006B2612"/>
    <w:rsid w:val="006B77DE"/>
    <w:rsid w:val="006C2415"/>
    <w:rsid w:val="006C4D1E"/>
    <w:rsid w:val="007270B2"/>
    <w:rsid w:val="00734BE6"/>
    <w:rsid w:val="00737ED5"/>
    <w:rsid w:val="00757D28"/>
    <w:rsid w:val="0076144B"/>
    <w:rsid w:val="00763E34"/>
    <w:rsid w:val="007650DC"/>
    <w:rsid w:val="00797315"/>
    <w:rsid w:val="007C3399"/>
    <w:rsid w:val="007C4587"/>
    <w:rsid w:val="007D460F"/>
    <w:rsid w:val="007E1548"/>
    <w:rsid w:val="007E5B76"/>
    <w:rsid w:val="0080166F"/>
    <w:rsid w:val="00837B2D"/>
    <w:rsid w:val="0085798A"/>
    <w:rsid w:val="00862B9E"/>
    <w:rsid w:val="0088215C"/>
    <w:rsid w:val="008852C9"/>
    <w:rsid w:val="008B3400"/>
    <w:rsid w:val="008D361D"/>
    <w:rsid w:val="008D52FF"/>
    <w:rsid w:val="008D765D"/>
    <w:rsid w:val="008E4294"/>
    <w:rsid w:val="0090347D"/>
    <w:rsid w:val="00907EA1"/>
    <w:rsid w:val="00933041"/>
    <w:rsid w:val="00934D41"/>
    <w:rsid w:val="00936B36"/>
    <w:rsid w:val="0096210C"/>
    <w:rsid w:val="0097755C"/>
    <w:rsid w:val="0098414F"/>
    <w:rsid w:val="00984681"/>
    <w:rsid w:val="009872C4"/>
    <w:rsid w:val="009A01BF"/>
    <w:rsid w:val="009A1079"/>
    <w:rsid w:val="009B6CDF"/>
    <w:rsid w:val="009D3B16"/>
    <w:rsid w:val="009E36B5"/>
    <w:rsid w:val="009F6500"/>
    <w:rsid w:val="00A0143C"/>
    <w:rsid w:val="00A0229E"/>
    <w:rsid w:val="00A039CB"/>
    <w:rsid w:val="00A10F3E"/>
    <w:rsid w:val="00A21B70"/>
    <w:rsid w:val="00A30ABC"/>
    <w:rsid w:val="00A3142C"/>
    <w:rsid w:val="00A36504"/>
    <w:rsid w:val="00A61C39"/>
    <w:rsid w:val="00A730E8"/>
    <w:rsid w:val="00A861DB"/>
    <w:rsid w:val="00A93288"/>
    <w:rsid w:val="00AC64B7"/>
    <w:rsid w:val="00AC7233"/>
    <w:rsid w:val="00AD0821"/>
    <w:rsid w:val="00AD2345"/>
    <w:rsid w:val="00AD29C2"/>
    <w:rsid w:val="00AF2045"/>
    <w:rsid w:val="00B0525B"/>
    <w:rsid w:val="00B11455"/>
    <w:rsid w:val="00B12D8B"/>
    <w:rsid w:val="00B16710"/>
    <w:rsid w:val="00B17931"/>
    <w:rsid w:val="00B37FBE"/>
    <w:rsid w:val="00B44AB4"/>
    <w:rsid w:val="00B45C73"/>
    <w:rsid w:val="00BA0D72"/>
    <w:rsid w:val="00BB5D25"/>
    <w:rsid w:val="00BC67F3"/>
    <w:rsid w:val="00BF34F0"/>
    <w:rsid w:val="00C10549"/>
    <w:rsid w:val="00C1198B"/>
    <w:rsid w:val="00C21704"/>
    <w:rsid w:val="00C2663F"/>
    <w:rsid w:val="00C52D2F"/>
    <w:rsid w:val="00C65FC9"/>
    <w:rsid w:val="00C71784"/>
    <w:rsid w:val="00C7240C"/>
    <w:rsid w:val="00C80DC6"/>
    <w:rsid w:val="00C942B2"/>
    <w:rsid w:val="00C97EBD"/>
    <w:rsid w:val="00CA2638"/>
    <w:rsid w:val="00CB5F81"/>
    <w:rsid w:val="00CB7EC9"/>
    <w:rsid w:val="00CC6882"/>
    <w:rsid w:val="00CF74A6"/>
    <w:rsid w:val="00D0340A"/>
    <w:rsid w:val="00D276FC"/>
    <w:rsid w:val="00D522B8"/>
    <w:rsid w:val="00D66C99"/>
    <w:rsid w:val="00D72F03"/>
    <w:rsid w:val="00D8030D"/>
    <w:rsid w:val="00DA0CEA"/>
    <w:rsid w:val="00DA563A"/>
    <w:rsid w:val="00DB35E2"/>
    <w:rsid w:val="00DC5D00"/>
    <w:rsid w:val="00DC6A40"/>
    <w:rsid w:val="00DE04B2"/>
    <w:rsid w:val="00DE29FB"/>
    <w:rsid w:val="00DE3BAC"/>
    <w:rsid w:val="00DE7B62"/>
    <w:rsid w:val="00E12FB9"/>
    <w:rsid w:val="00E16D10"/>
    <w:rsid w:val="00E3023D"/>
    <w:rsid w:val="00E3283D"/>
    <w:rsid w:val="00E45C4C"/>
    <w:rsid w:val="00E51B4B"/>
    <w:rsid w:val="00E71A4C"/>
    <w:rsid w:val="00E74B2E"/>
    <w:rsid w:val="00E80272"/>
    <w:rsid w:val="00EA14F1"/>
    <w:rsid w:val="00ED3BDA"/>
    <w:rsid w:val="00EE0117"/>
    <w:rsid w:val="00EE42F1"/>
    <w:rsid w:val="00EF3DE4"/>
    <w:rsid w:val="00EF7892"/>
    <w:rsid w:val="00F0203F"/>
    <w:rsid w:val="00F03CE5"/>
    <w:rsid w:val="00F05EF2"/>
    <w:rsid w:val="00F1454F"/>
    <w:rsid w:val="00F22152"/>
    <w:rsid w:val="00FA36D7"/>
    <w:rsid w:val="00FD666B"/>
    <w:rsid w:val="00FE3A01"/>
    <w:rsid w:val="02B92D50"/>
    <w:rsid w:val="04D25396"/>
    <w:rsid w:val="07D068F2"/>
    <w:rsid w:val="219775FD"/>
    <w:rsid w:val="23993B8F"/>
    <w:rsid w:val="3C124C24"/>
    <w:rsid w:val="489A279D"/>
    <w:rsid w:val="54954BE7"/>
    <w:rsid w:val="571B1FAB"/>
    <w:rsid w:val="66A8423E"/>
    <w:rsid w:val="69783EC9"/>
    <w:rsid w:val="6F2436A8"/>
    <w:rsid w:val="7169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1" w:semiHidden="0" w:name="heading 5"/>
    <w:lsdException w:qFormat="1" w:unhideWhenUsed="0" w:uiPriority="1" w:semiHidden="0" w:name="heading 6"/>
    <w:lsdException w:qFormat="1" w:uiPriority="2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next w:val="3"/>
    <w:link w:val="21"/>
    <w:qFormat/>
    <w:uiPriority w:val="1"/>
    <w:pPr>
      <w:keepNext/>
      <w:keepLines/>
      <w:pageBreakBefore/>
      <w:numPr>
        <w:ilvl w:val="0"/>
        <w:numId w:val="1"/>
      </w:numPr>
      <w:spacing w:before="50" w:beforeLines="50" w:after="50" w:afterLines="50" w:line="360" w:lineRule="auto"/>
      <w:jc w:val="center"/>
      <w:outlineLvl w:val="0"/>
    </w:pPr>
    <w:rPr>
      <w:rFonts w:ascii="Times New Roman" w:hAnsi="Times New Roman" w:eastAsia="黑体" w:cs="Times New Roman"/>
      <w:bCs/>
      <w:sz w:val="32"/>
      <w:szCs w:val="44"/>
      <w:lang w:val="en-US" w:eastAsia="zh-CN" w:bidi="ar-SA"/>
    </w:rPr>
  </w:style>
  <w:style w:type="paragraph" w:styleId="4">
    <w:name w:val="heading 2"/>
    <w:next w:val="3"/>
    <w:link w:val="22"/>
    <w:qFormat/>
    <w:uiPriority w:val="1"/>
    <w:pPr>
      <w:keepNext/>
      <w:keepLines/>
      <w:numPr>
        <w:ilvl w:val="1"/>
        <w:numId w:val="1"/>
      </w:numPr>
      <w:spacing w:before="50" w:beforeLines="50" w:after="50" w:afterLines="50" w:line="360" w:lineRule="auto"/>
      <w:jc w:val="both"/>
      <w:outlineLvl w:val="1"/>
    </w:pPr>
    <w:rPr>
      <w:rFonts w:ascii="Times New Roman" w:hAnsi="Times New Roman" w:eastAsia="黑体" w:cs="Times New Roman"/>
      <w:bCs/>
      <w:kern w:val="2"/>
      <w:sz w:val="28"/>
      <w:szCs w:val="32"/>
      <w:lang w:val="en-US" w:eastAsia="zh-CN" w:bidi="ar-SA"/>
    </w:rPr>
  </w:style>
  <w:style w:type="paragraph" w:styleId="5">
    <w:name w:val="heading 3"/>
    <w:next w:val="3"/>
    <w:link w:val="23"/>
    <w:qFormat/>
    <w:uiPriority w:val="1"/>
    <w:pPr>
      <w:keepNext/>
      <w:keepLines/>
      <w:numPr>
        <w:ilvl w:val="2"/>
        <w:numId w:val="1"/>
      </w:numPr>
      <w:snapToGrid w:val="0"/>
      <w:spacing w:before="50" w:beforeLines="50" w:after="50" w:afterLines="50" w:line="360" w:lineRule="auto"/>
      <w:jc w:val="both"/>
      <w:outlineLvl w:val="2"/>
    </w:pPr>
    <w:rPr>
      <w:rFonts w:ascii="Times New Roman" w:hAnsi="Times New Roman" w:eastAsia="黑体" w:cs="Times New Roman"/>
      <w:bCs/>
      <w:color w:val="000000"/>
      <w:sz w:val="24"/>
      <w:szCs w:val="24"/>
      <w:lang w:val="en-US" w:eastAsia="ar-SA" w:bidi="ar-SA"/>
    </w:rPr>
  </w:style>
  <w:style w:type="paragraph" w:styleId="6">
    <w:name w:val="heading 4"/>
    <w:next w:val="3"/>
    <w:link w:val="24"/>
    <w:qFormat/>
    <w:uiPriority w:val="1"/>
    <w:pPr>
      <w:keepNext/>
      <w:keepLines/>
      <w:numPr>
        <w:ilvl w:val="3"/>
        <w:numId w:val="1"/>
      </w:numPr>
      <w:spacing w:before="50" w:beforeLines="50" w:after="50" w:afterLines="50" w:line="360" w:lineRule="auto"/>
      <w:jc w:val="both"/>
      <w:outlineLvl w:val="3"/>
    </w:pPr>
    <w:rPr>
      <w:rFonts w:ascii="Times New Roman" w:hAnsi="Times New Roman" w:eastAsia="宋体" w:cs="Times New Roman"/>
      <w:b/>
      <w:bCs/>
      <w:kern w:val="2"/>
      <w:sz w:val="24"/>
      <w:szCs w:val="28"/>
      <w:lang w:val="en-US" w:eastAsia="zh-CN" w:bidi="ar-SA"/>
    </w:rPr>
  </w:style>
  <w:style w:type="paragraph" w:styleId="7">
    <w:name w:val="heading 5"/>
    <w:next w:val="3"/>
    <w:link w:val="25"/>
    <w:qFormat/>
    <w:uiPriority w:val="1"/>
    <w:pPr>
      <w:keepNext/>
      <w:keepLines/>
      <w:numPr>
        <w:ilvl w:val="4"/>
        <w:numId w:val="1"/>
      </w:numPr>
      <w:spacing w:before="50" w:beforeLines="50" w:after="50" w:afterLines="50" w:line="360" w:lineRule="auto"/>
      <w:outlineLvl w:val="4"/>
    </w:pPr>
    <w:rPr>
      <w:rFonts w:ascii="Times New Roman" w:hAnsi="Times New Roman" w:eastAsia="宋体" w:cs="Times New Roman"/>
      <w:bCs/>
      <w:kern w:val="2"/>
      <w:sz w:val="24"/>
      <w:szCs w:val="28"/>
      <w:lang w:val="en-US" w:eastAsia="zh-CN" w:bidi="ar-SA"/>
    </w:rPr>
  </w:style>
  <w:style w:type="paragraph" w:styleId="8">
    <w:name w:val="heading 6"/>
    <w:next w:val="3"/>
    <w:link w:val="26"/>
    <w:qFormat/>
    <w:uiPriority w:val="1"/>
    <w:pPr>
      <w:numPr>
        <w:ilvl w:val="5"/>
        <w:numId w:val="1"/>
      </w:numPr>
      <w:spacing w:before="50" w:beforeLines="50" w:after="50" w:afterLines="50" w:line="360" w:lineRule="auto"/>
      <w:ind w:firstLine="200" w:firstLineChars="200"/>
      <w:jc w:val="both"/>
      <w:outlineLvl w:val="5"/>
    </w:pPr>
    <w:rPr>
      <w:rFonts w:ascii="Times New Roman" w:hAnsi="Times New Roman" w:eastAsia="宋体" w:cs="Times New Roman"/>
      <w:bCs/>
      <w:kern w:val="2"/>
      <w:sz w:val="24"/>
      <w:szCs w:val="24"/>
      <w:lang w:val="en-US" w:eastAsia="zh-CN" w:bidi="ar-SA"/>
    </w:rPr>
  </w:style>
  <w:style w:type="paragraph" w:styleId="9">
    <w:name w:val="heading 7"/>
    <w:next w:val="3"/>
    <w:link w:val="27"/>
    <w:unhideWhenUsed/>
    <w:qFormat/>
    <w:uiPriority w:val="2"/>
    <w:pPr>
      <w:keepNext/>
      <w:keepLines/>
      <w:numPr>
        <w:ilvl w:val="6"/>
        <w:numId w:val="1"/>
      </w:numPr>
      <w:spacing w:before="50" w:beforeLines="50" w:after="50" w:afterLines="50" w:line="360" w:lineRule="auto"/>
      <w:outlineLvl w:val="6"/>
    </w:pPr>
    <w:rPr>
      <w:rFonts w:ascii="Times New Roman" w:hAnsi="Times New Roman" w:eastAsia="宋体" w:cs="Times New Roman"/>
      <w:bCs/>
      <w:kern w:val="2"/>
      <w:sz w:val="24"/>
      <w:szCs w:val="24"/>
      <w:lang w:val="en-US" w:eastAsia="zh-CN" w:bidi="ar-SA"/>
    </w:rPr>
  </w:style>
  <w:style w:type="character" w:default="1" w:styleId="19">
    <w:name w:val="Default Paragraph Font"/>
    <w:semiHidden/>
    <w:unhideWhenUsed/>
    <w:uiPriority w:val="1"/>
  </w:style>
  <w:style w:type="table" w:default="1" w:styleId="1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spacing w:before="50" w:beforeLines="50"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3"/>
      <w:lang w:val="en-US" w:eastAsia="zh-CN" w:bidi="ar-SA"/>
    </w:rPr>
  </w:style>
  <w:style w:type="paragraph" w:styleId="10">
    <w:name w:val="annotation text"/>
    <w:basedOn w:val="1"/>
    <w:link w:val="36"/>
    <w:semiHidden/>
    <w:unhideWhenUsed/>
    <w:qFormat/>
    <w:uiPriority w:val="99"/>
    <w:pPr>
      <w:jc w:val="left"/>
    </w:pPr>
  </w:style>
  <w:style w:type="paragraph" w:styleId="11">
    <w:name w:val="toc 3"/>
    <w:basedOn w:val="1"/>
    <w:next w:val="1"/>
    <w:unhideWhenUsed/>
    <w:qFormat/>
    <w:uiPriority w:val="39"/>
    <w:pPr>
      <w:ind w:left="840" w:leftChars="400"/>
    </w:pPr>
    <w:rPr>
      <w:rFonts w:eastAsia="黑体"/>
    </w:rPr>
  </w:style>
  <w:style w:type="paragraph" w:styleId="12">
    <w:name w:val="Balloon Text"/>
    <w:basedOn w:val="1"/>
    <w:link w:val="3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3">
    <w:name w:val="footer"/>
    <w:basedOn w:val="1"/>
    <w:link w:val="3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link w:val="3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5">
    <w:name w:val="toc 1"/>
    <w:basedOn w:val="1"/>
    <w:next w:val="1"/>
    <w:unhideWhenUsed/>
    <w:qFormat/>
    <w:uiPriority w:val="39"/>
    <w:rPr>
      <w:rFonts w:eastAsia="黑体"/>
    </w:rPr>
  </w:style>
  <w:style w:type="paragraph" w:styleId="16">
    <w:name w:val="toc 2"/>
    <w:basedOn w:val="1"/>
    <w:next w:val="1"/>
    <w:unhideWhenUsed/>
    <w:qFormat/>
    <w:uiPriority w:val="39"/>
    <w:pPr>
      <w:ind w:left="420" w:leftChars="200"/>
    </w:pPr>
    <w:rPr>
      <w:rFonts w:eastAsia="黑体"/>
    </w:rPr>
  </w:style>
  <w:style w:type="paragraph" w:styleId="17">
    <w:name w:val="annotation subject"/>
    <w:basedOn w:val="10"/>
    <w:next w:val="10"/>
    <w:link w:val="37"/>
    <w:semiHidden/>
    <w:unhideWhenUsed/>
    <w:qFormat/>
    <w:uiPriority w:val="99"/>
    <w:rPr>
      <w:b/>
      <w:bCs/>
    </w:rPr>
  </w:style>
  <w:style w:type="character" w:styleId="2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1">
    <w:name w:val="标题 1 字符"/>
    <w:basedOn w:val="19"/>
    <w:link w:val="2"/>
    <w:qFormat/>
    <w:uiPriority w:val="1"/>
    <w:rPr>
      <w:rFonts w:ascii="Times New Roman" w:hAnsi="Times New Roman" w:eastAsia="黑体" w:cs="Times New Roman"/>
      <w:bCs/>
      <w:kern w:val="0"/>
      <w:sz w:val="32"/>
      <w:szCs w:val="44"/>
    </w:rPr>
  </w:style>
  <w:style w:type="character" w:customStyle="1" w:styleId="22">
    <w:name w:val="标题 2 字符"/>
    <w:basedOn w:val="19"/>
    <w:link w:val="4"/>
    <w:qFormat/>
    <w:uiPriority w:val="1"/>
    <w:rPr>
      <w:rFonts w:ascii="Times New Roman" w:hAnsi="Times New Roman" w:eastAsia="黑体" w:cs="Times New Roman"/>
      <w:bCs/>
      <w:sz w:val="28"/>
      <w:szCs w:val="32"/>
    </w:rPr>
  </w:style>
  <w:style w:type="character" w:customStyle="1" w:styleId="23">
    <w:name w:val="标题 3 字符"/>
    <w:basedOn w:val="19"/>
    <w:link w:val="5"/>
    <w:qFormat/>
    <w:uiPriority w:val="1"/>
    <w:rPr>
      <w:rFonts w:ascii="Times New Roman" w:hAnsi="Times New Roman" w:eastAsia="黑体" w:cs="Times New Roman"/>
      <w:bCs/>
      <w:color w:val="000000"/>
      <w:kern w:val="0"/>
      <w:sz w:val="24"/>
      <w:szCs w:val="24"/>
      <w:lang w:eastAsia="ar-SA"/>
    </w:rPr>
  </w:style>
  <w:style w:type="character" w:customStyle="1" w:styleId="24">
    <w:name w:val="标题 4 字符"/>
    <w:basedOn w:val="19"/>
    <w:link w:val="6"/>
    <w:qFormat/>
    <w:uiPriority w:val="1"/>
    <w:rPr>
      <w:rFonts w:ascii="Times New Roman" w:hAnsi="Times New Roman" w:eastAsia="宋体" w:cs="Times New Roman"/>
      <w:b/>
      <w:bCs/>
      <w:sz w:val="24"/>
      <w:szCs w:val="28"/>
    </w:rPr>
  </w:style>
  <w:style w:type="character" w:customStyle="1" w:styleId="25">
    <w:name w:val="标题 5 字符"/>
    <w:basedOn w:val="19"/>
    <w:link w:val="7"/>
    <w:qFormat/>
    <w:uiPriority w:val="1"/>
    <w:rPr>
      <w:rFonts w:ascii="Times New Roman" w:hAnsi="Times New Roman" w:eastAsia="宋体" w:cs="Times New Roman"/>
      <w:bCs/>
      <w:sz w:val="24"/>
      <w:szCs w:val="28"/>
    </w:rPr>
  </w:style>
  <w:style w:type="character" w:customStyle="1" w:styleId="26">
    <w:name w:val="标题 6 字符"/>
    <w:basedOn w:val="19"/>
    <w:link w:val="8"/>
    <w:qFormat/>
    <w:uiPriority w:val="1"/>
    <w:rPr>
      <w:rFonts w:ascii="Times New Roman" w:hAnsi="Times New Roman" w:eastAsia="宋体" w:cs="Times New Roman"/>
      <w:bCs/>
      <w:sz w:val="24"/>
      <w:szCs w:val="24"/>
    </w:rPr>
  </w:style>
  <w:style w:type="character" w:customStyle="1" w:styleId="27">
    <w:name w:val="标题 7 字符"/>
    <w:basedOn w:val="19"/>
    <w:link w:val="9"/>
    <w:qFormat/>
    <w:uiPriority w:val="2"/>
    <w:rPr>
      <w:rFonts w:ascii="Times New Roman" w:hAnsi="Times New Roman" w:eastAsia="宋体" w:cs="Times New Roman"/>
      <w:bCs/>
      <w:sz w:val="24"/>
      <w:szCs w:val="24"/>
    </w:rPr>
  </w:style>
  <w:style w:type="paragraph" w:customStyle="1" w:styleId="28">
    <w:name w:val="表格后说明"/>
    <w:next w:val="3"/>
    <w:qFormat/>
    <w:uiPriority w:val="3"/>
    <w:pPr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">
    <w:name w:val="表格前单位"/>
    <w:next w:val="3"/>
    <w:qFormat/>
    <w:uiPriority w:val="2"/>
    <w:pPr>
      <w:keepNext/>
      <w:jc w:val="righ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customStyle="1" w:styleId="30">
    <w:name w:val="报告表格"/>
    <w:basedOn w:val="18"/>
    <w:qFormat/>
    <w:uiPriority w:val="99"/>
    <w:rPr>
      <w:sz w:val="18"/>
    </w:rPr>
  </w:style>
  <w:style w:type="paragraph" w:customStyle="1" w:styleId="31">
    <w:name w:val="TOC 标题1"/>
    <w:basedOn w:val="2"/>
    <w:next w:val="1"/>
    <w:unhideWhenUsed/>
    <w:qFormat/>
    <w:uiPriority w:val="39"/>
    <w:pPr>
      <w:pageBreakBefore w:val="0"/>
      <w:numPr>
        <w:numId w:val="0"/>
      </w:numPr>
      <w:snapToGrid w:val="0"/>
      <w:spacing w:before="240" w:beforeLines="0" w:after="0" w:afterLines="0" w:line="259" w:lineRule="auto"/>
      <w:outlineLvl w:val="9"/>
    </w:pPr>
    <w:rPr>
      <w:bCs w:val="0"/>
      <w:szCs w:val="32"/>
    </w:rPr>
  </w:style>
  <w:style w:type="character" w:customStyle="1" w:styleId="32">
    <w:name w:val="页脚 字符"/>
    <w:basedOn w:val="19"/>
    <w:link w:val="13"/>
    <w:qFormat/>
    <w:uiPriority w:val="0"/>
    <w:rPr>
      <w:rFonts w:ascii="Times New Roman" w:hAnsi="Times New Roman" w:eastAsia="宋体" w:cs="Times New Roman"/>
      <w:sz w:val="18"/>
      <w:szCs w:val="24"/>
    </w:rPr>
  </w:style>
  <w:style w:type="character" w:customStyle="1" w:styleId="33">
    <w:name w:val="页眉 字符"/>
    <w:basedOn w:val="19"/>
    <w:link w:val="14"/>
    <w:qFormat/>
    <w:uiPriority w:val="0"/>
    <w:rPr>
      <w:rFonts w:ascii="Times New Roman" w:hAnsi="Times New Roman" w:eastAsia="宋体" w:cs="Times New Roman"/>
      <w:sz w:val="18"/>
      <w:szCs w:val="24"/>
    </w:rPr>
  </w:style>
  <w:style w:type="paragraph" w:customStyle="1" w:styleId="34">
    <w:name w:val="005正文"/>
    <w:basedOn w:val="1"/>
    <w:qFormat/>
    <w:uiPriority w:val="0"/>
    <w:pPr>
      <w:spacing w:before="50" w:beforeLines="50" w:after="50" w:afterLines="50"/>
    </w:pPr>
    <w:rPr>
      <w:szCs w:val="22"/>
    </w:rPr>
  </w:style>
  <w:style w:type="paragraph" w:styleId="35">
    <w:name w:val="List Paragraph"/>
    <w:basedOn w:val="1"/>
    <w:unhideWhenUsed/>
    <w:qFormat/>
    <w:uiPriority w:val="99"/>
    <w:pPr>
      <w:ind w:firstLine="420"/>
    </w:pPr>
  </w:style>
  <w:style w:type="character" w:customStyle="1" w:styleId="36">
    <w:name w:val="批注文字 字符"/>
    <w:basedOn w:val="19"/>
    <w:link w:val="10"/>
    <w:semiHidden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37">
    <w:name w:val="批注主题 字符"/>
    <w:basedOn w:val="36"/>
    <w:link w:val="17"/>
    <w:semiHidden/>
    <w:qFormat/>
    <w:uiPriority w:val="99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38">
    <w:name w:val="批注框文本 字符"/>
    <w:basedOn w:val="19"/>
    <w:link w:val="1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9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customStyle="1" w:styleId="40">
    <w:name w:val="markedcontent"/>
    <w:basedOn w:val="19"/>
    <w:qFormat/>
    <w:uiPriority w:val="0"/>
  </w:style>
  <w:style w:type="paragraph" w:customStyle="1" w:styleId="41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customStyle="1" w:styleId="42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customStyle="1" w:styleId="43">
    <w:name w:val="Revision"/>
    <w:hidden/>
    <w:unhideWhenUsed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B18E6-72D7-4CE8-9B5D-9587401A55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330</Words>
  <Characters>1884</Characters>
  <Lines>15</Lines>
  <Paragraphs>4</Paragraphs>
  <TotalTime>4</TotalTime>
  <ScaleCrop>false</ScaleCrop>
  <LinksUpToDate>false</LinksUpToDate>
  <CharactersWithSpaces>2210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2026-09-01T06:54:00Z</dcterms:created>
  <dc:creator>yatine Peng</dc:creator>
  <cp:lastModifiedBy>杜希贤</cp:lastModifiedBy>
  <dcterms:modified xsi:type="dcterms:W3CDTF">2026-09-01T07:02:48Z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41A66F3126374264899D7A205A765D86_13</vt:lpwstr>
  </property>
  <property fmtid="{D5CDD505-2E9C-101B-9397-08002B2CF9AE}" pid="4" name="KSOTemplateDocerSaveRecord">
    <vt:lpwstr>eyJoZGlkIjoiNGQ2OTc2ZDMzNWRiNzVlMzNiYjBiZGYxZjk4YzQ3NTIiLCJ1c2VySWQiOiIxNzQxMzY5NDA0In0=</vt:lpwstr>
  </property>
</Properties>
</file>