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2303F">
      <w:pPr>
        <w:pStyle w:val="2"/>
        <w:rPr>
          <w:rFonts w:ascii="Times New Roman" w:hAnsi="Times New Roman" w:eastAsia="宋体" w:cs="Times New Roman"/>
          <w:sz w:val="20"/>
          <w:szCs w:val="20"/>
          <w:lang w:val="en-US"/>
        </w:rPr>
      </w:pPr>
      <w:r>
        <w:rPr>
          <w:rFonts w:ascii="Times New Roman" w:hAnsi="Times New Roman" w:eastAsia="宋体" w:cs="Times New Roman"/>
          <w:sz w:val="20"/>
          <w:szCs w:val="20"/>
          <w:lang w:val="en-US"/>
        </w:rPr>
        <w:t xml:space="preserve">证券代码：603212   </w:t>
      </w:r>
      <w:r>
        <w:rPr>
          <w:rFonts w:ascii="Times New Roman" w:hAnsi="Times New Roman" w:eastAsia="宋体" w:cs="Times New Roman"/>
          <w:sz w:val="21"/>
          <w:szCs w:val="21"/>
          <w:lang w:val="en-US"/>
        </w:rPr>
        <w:t xml:space="preserve">                         </w:t>
      </w:r>
      <w:r>
        <w:rPr>
          <w:rFonts w:hint="eastAsia" w:ascii="Times New Roman" w:hAnsi="Times New Roman" w:eastAsia="宋体" w:cs="Times New Roman"/>
          <w:sz w:val="21"/>
          <w:szCs w:val="21"/>
          <w:lang w:val="en-US"/>
        </w:rPr>
        <w:t xml:space="preserve">  </w:t>
      </w:r>
      <w:r>
        <w:rPr>
          <w:rFonts w:ascii="Times New Roman" w:hAnsi="Times New Roman" w:eastAsia="宋体" w:cs="Times New Roman"/>
          <w:sz w:val="21"/>
          <w:szCs w:val="21"/>
          <w:lang w:val="en-US"/>
        </w:rPr>
        <w:t xml:space="preserve">             </w:t>
      </w:r>
      <w:r>
        <w:rPr>
          <w:rFonts w:ascii="Times New Roman" w:hAnsi="Times New Roman" w:eastAsia="宋体" w:cs="Times New Roman"/>
          <w:sz w:val="20"/>
          <w:szCs w:val="20"/>
          <w:lang w:val="en-US"/>
        </w:rPr>
        <w:t>证券简称：赛伍技术</w:t>
      </w:r>
    </w:p>
    <w:p w14:paraId="12FA2B2C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 w14:paraId="7745DD60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z w:val="44"/>
          <w:szCs w:val="44"/>
        </w:rPr>
        <w:t>苏州赛伍应用技术股份有限公司</w:t>
      </w:r>
    </w:p>
    <w:p w14:paraId="57B4DFA7">
      <w:pPr>
        <w:spacing w:line="360" w:lineRule="auto"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z w:val="44"/>
          <w:szCs w:val="44"/>
        </w:rPr>
        <w:t>投资者关系活动记录表</w:t>
      </w:r>
    </w:p>
    <w:p w14:paraId="18A4EA82">
      <w:pPr>
        <w:spacing w:before="51" w:after="32"/>
        <w:ind w:right="619"/>
        <w:jc w:val="right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ascii="Times New Roman" w:hAnsi="Times New Roman" w:eastAsia="宋体" w:cs="Times New Roman"/>
          <w:sz w:val="20"/>
          <w:szCs w:val="20"/>
        </w:rPr>
        <w:t>编号：</w:t>
      </w:r>
      <w:r>
        <w:rPr>
          <w:rFonts w:ascii="Times New Roman" w:hAnsi="Times New Roman" w:eastAsia="宋体" w:cs="Times New Roman"/>
          <w:sz w:val="20"/>
          <w:szCs w:val="20"/>
          <w:highlight w:val="none"/>
          <w:lang w:val="en-US"/>
        </w:rPr>
        <w:t>2026</w:t>
      </w:r>
      <w:r>
        <w:rPr>
          <w:rFonts w:ascii="Times New Roman" w:hAnsi="Times New Roman" w:eastAsia="宋体" w:cs="Times New Roman"/>
          <w:sz w:val="20"/>
          <w:szCs w:val="20"/>
          <w:highlight w:val="none"/>
        </w:rPr>
        <w:t>-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/>
        </w:rPr>
        <w:t>00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  <w:t>4</w:t>
      </w:r>
    </w:p>
    <w:tbl>
      <w:tblPr>
        <w:tblStyle w:val="10"/>
        <w:tblW w:w="83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0" w:type="dxa"/>
        </w:tblCellMar>
      </w:tblPr>
      <w:tblGrid>
        <w:gridCol w:w="2535"/>
        <w:gridCol w:w="5844"/>
      </w:tblGrid>
      <w:tr w14:paraId="012D9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666" w:hRule="atLeast"/>
          <w:jc w:val="center"/>
        </w:trPr>
        <w:tc>
          <w:tcPr>
            <w:tcW w:w="2535" w:type="dxa"/>
          </w:tcPr>
          <w:p w14:paraId="1DBFCFAD">
            <w:pPr>
              <w:pStyle w:val="14"/>
              <w:spacing w:before="7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  <w:p w14:paraId="025B41CB">
            <w:pPr>
              <w:pStyle w:val="14"/>
              <w:spacing w:before="1"/>
              <w:ind w:left="107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844" w:type="dxa"/>
          </w:tcPr>
          <w:p w14:paraId="3C71F8E6">
            <w:pPr>
              <w:pStyle w:val="14"/>
              <w:spacing w:before="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  <w:p w14:paraId="2CDFDE54">
            <w:pPr>
              <w:pStyle w:val="14"/>
              <w:tabs>
                <w:tab w:val="left" w:pos="2418"/>
              </w:tabs>
              <w:spacing w:before="1"/>
              <w:ind w:left="10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特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定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对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象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调研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ab/>
            </w: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析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师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会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议</w:t>
            </w:r>
          </w:p>
          <w:p w14:paraId="1A46B53D">
            <w:pPr>
              <w:pStyle w:val="14"/>
              <w:spacing w:before="1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  <w:p w14:paraId="226D0787">
            <w:pPr>
              <w:pStyle w:val="14"/>
              <w:tabs>
                <w:tab w:val="left" w:pos="2418"/>
              </w:tabs>
              <w:ind w:left="10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媒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体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采访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ab/>
            </w: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666589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Wingdings 2" w:hAnsi="Wingdings 2" w:eastAsia="MS Gothic" w:cs="Times New Roman"/>
                    <w:sz w:val="20"/>
                    <w:szCs w:val="20"/>
                    <w:lang w:val="zh-CN" w:eastAsia="zh-CN" w:bidi="zh-CN"/>
                  </w:rPr>
                  <w:t>R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业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绩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说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明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会</w:t>
            </w:r>
          </w:p>
          <w:p w14:paraId="6F7A3AD5">
            <w:pPr>
              <w:pStyle w:val="14"/>
              <w:spacing w:before="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  <w:p w14:paraId="02ABD94F">
            <w:pPr>
              <w:pStyle w:val="14"/>
              <w:tabs>
                <w:tab w:val="left" w:pos="2418"/>
              </w:tabs>
              <w:ind w:left="10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新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闻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发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布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会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ab/>
            </w: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MS Gothic" w:hAnsi="MS Gothic" w:eastAsia="MS Gothic" w:cs="Times New Roman"/>
                    <w:sz w:val="20"/>
                    <w:szCs w:val="20"/>
                    <w:lang w:val="zh-CN" w:eastAsia="zh-CN" w:bidi="zh-CN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路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演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活动</w:t>
            </w:r>
          </w:p>
          <w:p w14:paraId="55CC8349">
            <w:pPr>
              <w:pStyle w:val="14"/>
              <w:spacing w:before="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  <w:p w14:paraId="120C685F">
            <w:pPr>
              <w:pStyle w:val="14"/>
              <w:ind w:left="10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现场参观</w:t>
            </w:r>
          </w:p>
          <w:p w14:paraId="670CA0EF">
            <w:pPr>
              <w:pStyle w:val="14"/>
              <w:spacing w:before="1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  <w:p w14:paraId="68CDC10F">
            <w:pPr>
              <w:pStyle w:val="14"/>
              <w:ind w:left="10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其他（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u w:val="single"/>
              </w:rPr>
              <w:t>请文字说明其他活动内容）</w:t>
            </w:r>
          </w:p>
        </w:tc>
      </w:tr>
      <w:tr w14:paraId="0DD0A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230" w:hRule="atLeast"/>
          <w:jc w:val="center"/>
        </w:trPr>
        <w:tc>
          <w:tcPr>
            <w:tcW w:w="2535" w:type="dxa"/>
            <w:vAlign w:val="center"/>
          </w:tcPr>
          <w:p w14:paraId="514DFFC7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</w:rPr>
              <w:t>参与单位名称及人员姓名</w:t>
            </w:r>
          </w:p>
        </w:tc>
        <w:tc>
          <w:tcPr>
            <w:tcW w:w="5844" w:type="dxa"/>
            <w:vAlign w:val="center"/>
          </w:tcPr>
          <w:p w14:paraId="3C693862">
            <w:pPr>
              <w:pStyle w:val="14"/>
              <w:spacing w:before="100" w:beforeAutospacing="1" w:line="360" w:lineRule="auto"/>
              <w:jc w:val="both"/>
              <w:rPr>
                <w:rFonts w:hint="default" w:ascii="Times New Roman" w:hAnsi="Times New Roman" w:eastAsia="宋体" w:cs="Times New Roman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lang w:val="en-US" w:eastAsia="zh-CN"/>
              </w:rPr>
              <w:t>恒邦兆丰私募证券基金、建发新兴产业基金、惠正私募基金、金之灏基金、开思私募基金、泾溪投资、尚雅投资、浙商证券资管、金建（深圳）投资、富智阳光投资、国联民生证券、中信证券</w:t>
            </w:r>
          </w:p>
        </w:tc>
      </w:tr>
      <w:tr w14:paraId="0AA23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535" w:type="dxa"/>
            <w:vAlign w:val="center"/>
          </w:tcPr>
          <w:p w14:paraId="20ED0FA7">
            <w:pPr>
              <w:pStyle w:val="14"/>
              <w:ind w:left="107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844" w:type="dxa"/>
            <w:vAlign w:val="center"/>
          </w:tcPr>
          <w:p w14:paraId="6D1152C6">
            <w:pPr>
              <w:spacing w:before="100" w:beforeAutospacing="1"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  <w:t>2026年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  <w:t>月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31日</w:t>
            </w:r>
          </w:p>
        </w:tc>
      </w:tr>
      <w:tr w14:paraId="490C6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535" w:type="dxa"/>
            <w:vAlign w:val="center"/>
          </w:tcPr>
          <w:p w14:paraId="73E2DB64">
            <w:pPr>
              <w:pStyle w:val="14"/>
              <w:ind w:left="107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844" w:type="dxa"/>
            <w:vAlign w:val="center"/>
          </w:tcPr>
          <w:p w14:paraId="4463B1FB">
            <w:pPr>
              <w:pStyle w:val="14"/>
              <w:spacing w:before="100" w:beforeAutospacing="1"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/>
              </w:rPr>
              <w:t>苏州</w:t>
            </w:r>
          </w:p>
        </w:tc>
      </w:tr>
      <w:tr w14:paraId="050CE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1122" w:hRule="atLeast"/>
          <w:jc w:val="center"/>
        </w:trPr>
        <w:tc>
          <w:tcPr>
            <w:tcW w:w="2535" w:type="dxa"/>
            <w:vAlign w:val="center"/>
          </w:tcPr>
          <w:p w14:paraId="4293B4C3">
            <w:pPr>
              <w:pStyle w:val="14"/>
              <w:spacing w:before="1"/>
              <w:ind w:left="107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844" w:type="dxa"/>
            <w:vAlign w:val="center"/>
          </w:tcPr>
          <w:p w14:paraId="79CB88C6">
            <w:pPr>
              <w:pStyle w:val="14"/>
              <w:spacing w:before="100" w:beforeAutospacing="1" w:line="360" w:lineRule="auto"/>
              <w:rPr>
                <w:rFonts w:hint="eastAsia" w:ascii="Times New Roman" w:hAnsi="Times New Roman" w:eastAsia="宋体" w:cs="Times New Roman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lang w:val="en-US"/>
              </w:rPr>
              <w:t>董事长 吴小平；</w:t>
            </w:r>
            <w:r>
              <w:rPr>
                <w:rFonts w:hint="eastAsia" w:ascii="Times New Roman" w:hAnsi="Times New Roman" w:eastAsia="宋体" w:cs="Times New Roman"/>
                <w:sz w:val="20"/>
                <w:lang w:val="en-US" w:eastAsia="zh-CN"/>
              </w:rPr>
              <w:t>财务总监 彭岩</w:t>
            </w:r>
            <w:r>
              <w:rPr>
                <w:rFonts w:hint="default" w:ascii="Times New Roman" w:hAnsi="Times New Roman" w:eastAsia="宋体" w:cs="Times New Roman"/>
                <w:sz w:val="20"/>
                <w:lang w:val="en-US"/>
              </w:rPr>
              <w:t>；董事会秘书 陈小英</w:t>
            </w:r>
            <w:r>
              <w:rPr>
                <w:rFonts w:hint="eastAsia" w:ascii="Times New Roman" w:hAnsi="Times New Roman" w:eastAsia="宋体" w:cs="Times New Roman"/>
                <w:sz w:val="20"/>
                <w:lang w:val="en-US" w:eastAsia="zh-CN"/>
              </w:rPr>
              <w:t>；</w:t>
            </w:r>
          </w:p>
          <w:p w14:paraId="5EB8E0F4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lang w:val="en-US" w:eastAsia="zh-CN"/>
              </w:rPr>
              <w:t>IR 徐晶晶</w:t>
            </w:r>
          </w:p>
        </w:tc>
      </w:tr>
      <w:tr w14:paraId="69CBC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535" w:type="dxa"/>
          </w:tcPr>
          <w:p w14:paraId="648BABF2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  <w:lang w:val="en-US"/>
              </w:rPr>
            </w:pPr>
          </w:p>
          <w:p w14:paraId="212BC683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  <w:lang w:val="en-US"/>
              </w:rPr>
            </w:pPr>
          </w:p>
          <w:p w14:paraId="5ADAC2C6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  <w:lang w:val="en-US"/>
              </w:rPr>
            </w:pPr>
          </w:p>
          <w:p w14:paraId="1A7A3851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lang w:val="en-US"/>
              </w:rPr>
              <w:t>投资者关系活动主要内容介绍</w:t>
            </w:r>
          </w:p>
        </w:tc>
        <w:tc>
          <w:tcPr>
            <w:tcW w:w="5844" w:type="dxa"/>
          </w:tcPr>
          <w:p w14:paraId="54CA6256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公司2026H1整体减亏、Q2单季度实现归母盈利，</w:t>
            </w: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</w:rPr>
              <w:t>请拆解26H1扭亏的核心驱动因素？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主要来自光伏还是非光伏？如何看待下半年整体盈利持续性？</w:t>
            </w:r>
          </w:p>
          <w:p w14:paraId="7949FBB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2026 年上半年公司实现营业收入 12.64 亿元，同比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6.53%；归母净利润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398.21 万元，同比大幅减亏 94.48%；</w:t>
            </w:r>
          </w:p>
          <w:p w14:paraId="367B137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本期经营改善是</w:t>
            </w: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光伏板块盈利修复与非光伏业务规模增长共同驱动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。①报告期内海外光伏实现营业收入3.53亿元，同比增长5.76%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海外高毛利业务增长、供应链精益管理、成本传导落地，光伏重回稳健盈利通道，是利润修复重要来源；②非光伏业务实现营收 4.17 亿元，同比 + 26.78%，新能源电力电子、半导体等高成长板块持续放量，有效对冲光伏行业周期，提供稳定盈利增量。</w:t>
            </w:r>
          </w:p>
          <w:p w14:paraId="08A33BC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下半年盈利展望：①深度落地创新驱动战略，赋能“AI+新材料”研发体系建设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②纵深推进多元化发展布局，持续优化业务结构，抬升非光伏业务占比，重点加码半导体材料领域布局，加速高端产品产业化规模化落地，持续对冲单一行业周期风险；③全面深化国际化布局，完善全球供应链体系和海外本地化服务体系，持续提升高毛利海外业务的渗透率和市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zh-CN" w:eastAsia="zh-CN" w:bidi="zh-CN"/>
              </w:rPr>
              <w:t>场份额，增强国际业务竞争力，打开海外增量成长空间。</w:t>
            </w:r>
          </w:p>
          <w:p w14:paraId="7DF711BD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zh-CN" w:eastAsia="zh-CN" w:bidi="zh-CN"/>
              </w:rPr>
              <w:t>光伏胶膜出货同比下滑15.07%，营收收缩但毛利率抬升至9.67%、同比修复13.03pct，如何理解光伏胶膜盈利能力的提升，是否主要来自原材料涨价的传导？如何展望后续光伏胶膜业务（出货量&amp;盈利）？</w:t>
            </w:r>
          </w:p>
          <w:p w14:paraId="34915ED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胶膜毛利率修复是多重因素共振，并非单纯原材料价格传导。第一，</w:t>
            </w: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业务结构优化是核心驱动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，海外高毛利胶膜业务增长，越南基地满产支撑交付，海外业务抬升整体盈利中枢；第二，公司主动优化客户结构，聚焦全球头部组件客户，强化供应链与精益制造管理，建立原材料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产品价格传导机制，对冲 POE、EVA 树脂的价格波动压力；第三，持续推进降本增效，加强生产效率和供应链管理，提升产品竞争力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。</w:t>
            </w:r>
          </w:p>
          <w:p w14:paraId="069C500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后续展望：出货层面，海外市场需求向好，依托越南满产以及海外本地化服务团队建设，海外出货有望继续贡献增量；盈利层面，持续优化客户与产品结构，推动差异化产品规模化导入，维持合理盈利水平。</w:t>
            </w:r>
          </w:p>
          <w:p w14:paraId="61700DA7">
            <w:pPr>
              <w:pStyle w:val="20"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Raybo光转膜在TOPCon/HJT已量产、xBC通过头部客户验证，能否量化这些差异化新产品的收入/出货占比，以及盈利能力？下半年到明年的放量节奏？Raybo专利布局的全球覆盖情况？</w:t>
            </w:r>
          </w:p>
          <w:p w14:paraId="4CBFEE2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公司紧跟光伏组件技术路线及应用场景变化，完成多技术路线差异化产品布局，TOPCon、HJT光转膜已实现量产和海外批量供货；xBC用光转膜已通过头部客户验证；在钙钛矿领域形成全套材料解决方案；光转TPO胶膜已通过英国头部钙钛矿企业测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。</w:t>
            </w:r>
          </w:p>
          <w:p w14:paraId="13DDDC1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专利方面，Raybo® 光转膜已取得核心专利授权，完成全球主要光伏市场专利布局，覆盖 TOPCon、HJT、钙钛矿等主流技术路线，保障产品海外合规推广，降低下游客户知识产权风险。</w:t>
            </w:r>
          </w:p>
          <w:p w14:paraId="4B4FC1E0">
            <w:pPr>
              <w:pStyle w:val="20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</w:rPr>
            </w:pPr>
          </w:p>
          <w:p w14:paraId="16EFEF13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</w:rPr>
              <w:t>钙钛矿TPO胶膜目前海外客户测试进展如何？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钙钛矿相关材料短期对收入贡献空间？</w:t>
            </w:r>
          </w:p>
          <w:p w14:paraId="59AC4E9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公司在在钙钛矿领域形成全套材料解决方案，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钙钛矿配套光转 TPO 胶膜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已实现美国头部客户连续小批量生产，同时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已完成英国头部钙钛矿企业测试，计划 2026 年下半年于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客户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基地实现量产，海外多家头部客户测试同步推进。</w:t>
            </w:r>
          </w:p>
          <w:p w14:paraId="03EA2BB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钙钛矿整体尚处于产业化早期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，</w:t>
            </w:r>
            <w:r>
              <w:rPr>
                <w:rStyle w:val="12"/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属于前瞻布局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中长期，公司拥有 TPO 胶膜、光转 TPO 胶膜、导电胶带、绝缘材料完整解决方案，伴随产业化成熟有望打开成长空间，相关配套材料现阶段以客户测试为主。</w:t>
            </w:r>
          </w:p>
          <w:p w14:paraId="7753A3BB">
            <w:pPr>
              <w:pStyle w:val="20"/>
              <w:numPr>
                <w:ilvl w:val="0"/>
                <w:numId w:val="0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</w:rPr>
            </w:pPr>
          </w:p>
          <w:p w14:paraId="2D725299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MoPro电站维修延寿业务上半年同比+55.40%，海外实现突破，这块业务商业模式、单项目盈利水平如何，未来2‑3年的收入目标？</w:t>
            </w:r>
          </w:p>
          <w:p w14:paraId="5A8EFFD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MoPro® 业务 2026 上半年实现营业收入 2323.50 万元，同比增长 55.40%。商业模式采用</w:t>
            </w: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“材料 + 工程服务”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，面向全球存量光伏、储能电站，客户包含组件厂商、海内外电站投资运营主体。报告期海外实现客户突破，客户结构从组件厂商延伸到海外电站业主。</w:t>
            </w:r>
          </w:p>
          <w:p w14:paraId="44E0F60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不同电站工况、项目规模差异较大，该赛道整体盈利水平优于传统光伏胶膜。未来 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3 年，全球存量电站扩容带来运维修复市场机会，公司将持续丰富双玻玻璃修复、接线盒及连接器维修等产品方案，拓展海内外项目交付。</w:t>
            </w:r>
          </w:p>
          <w:p w14:paraId="5017C56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  <w:p w14:paraId="1C497269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26H1非光伏业务收入4.17亿（+26.78%）、占比33.49%（+8pct）。请大致拆分一下各细分（新能源电力电子/半导体/消费电子/消费品）各自的收入占比与盈利排序？</w:t>
            </w:r>
          </w:p>
          <w:p w14:paraId="27989D3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消费品材料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依托于品牌和渠道，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毛利率显著领先；半导体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处于客户快速拓展阶段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单体毛利高，但是整体处于投入期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；新能源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与材料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电力电子规模最大，依托公司多元化涂布平台、胶粘剂材料平台及成熟精密涂布工艺的核心技术沉淀，持续丰富新能源和电力电子全系列材料产品矩阵，多品类协同助力板块实现营收规模的快速增长；公司持续推进消费电子材料业务结构优化，主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动压缩低效通用辅材品类，聚焦OLED、MicroLED、MiniLED等新型显示材料及声学材料等高壁垒、高毛利赛道，同时深化与智能终端头部客户的战略合作，加快终端渠道布局。</w:t>
            </w:r>
          </w:p>
          <w:p w14:paraId="49BF1598">
            <w:pPr>
              <w:pStyle w:val="20"/>
              <w:numPr>
                <w:ilvl w:val="0"/>
                <w:numId w:val="0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</w:rPr>
            </w:pPr>
          </w:p>
          <w:p w14:paraId="41EB83BD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新能源&amp;电力电子材料板块增长很快，CCS热压膜、Busbar绝缘膜切入储能、AIDC算力场景，电芯蓝膜也是我们首创的优势产品，能否展开介绍下该板块各种材料的出货量、盈利能力？Busbar导入AIDC产业链客户的进度与放量预期？</w:t>
            </w:r>
          </w:p>
          <w:p w14:paraId="369A5F9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报告期新能源和电力电子材料实现营收 3.32 亿元，同比 + 15.94%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依托多元化涂布平台、胶粘剂平台与精密涂布工艺，同时盘活原有光伏背板产线柔性改造复用，提升设备利用率，快速承接储能、新能源车、AIDC 算力基建订单。</w:t>
            </w:r>
          </w:p>
          <w:p w14:paraId="0930A9F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Busbar 绝缘热压膜已经导入 AIDC 产业链客户并实现销售。AIDC 配套绝缘材料需求处于逐步释放阶段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中长期伴随算力基础设施建设推进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该板块具备可观的利润潜力。</w:t>
            </w:r>
          </w:p>
          <w:p w14:paraId="12202550">
            <w:pPr>
              <w:pStyle w:val="20"/>
              <w:numPr>
                <w:ilvl w:val="0"/>
                <w:numId w:val="0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</w:rPr>
            </w:pPr>
          </w:p>
          <w:p w14:paraId="70645CCA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半导体材料收入Q2环比+33.63%，公司称"核心高弹性成长曲线"。请拆分：晶圆研磨/切割/CMP/MLCC/先进封装（QFN前贴膜）各自贡献？新客户认证周期与订单能见度？全年增速目标？</w:t>
            </w:r>
          </w:p>
          <w:p w14:paraId="25A7531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公司致力于为半导体封装产业提供一站式高分子材料解决方案。报告期半导体材料营收同比增长 36.85%，Q2 营收环比增长 33.63%，增长持续性得到验证。</w:t>
            </w:r>
          </w:p>
          <w:p w14:paraId="43BADBE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半导体行业客户认证普遍较长，订单能见度随客户验证进度逐步释放。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各细分产品商业化阶段不同，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  <w:t>将把握国产替代机遇，保持高增长导向。</w:t>
            </w:r>
          </w:p>
          <w:p w14:paraId="15EA5CA2">
            <w:pPr>
              <w:pStyle w:val="20"/>
              <w:numPr>
                <w:ilvl w:val="0"/>
                <w:numId w:val="0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</w:rPr>
            </w:pPr>
          </w:p>
          <w:p w14:paraId="15A112D0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</w:rPr>
              <w:t>2026年2月公司完成对今蓝纳米的收购并纳入合并报表，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公司主业是高分子材料制造（B2B），今蓝是B2C品牌与渠道运营，两者经营模式差异大，怎么理解公司对今蓝的定位，以及如何展望其优势和未来盈利能力的贡献？</w:t>
            </w:r>
          </w:p>
          <w:p w14:paraId="6E65F67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今蓝纳米是赛伍技术消费品材料板块下的核心品牌，今蓝主要承担汽车功能膜的品牌运营与终端渠道建设，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公司高分子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平台战略延伸，实现 B2B 材料能力向下游消费品牌与渠道延伸。</w:t>
            </w:r>
          </w:p>
          <w:p w14:paraId="1915946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定位分为三层：①技术协同：赛伍输出高分子涂布、材料研发能力，今蓝沉淀汽车后市场场景理解与终端运营经验，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研发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防火抗冲击软包脚垫等新品；②业务多元化：除今蓝汽车功能膜之外，板块同步布局 POE 人造革等新型消费高分子材料，降低单一品类依赖；③渠道协同：搭建品牌授权零售体系，拓展汽车前装、后市场、海外多市场。</w:t>
            </w:r>
          </w:p>
          <w:p w14:paraId="339DD54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消费品材料属于公司高毛利赛道。中长期看，一方面汽车功能膜拓展前装、后市场与海外；另一方面 POE 人造革、软包脚垫等新品推进客户导入带来增量。</w:t>
            </w:r>
          </w:p>
          <w:p w14:paraId="4762A593">
            <w:p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bookmarkStart w:id="0" w:name="_GoBack"/>
          </w:p>
          <w:p w14:paraId="313619D4">
            <w:pPr>
              <w:pStyle w:val="20"/>
              <w:numPr>
                <w:ilvl w:val="0"/>
                <w:numId w:val="1"/>
              </w:numPr>
              <w:spacing w:after="0"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公司是基于高分子技术平台型材料企业，如何展望未来公司的发展战略？哪些业务板块值得期待？</w:t>
            </w:r>
          </w:p>
          <w:bookmarkEnd w:id="0"/>
          <w:p w14:paraId="5DE005A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公司坚定执行</w:t>
            </w: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3+2 核心发展战略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：以多元化、全球化、国际化为三大方向，创新驱动、AI 技术为两大战略抓手。依托涂布平台、胶粘剂平台，坚持同心圆式高分子平台化扩张，把研发、产能资源向高景气高毛利赛道倾斜，避免无关多元化；同时推进产线柔性改造，盘活现有产能，控制资本开支，AI + 新材料赋能研发环节，缩短新材料研发周期。</w:t>
            </w:r>
          </w:p>
          <w:p w14:paraId="528B6AC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  <w:t>重点看好的业务方向：</w:t>
            </w:r>
          </w:p>
          <w:p w14:paraId="17CFFB19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半导体材料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：受益国产替代，一站式封装高分子材料方案，Q2 高增长验证弹性，新品持续迭代放量；</w:t>
            </w:r>
          </w:p>
          <w:p w14:paraId="5AF0660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新能源和电力电子材料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：储能、新能源车、AIDC 算力多重景气驱动，多产品矩阵持续打开增量；</w:t>
            </w:r>
          </w:p>
          <w:p w14:paraId="218F454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消费品材料业务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：高毛利赛道，依托今蓝品牌渠道扩张叠加 POE 人造革、脚垫类新品接力；</w:t>
            </w:r>
          </w:p>
          <w:p w14:paraId="14E1F0F3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sz w:val="22"/>
                <w:szCs w:val="22"/>
              </w:rPr>
              <w:t>光伏板块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：不再单纯追求规模，依靠海外市场、Raybo® 光转膜差异化产品、钙钛矿配套材料、MoPro® 电站维修业务提升经营质量。</w:t>
            </w:r>
          </w:p>
          <w:p w14:paraId="246DB88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公司持续提升非光伏业务营收占比，打造多个细分优势产品；同时坚持稳健财务政策，管控经营风险。</w:t>
            </w:r>
          </w:p>
          <w:p w14:paraId="43B23387">
            <w:pPr>
              <w:pStyle w:val="14"/>
              <w:spacing w:line="360" w:lineRule="auto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36A9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2535" w:type="dxa"/>
            <w:vAlign w:val="center"/>
          </w:tcPr>
          <w:p w14:paraId="59B85CEB">
            <w:pPr>
              <w:pStyle w:val="14"/>
              <w:spacing w:before="1"/>
              <w:ind w:left="107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关于本次活动是否涉及应</w:t>
            </w:r>
          </w:p>
          <w:p w14:paraId="5D5C8A62">
            <w:pPr>
              <w:pStyle w:val="14"/>
              <w:spacing w:before="1"/>
              <w:ind w:left="107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844" w:type="dxa"/>
            <w:vAlign w:val="center"/>
          </w:tcPr>
          <w:p w14:paraId="79E7B126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  <w:t>本次活动不涉及未公开披露的重大信息。</w:t>
            </w:r>
          </w:p>
        </w:tc>
      </w:tr>
      <w:tr w14:paraId="6E6F5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535" w:type="dxa"/>
            <w:vAlign w:val="center"/>
          </w:tcPr>
          <w:p w14:paraId="7B05445E">
            <w:pPr>
              <w:pStyle w:val="14"/>
              <w:spacing w:before="1"/>
              <w:ind w:left="107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844" w:type="dxa"/>
            <w:vAlign w:val="center"/>
          </w:tcPr>
          <w:p w14:paraId="78BD1BAF">
            <w:pPr>
              <w:pStyle w:val="14"/>
              <w:spacing w:before="100" w:beforeAutospacing="1" w:line="360" w:lineRule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106E2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535" w:type="dxa"/>
            <w:vAlign w:val="center"/>
          </w:tcPr>
          <w:p w14:paraId="67364C63">
            <w:pPr>
              <w:pStyle w:val="14"/>
              <w:spacing w:before="1"/>
              <w:ind w:left="107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844" w:type="dxa"/>
            <w:vAlign w:val="center"/>
          </w:tcPr>
          <w:p w14:paraId="5E597CAC">
            <w:pPr>
              <w:pStyle w:val="14"/>
              <w:spacing w:before="100" w:beforeAutospacing="1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2026年0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  <w:t>月</w:t>
            </w:r>
          </w:p>
        </w:tc>
      </w:tr>
    </w:tbl>
    <w:p w14:paraId="7F41447C">
      <w:pPr>
        <w:spacing w:line="20" w:lineRule="exact"/>
        <w:rPr>
          <w:rFonts w:ascii="Times New Roman" w:hAnsi="Times New Roman" w:eastAsia="宋体" w:cs="Times New Roman"/>
          <w:sz w:val="28"/>
          <w:szCs w:val="36"/>
        </w:rPr>
      </w:pPr>
    </w:p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KSOFA61C387F">
    <w:panose1 w:val="020B0604030504040204"/>
    <w:charset w:val="88"/>
    <w:family w:val="auto"/>
    <w:pitch w:val="default"/>
    <w:sig w:usb0="00000001" w:usb1="00000000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3DB6B1"/>
    <w:multiLevelType w:val="multilevel"/>
    <w:tmpl w:val="943DB6B1"/>
    <w:lvl w:ilvl="0" w:tentative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B963A1D"/>
    <w:multiLevelType w:val="multilevel"/>
    <w:tmpl w:val="4B963A1D"/>
    <w:lvl w:ilvl="0" w:tentative="0">
      <w:start w:val="1"/>
      <w:numFmt w:val="decimal"/>
      <w:suff w:val="space"/>
      <w:lvlText w:val="%1."/>
      <w:lvlJc w:val="left"/>
      <w:pPr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26CC3"/>
    <w:rsid w:val="00036089"/>
    <w:rsid w:val="00053CFA"/>
    <w:rsid w:val="000633EC"/>
    <w:rsid w:val="00063804"/>
    <w:rsid w:val="000665A2"/>
    <w:rsid w:val="000877AB"/>
    <w:rsid w:val="000B03E5"/>
    <w:rsid w:val="000B7C08"/>
    <w:rsid w:val="000D12CF"/>
    <w:rsid w:val="000D2D88"/>
    <w:rsid w:val="000E4B20"/>
    <w:rsid w:val="000E706C"/>
    <w:rsid w:val="0011418F"/>
    <w:rsid w:val="00172C24"/>
    <w:rsid w:val="001E59D1"/>
    <w:rsid w:val="001E5EA4"/>
    <w:rsid w:val="002042A7"/>
    <w:rsid w:val="00205911"/>
    <w:rsid w:val="002146AD"/>
    <w:rsid w:val="00275CB6"/>
    <w:rsid w:val="002800B5"/>
    <w:rsid w:val="00295B29"/>
    <w:rsid w:val="002D4073"/>
    <w:rsid w:val="002E7098"/>
    <w:rsid w:val="00301D32"/>
    <w:rsid w:val="00366FAD"/>
    <w:rsid w:val="0037105B"/>
    <w:rsid w:val="003975BA"/>
    <w:rsid w:val="003A74E6"/>
    <w:rsid w:val="003B73DD"/>
    <w:rsid w:val="003D011C"/>
    <w:rsid w:val="004108C7"/>
    <w:rsid w:val="00412DC2"/>
    <w:rsid w:val="00440041"/>
    <w:rsid w:val="00451268"/>
    <w:rsid w:val="004515AD"/>
    <w:rsid w:val="00451857"/>
    <w:rsid w:val="00453516"/>
    <w:rsid w:val="00457548"/>
    <w:rsid w:val="00470DB2"/>
    <w:rsid w:val="004925E7"/>
    <w:rsid w:val="00495B11"/>
    <w:rsid w:val="004D2778"/>
    <w:rsid w:val="004F6FF3"/>
    <w:rsid w:val="00571B49"/>
    <w:rsid w:val="005743AE"/>
    <w:rsid w:val="005D64CA"/>
    <w:rsid w:val="005E5717"/>
    <w:rsid w:val="005E6DB2"/>
    <w:rsid w:val="0061433E"/>
    <w:rsid w:val="0062751D"/>
    <w:rsid w:val="006354AA"/>
    <w:rsid w:val="00661AFA"/>
    <w:rsid w:val="0067107D"/>
    <w:rsid w:val="006726BF"/>
    <w:rsid w:val="00677B77"/>
    <w:rsid w:val="0068718A"/>
    <w:rsid w:val="006A2739"/>
    <w:rsid w:val="006B5C95"/>
    <w:rsid w:val="006E14B0"/>
    <w:rsid w:val="006F0108"/>
    <w:rsid w:val="00704AE6"/>
    <w:rsid w:val="007153A2"/>
    <w:rsid w:val="00724A68"/>
    <w:rsid w:val="007271BF"/>
    <w:rsid w:val="00730DD3"/>
    <w:rsid w:val="00733224"/>
    <w:rsid w:val="00764128"/>
    <w:rsid w:val="007824B8"/>
    <w:rsid w:val="007910DD"/>
    <w:rsid w:val="007A3EC1"/>
    <w:rsid w:val="007B3368"/>
    <w:rsid w:val="007D0A69"/>
    <w:rsid w:val="007D6DC4"/>
    <w:rsid w:val="00853463"/>
    <w:rsid w:val="00893F25"/>
    <w:rsid w:val="00895035"/>
    <w:rsid w:val="008B2B14"/>
    <w:rsid w:val="008C6AED"/>
    <w:rsid w:val="008C7604"/>
    <w:rsid w:val="008E1B27"/>
    <w:rsid w:val="00903379"/>
    <w:rsid w:val="00906975"/>
    <w:rsid w:val="00917F0B"/>
    <w:rsid w:val="00917F8B"/>
    <w:rsid w:val="00960964"/>
    <w:rsid w:val="00965E4D"/>
    <w:rsid w:val="009B1D5C"/>
    <w:rsid w:val="009C2E31"/>
    <w:rsid w:val="009E1955"/>
    <w:rsid w:val="00A527AA"/>
    <w:rsid w:val="00A5684D"/>
    <w:rsid w:val="00A75C61"/>
    <w:rsid w:val="00A9601B"/>
    <w:rsid w:val="00AD100E"/>
    <w:rsid w:val="00AE1E36"/>
    <w:rsid w:val="00AF74AA"/>
    <w:rsid w:val="00B03C2F"/>
    <w:rsid w:val="00B130CF"/>
    <w:rsid w:val="00B15064"/>
    <w:rsid w:val="00B340A3"/>
    <w:rsid w:val="00B410F5"/>
    <w:rsid w:val="00B6280C"/>
    <w:rsid w:val="00B671A4"/>
    <w:rsid w:val="00B72CD4"/>
    <w:rsid w:val="00B85B00"/>
    <w:rsid w:val="00BF132F"/>
    <w:rsid w:val="00C06CD5"/>
    <w:rsid w:val="00C13878"/>
    <w:rsid w:val="00C416AC"/>
    <w:rsid w:val="00CA1705"/>
    <w:rsid w:val="00CE1A54"/>
    <w:rsid w:val="00CF3D56"/>
    <w:rsid w:val="00CF5FB6"/>
    <w:rsid w:val="00D02518"/>
    <w:rsid w:val="00D17454"/>
    <w:rsid w:val="00D33FBC"/>
    <w:rsid w:val="00D6081A"/>
    <w:rsid w:val="00D7535C"/>
    <w:rsid w:val="00D76302"/>
    <w:rsid w:val="00DA5CE2"/>
    <w:rsid w:val="00DD2266"/>
    <w:rsid w:val="00DE10E8"/>
    <w:rsid w:val="00E16FDA"/>
    <w:rsid w:val="00E35F58"/>
    <w:rsid w:val="00E45BD9"/>
    <w:rsid w:val="00E66FFC"/>
    <w:rsid w:val="00E759D6"/>
    <w:rsid w:val="00E84A8C"/>
    <w:rsid w:val="00E976DE"/>
    <w:rsid w:val="00EC0F83"/>
    <w:rsid w:val="00EE3187"/>
    <w:rsid w:val="00EF499B"/>
    <w:rsid w:val="00F14977"/>
    <w:rsid w:val="00FB4A08"/>
    <w:rsid w:val="00FC0C2A"/>
    <w:rsid w:val="00FD7F8E"/>
    <w:rsid w:val="00FF11E4"/>
    <w:rsid w:val="020F07EB"/>
    <w:rsid w:val="028440C8"/>
    <w:rsid w:val="02D61DD7"/>
    <w:rsid w:val="04B072D4"/>
    <w:rsid w:val="04D74983"/>
    <w:rsid w:val="05F575D4"/>
    <w:rsid w:val="064249C6"/>
    <w:rsid w:val="0644234F"/>
    <w:rsid w:val="08641132"/>
    <w:rsid w:val="09186774"/>
    <w:rsid w:val="0945438F"/>
    <w:rsid w:val="0A2D4BF5"/>
    <w:rsid w:val="0A71587A"/>
    <w:rsid w:val="0B792C38"/>
    <w:rsid w:val="0C28640C"/>
    <w:rsid w:val="0E39562B"/>
    <w:rsid w:val="0E90599A"/>
    <w:rsid w:val="0ED720CD"/>
    <w:rsid w:val="113E5D8A"/>
    <w:rsid w:val="115138CD"/>
    <w:rsid w:val="11C566A6"/>
    <w:rsid w:val="12070CAE"/>
    <w:rsid w:val="1274067F"/>
    <w:rsid w:val="145F688C"/>
    <w:rsid w:val="1465286B"/>
    <w:rsid w:val="14D47131"/>
    <w:rsid w:val="1528122B"/>
    <w:rsid w:val="15472B9D"/>
    <w:rsid w:val="15680001"/>
    <w:rsid w:val="15DD2205"/>
    <w:rsid w:val="17072842"/>
    <w:rsid w:val="17A67110"/>
    <w:rsid w:val="1864189B"/>
    <w:rsid w:val="18D73A7D"/>
    <w:rsid w:val="19557370"/>
    <w:rsid w:val="196977CD"/>
    <w:rsid w:val="1BD06B6A"/>
    <w:rsid w:val="1C760CDD"/>
    <w:rsid w:val="1CA90EA4"/>
    <w:rsid w:val="1CEC2B3E"/>
    <w:rsid w:val="1DBF722A"/>
    <w:rsid w:val="1E5762D3"/>
    <w:rsid w:val="1F782BDE"/>
    <w:rsid w:val="204A6A53"/>
    <w:rsid w:val="21935D34"/>
    <w:rsid w:val="23317869"/>
    <w:rsid w:val="25650CAE"/>
    <w:rsid w:val="257C76BA"/>
    <w:rsid w:val="26406598"/>
    <w:rsid w:val="26E943AB"/>
    <w:rsid w:val="28080056"/>
    <w:rsid w:val="280B656E"/>
    <w:rsid w:val="28357F8F"/>
    <w:rsid w:val="28734C1A"/>
    <w:rsid w:val="28C72DDD"/>
    <w:rsid w:val="29EE0E64"/>
    <w:rsid w:val="2B717030"/>
    <w:rsid w:val="2BC4020A"/>
    <w:rsid w:val="2C5E0230"/>
    <w:rsid w:val="2D0F4CB3"/>
    <w:rsid w:val="2EF90F16"/>
    <w:rsid w:val="2F125C63"/>
    <w:rsid w:val="2F3E191F"/>
    <w:rsid w:val="302C3D0A"/>
    <w:rsid w:val="3104598F"/>
    <w:rsid w:val="318F6462"/>
    <w:rsid w:val="33DE31BB"/>
    <w:rsid w:val="3509652C"/>
    <w:rsid w:val="389C49C0"/>
    <w:rsid w:val="394F29F0"/>
    <w:rsid w:val="39BC78F4"/>
    <w:rsid w:val="3B35486F"/>
    <w:rsid w:val="3B911029"/>
    <w:rsid w:val="3DB3252F"/>
    <w:rsid w:val="3DB80AEF"/>
    <w:rsid w:val="3DE05C15"/>
    <w:rsid w:val="3EF1250A"/>
    <w:rsid w:val="404C3770"/>
    <w:rsid w:val="40567DB0"/>
    <w:rsid w:val="40FF5CD2"/>
    <w:rsid w:val="426052B1"/>
    <w:rsid w:val="42DB40B0"/>
    <w:rsid w:val="43B71B0A"/>
    <w:rsid w:val="44FA0589"/>
    <w:rsid w:val="45A663E3"/>
    <w:rsid w:val="469F09AF"/>
    <w:rsid w:val="4B2979F3"/>
    <w:rsid w:val="4B756271"/>
    <w:rsid w:val="4C8E1CA8"/>
    <w:rsid w:val="4D6D36A4"/>
    <w:rsid w:val="4E094A4F"/>
    <w:rsid w:val="4EC23998"/>
    <w:rsid w:val="50AB29AE"/>
    <w:rsid w:val="510903EF"/>
    <w:rsid w:val="51DC282E"/>
    <w:rsid w:val="53F137F4"/>
    <w:rsid w:val="543A6906"/>
    <w:rsid w:val="56850CBB"/>
    <w:rsid w:val="59D8738A"/>
    <w:rsid w:val="5A666D76"/>
    <w:rsid w:val="5B2253C2"/>
    <w:rsid w:val="5B4A5D34"/>
    <w:rsid w:val="5C753C6B"/>
    <w:rsid w:val="5CF02E0F"/>
    <w:rsid w:val="603269D2"/>
    <w:rsid w:val="617F21EE"/>
    <w:rsid w:val="61A52BCA"/>
    <w:rsid w:val="63F436A7"/>
    <w:rsid w:val="647D032E"/>
    <w:rsid w:val="65D775CF"/>
    <w:rsid w:val="67095496"/>
    <w:rsid w:val="67ED7463"/>
    <w:rsid w:val="681A546A"/>
    <w:rsid w:val="68507D37"/>
    <w:rsid w:val="694D7A8E"/>
    <w:rsid w:val="69CB37D4"/>
    <w:rsid w:val="6A0D5B9B"/>
    <w:rsid w:val="6A3B23B1"/>
    <w:rsid w:val="6A6205DC"/>
    <w:rsid w:val="6AEA32DC"/>
    <w:rsid w:val="6CC24AB5"/>
    <w:rsid w:val="6D290801"/>
    <w:rsid w:val="6D9271B2"/>
    <w:rsid w:val="6F134790"/>
    <w:rsid w:val="6F35524C"/>
    <w:rsid w:val="6FE81F5F"/>
    <w:rsid w:val="6FF3138F"/>
    <w:rsid w:val="70A73F27"/>
    <w:rsid w:val="716E2F9F"/>
    <w:rsid w:val="71DD02E8"/>
    <w:rsid w:val="72446028"/>
    <w:rsid w:val="73076EC0"/>
    <w:rsid w:val="73246A69"/>
    <w:rsid w:val="74210CA6"/>
    <w:rsid w:val="746F4E76"/>
    <w:rsid w:val="75935631"/>
    <w:rsid w:val="75BF3AC1"/>
    <w:rsid w:val="7631655C"/>
    <w:rsid w:val="76430096"/>
    <w:rsid w:val="78811A07"/>
    <w:rsid w:val="788C25F5"/>
    <w:rsid w:val="79F72AA9"/>
    <w:rsid w:val="7A144529"/>
    <w:rsid w:val="7A96074E"/>
    <w:rsid w:val="7DB67EA0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PMingLiU" w:hAnsi="PMingLiU" w:eastAsia="PMingLiU" w:cs="PMingLiU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</w:style>
  <w:style w:type="paragraph" w:styleId="4">
    <w:name w:val="Body Text"/>
    <w:basedOn w:val="1"/>
    <w:qFormat/>
    <w:uiPriority w:val="1"/>
    <w:pPr>
      <w:ind w:left="220"/>
    </w:pPr>
    <w:rPr>
      <w:sz w:val="32"/>
      <w:szCs w:val="32"/>
    </w:r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rFonts w:ascii="Times New Roman" w:hAnsi="Times New Roman" w:cs="Times New Roman"/>
      <w:sz w:val="24"/>
      <w:szCs w:val="24"/>
    </w:rPr>
  </w:style>
  <w:style w:type="paragraph" w:styleId="9">
    <w:name w:val="annotation subject"/>
    <w:basedOn w:val="3"/>
    <w:next w:val="3"/>
    <w:link w:val="18"/>
    <w:qFormat/>
    <w:uiPriority w:val="0"/>
    <w:rPr>
      <w:b/>
      <w:bCs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眉 字符"/>
    <w:basedOn w:val="11"/>
    <w:link w:val="7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6">
    <w:name w:val="页脚 字符"/>
    <w:basedOn w:val="11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7">
    <w:name w:val="批注文字 字符"/>
    <w:basedOn w:val="11"/>
    <w:link w:val="3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8">
    <w:name w:val="批注主题 字符"/>
    <w:basedOn w:val="17"/>
    <w:link w:val="9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19">
    <w:name w:val="批注框文本 字符"/>
    <w:basedOn w:val="11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88185-7879-414D-A8B0-0FD11CC7CE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3443</Words>
  <Characters>3758</Characters>
  <Lines>28</Lines>
  <Paragraphs>8</Paragraphs>
  <TotalTime>29</TotalTime>
  <ScaleCrop>false</ScaleCrop>
  <LinksUpToDate>false</LinksUpToDate>
  <CharactersWithSpaces>3873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2026-06-30T10:27:00Z</dcterms:created>
  <dc:creator>jie.huang</dc:creator>
  <cp:lastModifiedBy>李烨</cp:lastModifiedBy>
  <dcterms:modified xsi:type="dcterms:W3CDTF">2026-09-01T05:57:32Z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D54A8DB1062D4D48A1FDA368331EAAF0_13</vt:lpwstr>
  </property>
  <property fmtid="{D5CDD505-2E9C-101B-9397-08002B2CF9AE}" pid="4" name="KSOTemplateDocerSaveRecord">
    <vt:lpwstr>eyJoZGlkIjoiNTU1YTZmZWRmMTk1MjczM2U5MTg2NzA5ZmU1YTQ4MzciLCJ1c2VySWQiOiI0NDUxODYxOTIifQ==</vt:lpwstr>
  </property>
</Properties>
</file>