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B0343">
      <w:pPr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>证券代码：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603092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             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 xml:space="preserve"> </w:t>
      </w: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证券简称：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德力佳</w:t>
      </w:r>
    </w:p>
    <w:p w14:paraId="06C8E4A1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24"/>
        </w:rPr>
      </w:pPr>
    </w:p>
    <w:p w14:paraId="63F7AC4F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hint="eastAsia" w:ascii="Times New Roman" w:hAnsi="Times New Roman" w:eastAsia="华文楷体"/>
          <w:b/>
          <w:bCs/>
          <w:iCs/>
          <w:color w:val="000000"/>
          <w:sz w:val="32"/>
        </w:rPr>
        <w:t>德力佳传动科技（江苏）</w:t>
      </w: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股份有限公司</w:t>
      </w:r>
    </w:p>
    <w:p w14:paraId="2F9A38E7">
      <w:pPr>
        <w:ind w:firstLine="482"/>
        <w:jc w:val="center"/>
        <w:rPr>
          <w:rFonts w:ascii="Times New Roman" w:hAnsi="Times New Roman" w:eastAsia="华文楷体"/>
          <w:b/>
          <w:bCs/>
          <w:iCs/>
          <w:color w:val="000000"/>
          <w:sz w:val="32"/>
        </w:rPr>
      </w:pPr>
      <w:r>
        <w:rPr>
          <w:rFonts w:ascii="Times New Roman" w:hAnsi="Times New Roman" w:eastAsia="华文楷体"/>
          <w:b/>
          <w:bCs/>
          <w:iCs/>
          <w:color w:val="000000"/>
          <w:sz w:val="32"/>
        </w:rPr>
        <w:t>投资者关系活动记录表</w:t>
      </w:r>
    </w:p>
    <w:p w14:paraId="4A85C677">
      <w:pPr>
        <w:spacing w:line="400" w:lineRule="exact"/>
        <w:ind w:firstLine="480"/>
        <w:rPr>
          <w:rFonts w:ascii="Times New Roman" w:hAnsi="Times New Roman" w:eastAsia="华文楷体"/>
          <w:bCs/>
          <w:iCs/>
          <w:color w:val="000000"/>
          <w:sz w:val="24"/>
        </w:rPr>
      </w:pPr>
      <w:r>
        <w:rPr>
          <w:rFonts w:ascii="Times New Roman" w:hAnsi="Times New Roman" w:eastAsia="华文楷体"/>
          <w:bCs/>
          <w:iCs/>
          <w:color w:val="000000"/>
          <w:sz w:val="24"/>
        </w:rPr>
        <w:t xml:space="preserve">                                                    编号：</w:t>
      </w:r>
      <w:r>
        <w:rPr>
          <w:rFonts w:hint="eastAsia" w:ascii="Times New Roman" w:hAnsi="Times New Roman" w:eastAsia="华文楷体"/>
          <w:bCs/>
          <w:iCs/>
          <w:color w:val="000000"/>
          <w:sz w:val="24"/>
        </w:rPr>
        <w:t>2026-006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1EF0C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091BA730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投资者关系活动类别</w:t>
            </w:r>
          </w:p>
          <w:p w14:paraId="04E99BC1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1109014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 xml:space="preserve">特定对象调研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分析师会议</w:t>
            </w:r>
          </w:p>
          <w:p w14:paraId="2181A854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媒体采访  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业绩说明会</w:t>
            </w:r>
          </w:p>
          <w:p w14:paraId="06235B36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 xml:space="preserve">新闻发布会          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路演活动</w:t>
            </w:r>
          </w:p>
          <w:p w14:paraId="156EDF0B">
            <w:pPr>
              <w:tabs>
                <w:tab w:val="left" w:pos="3045"/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☑</w:t>
            </w:r>
            <w:r>
              <w:rPr>
                <w:rFonts w:ascii="Times New Roman" w:hAnsi="Times New Roman" w:eastAsia="华文楷体"/>
                <w:sz w:val="24"/>
              </w:rPr>
              <w:t>现场参观</w:t>
            </w: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ab/>
            </w:r>
          </w:p>
          <w:p w14:paraId="596F53DB">
            <w:pPr>
              <w:tabs>
                <w:tab w:val="center" w:pos="3199"/>
              </w:tabs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□</w:t>
            </w:r>
            <w:r>
              <w:rPr>
                <w:rFonts w:ascii="Times New Roman" w:hAnsi="Times New Roman" w:eastAsia="华文楷体"/>
                <w:sz w:val="24"/>
              </w:rPr>
              <w:t>其他 （</w:t>
            </w:r>
            <w:r>
              <w:rPr>
                <w:rFonts w:ascii="Times New Roman" w:hAnsi="Times New Roman" w:eastAsia="华文楷体"/>
                <w:sz w:val="24"/>
                <w:u w:val="single"/>
              </w:rPr>
              <w:t>请文字说明其他活动内容）</w:t>
            </w:r>
          </w:p>
        </w:tc>
      </w:tr>
      <w:tr w14:paraId="1BD2BD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72EEB7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E0B8AA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兴业证券、建信基金、富国基金、东方电气投资、工银安盛资管、西部证券、建信养老基金、国联民生、长江证券、国泰基金、特变电工</w:t>
            </w:r>
            <w:bookmarkStart w:id="0" w:name="_GoBack"/>
            <w:bookmarkEnd w:id="0"/>
          </w:p>
        </w:tc>
      </w:tr>
      <w:tr w14:paraId="73116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7EAB5EC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0F600E4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2026年8月</w:t>
            </w:r>
          </w:p>
        </w:tc>
      </w:tr>
      <w:tr w14:paraId="117C7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7E758982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E294D0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线上会议、公司会议室、厂区</w:t>
            </w:r>
          </w:p>
        </w:tc>
      </w:tr>
      <w:tr w14:paraId="3AB032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6F13B6D1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6259599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董事会秘书：陈佳海</w:t>
            </w:r>
          </w:p>
          <w:p w14:paraId="18CE3ABD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证券事务代表：朱灵芝</w:t>
            </w:r>
          </w:p>
        </w:tc>
      </w:tr>
      <w:tr w14:paraId="1959D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148BBAFF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4F9186FA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1CF40375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问题1：请介绍公司上半年经营情况，出货、市占率以及产品结构变化情况？</w:t>
            </w:r>
          </w:p>
          <w:p w14:paraId="583562CA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答：公司上半年出货量同比稳步增长，贴合行业发展需求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二季度产品平均单机兆瓦已超过8MW，大兆瓦机型配套占比持续提高，带动公司市场份额进一步提升。产品结构层面，大功率机型、海上风电业务占比保持在合理水平，滑动轴承技术的应用占比持续上行。大兆瓦、海风产品盈利表现优于小功率陆风产品，产品结构持续优化，对整体盈利水平形成正向支撑。</w:t>
            </w:r>
          </w:p>
          <w:p w14:paraId="131BBD92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问题2：二季度毛利率实现修复，主要驱动因素有哪些，后续毛利率如何展望？</w:t>
            </w:r>
          </w:p>
          <w:p w14:paraId="2A4449E1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二季度毛利率环比修复，一方面公司加强对供应链端的管理，进一步优化了核心原材料的采购成本；另一方面公司加大内部精益管理、提升自有产线产能利用率，对冲产品市场竞争压力。同时大兆瓦、海风、海外等盈利能力较好的产品占比提升也对业绩形成正向贡献。公司后续将通过继续强化供应链管理、合理安排生产计划、高效规划投资节奏、持续升级产品结构、加大新产品研发力度等措施，保障公司毛利率处于合理水平。</w:t>
            </w:r>
          </w:p>
          <w:p w14:paraId="18D30D4A">
            <w:p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问题3、公司如何看待行业全年装机需求，如何展望下半年出货目标？</w:t>
            </w:r>
          </w:p>
          <w:p w14:paraId="73B18D79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随着风电全面进入市场化交易阶段，项目收益承压，开发投资决策趋于谨慎，市场对全年国内风电装机的预期较年初有所下调。海外市场维持较高景气度，海外订单释放加快，成为部分国内整机厂商对冲国内市场压力、支撑营收与利润的重要变量。虽然国内行业整体装机总量面临一定压力，但依托主机厂供应链多元化的趋势，公司市场份额实现持续提升。展望下半年，公司将结合行业整体发展趋势及产能规模释放节奏，加大对下半年的各项生产经营管理工作，以实现快速提升核心产品市场占有率的目标。中长期来看，随着国内海上风电项目逐步落地，储能配套体系持续完善改善新能源消纳条件，叠加全球风电市场保持较高景气度，以及国内“以大代小”老旧风场更新改造带来的存量需求，行业需求有望迎来修复，“十五五”期间风电仍具备较好的成长空间。</w:t>
            </w:r>
          </w:p>
          <w:p w14:paraId="7D8D40A2">
            <w:pPr>
              <w:numPr>
                <w:ilvl w:val="255"/>
                <w:numId w:val="0"/>
              </w:numPr>
              <w:adjustRightInd w:val="0"/>
              <w:snapToGrid w:val="0"/>
              <w:spacing w:line="360" w:lineRule="auto"/>
              <w:rPr>
                <w:rFonts w:ascii="Times New Roman" w:hAnsi="Times New Roman" w:eastAsia="华文楷体"/>
                <w:b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/>
                <w:iCs/>
                <w:color w:val="000000"/>
                <w:sz w:val="24"/>
              </w:rPr>
              <w:t>问题4、海外业务间接出口、直接出口目前进展如何，盈利水平预期？</w:t>
            </w:r>
          </w:p>
          <w:p w14:paraId="2EF5736D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答：公司间接出口业务跟随国内整机厂商出海步伐实现较快增长，相关业务占比持续提升。直接出口方面，公司样机已发运</w:t>
            </w: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海外知名风电整机厂商</w:t>
            </w: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，待完成上机测试验证后，有望落地小批量海外订单。直接出口业务考虑到更高的综合附加值、更严苛的准入标准及更高的运营成本等因素，产品价格预计高于国内业务，后续随着业务规模起量，海外直接出口的业务占比有望进一步提高。</w:t>
            </w:r>
          </w:p>
        </w:tc>
      </w:tr>
      <w:tr w14:paraId="338E18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26B56D63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关于本次活动是否涉及应当披露重大信息的说明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193223A4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本次活动不涉及未公开披露的重大信息。</w:t>
            </w:r>
          </w:p>
        </w:tc>
      </w:tr>
      <w:tr w14:paraId="66CB59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6D54A2D8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62F8330D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无</w:t>
            </w:r>
          </w:p>
        </w:tc>
      </w:tr>
      <w:tr w14:paraId="6628AE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8" w:type="dxa"/>
            <w:tcBorders>
              <w:tl2br w:val="nil"/>
              <w:tr2bl w:val="nil"/>
            </w:tcBorders>
            <w:vAlign w:val="center"/>
          </w:tcPr>
          <w:p w14:paraId="2243022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614" w:type="dxa"/>
            <w:tcBorders>
              <w:tl2br w:val="nil"/>
              <w:tr2bl w:val="nil"/>
            </w:tcBorders>
          </w:tcPr>
          <w:p w14:paraId="7FB537C0">
            <w:pPr>
              <w:adjustRightInd w:val="0"/>
              <w:snapToGrid w:val="0"/>
              <w:spacing w:before="156" w:beforeLines="50" w:line="360" w:lineRule="auto"/>
              <w:rPr>
                <w:rFonts w:ascii="Times New Roman" w:hAnsi="Times New Roman" w:eastAsia="华文楷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华文楷体"/>
                <w:bCs/>
                <w:iCs/>
                <w:color w:val="000000"/>
                <w:sz w:val="24"/>
              </w:rPr>
              <w:t>2026年9月1日</w:t>
            </w:r>
          </w:p>
        </w:tc>
      </w:tr>
    </w:tbl>
    <w:p w14:paraId="41B92242">
      <w:pPr>
        <w:rPr>
          <w:rFonts w:ascii="Times New Roman" w:hAnsi="Times New Roman" w:eastAsia="华文楷体"/>
          <w:sz w:val="24"/>
        </w:rPr>
      </w:pPr>
    </w:p>
    <w:p w14:paraId="76640575">
      <w:pPr>
        <w:widowControl/>
        <w:jc w:val="left"/>
        <w:rPr>
          <w:rFonts w:ascii="Times New Roman" w:hAnsi="Times New Roman" w:eastAsia="华文楷体"/>
          <w:sz w:val="24"/>
        </w:rPr>
      </w:pPr>
    </w:p>
    <w:p w14:paraId="76323E48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30" w:right="1797" w:bottom="1440" w:left="1797" w:header="737" w:footer="68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53799">
    <w:pPr>
      <w:pStyle w:val="3"/>
      <w:tabs>
        <w:tab w:val="left" w:pos="7410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0CFDDF">
                          <w:pPr>
                            <w:pStyle w:val="3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0CFDDF">
                    <w:pPr>
                      <w:pStyle w:val="3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55C1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3FCCC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1B95A">
    <w:pPr>
      <w:pStyle w:val="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1AB5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46D7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BE"/>
    <w:rsid w:val="000741B3"/>
    <w:rsid w:val="003E7161"/>
    <w:rsid w:val="0046311B"/>
    <w:rsid w:val="00620908"/>
    <w:rsid w:val="00741EBF"/>
    <w:rsid w:val="00747321"/>
    <w:rsid w:val="007D72EE"/>
    <w:rsid w:val="00867995"/>
    <w:rsid w:val="00C708BE"/>
    <w:rsid w:val="00F65B2F"/>
    <w:rsid w:val="04F43251"/>
    <w:rsid w:val="08C314CF"/>
    <w:rsid w:val="10A246D7"/>
    <w:rsid w:val="124B3F8E"/>
    <w:rsid w:val="152D3042"/>
    <w:rsid w:val="16287169"/>
    <w:rsid w:val="184C0154"/>
    <w:rsid w:val="19895E50"/>
    <w:rsid w:val="1B987131"/>
    <w:rsid w:val="1C1547AA"/>
    <w:rsid w:val="1C7D24DE"/>
    <w:rsid w:val="1D214DD8"/>
    <w:rsid w:val="1E546BED"/>
    <w:rsid w:val="211029CC"/>
    <w:rsid w:val="23B816BF"/>
    <w:rsid w:val="2BED6847"/>
    <w:rsid w:val="2C0F23A5"/>
    <w:rsid w:val="2DA571BC"/>
    <w:rsid w:val="2FE65FBB"/>
    <w:rsid w:val="382968F9"/>
    <w:rsid w:val="39B8407C"/>
    <w:rsid w:val="39C66EFD"/>
    <w:rsid w:val="3EBB453C"/>
    <w:rsid w:val="40C6655A"/>
    <w:rsid w:val="450D1720"/>
    <w:rsid w:val="4A407EA2"/>
    <w:rsid w:val="4AB349FE"/>
    <w:rsid w:val="4B9777E8"/>
    <w:rsid w:val="501A42CC"/>
    <w:rsid w:val="507A4098"/>
    <w:rsid w:val="582A35CD"/>
    <w:rsid w:val="5B286E5C"/>
    <w:rsid w:val="657F0BB7"/>
    <w:rsid w:val="67D326A3"/>
    <w:rsid w:val="68135AD3"/>
    <w:rsid w:val="68BF5CF0"/>
    <w:rsid w:val="69FE6E15"/>
    <w:rsid w:val="6A02234F"/>
    <w:rsid w:val="6C5C26DC"/>
    <w:rsid w:val="6EA1444B"/>
    <w:rsid w:val="726E730B"/>
    <w:rsid w:val="75153B55"/>
    <w:rsid w:val="75BA6617"/>
    <w:rsid w:val="76C26CAA"/>
    <w:rsid w:val="78557CAD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annotation subject"/>
    <w:basedOn w:val="2"/>
    <w:next w:val="2"/>
    <w:link w:val="11"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0">
    <w:name w:val="批注文字 字符"/>
    <w:basedOn w:val="7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1">
    <w:name w:val="批注主题 字符"/>
    <w:basedOn w:val="10"/>
    <w:link w:val="5"/>
    <w:qFormat/>
    <w:uiPriority w:val="0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9d870f-f02b-47e2-bdb3-36fb95f33c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1544</Words>
  <Characters>1569</Characters>
  <Lines>54</Lines>
  <Paragraphs>44</Paragraphs>
  <TotalTime>191</TotalTime>
  <ScaleCrop>false</ScaleCrop>
  <LinksUpToDate>false</LinksUpToDate>
  <CharactersWithSpaces>1690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2026-07-22T01:34:00Z</dcterms:created>
  <dc:creator>zhulz</dc:creator>
  <cp:lastModifiedBy>zlz</cp:lastModifiedBy>
  <dcterms:modified xsi:type="dcterms:W3CDTF">2026-09-01T03:48:08Z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3D2BD5DCD5CB43A18393DD37F5C05B0A_13</vt:lpwstr>
  </property>
  <property fmtid="{D5CDD505-2E9C-101B-9397-08002B2CF9AE}" pid="4" name="KSOTemplateDocerSaveRecord">
    <vt:lpwstr>eyJoZGlkIjoiNWRjNTQwM2NmYzQ5NjYwZGNmMmE3MDk1ZmM4NzAzOGUiLCJ1c2VySWQiOiIxNDI1NTE5NjIwIn0=</vt:lpwstr>
  </property>
</Properties>
</file>