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C3A118">
      <w:pPr>
        <w:spacing w:before="156" w:beforeLines="50" w:after="156" w:afterLines="50" w:line="400" w:lineRule="exact"/>
        <w:ind w:firstLine="360" w:firstLineChars="150"/>
        <w:rPr>
          <w:rFonts w:ascii="宋体" w:hAnsi="宋体"/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证券代码：601828                       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 xml:space="preserve">      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证券简称：美凯龙</w:t>
      </w:r>
    </w:p>
    <w:p w14:paraId="6F081060">
      <w:pPr>
        <w:spacing w:before="156" w:beforeLines="50" w:after="156" w:afterLines="50" w:line="400" w:lineRule="exact"/>
        <w:ind w:firstLine="720" w:firstLineChars="300"/>
        <w:rPr>
          <w:rFonts w:ascii="宋体" w:hAnsi="宋体"/>
          <w:bCs/>
          <w:iCs/>
          <w:color w:val="000000"/>
          <w:sz w:val="24"/>
        </w:rPr>
      </w:pPr>
    </w:p>
    <w:p w14:paraId="236919FA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红星美凯龙家居集团股份有限公司投资者关系活动记录表</w:t>
      </w:r>
    </w:p>
    <w:p w14:paraId="12166344">
      <w:pPr>
        <w:spacing w:line="400" w:lineRule="exact"/>
        <w:rPr>
          <w:rFonts w:hint="default" w:ascii="宋体" w:hAnsi="宋体" w:eastAsia="宋体"/>
          <w:bCs/>
          <w:i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         编号：202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6-04</w:t>
      </w:r>
    </w:p>
    <w:tbl>
      <w:tblPr>
        <w:tblStyle w:val="16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7380"/>
      </w:tblGrid>
      <w:tr w14:paraId="37A8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7FEADA34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6FC1E710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</w:tcPr>
          <w:p w14:paraId="7CCA397C">
            <w:pPr>
              <w:spacing w:line="312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特定对象调研        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/>
                <w:sz w:val="24"/>
                <w:szCs w:val="24"/>
              </w:rPr>
              <w:t>分析师会议</w:t>
            </w:r>
          </w:p>
          <w:p w14:paraId="750C40CE">
            <w:pPr>
              <w:spacing w:line="312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业绩说明会 </w:t>
            </w:r>
          </w:p>
          <w:p w14:paraId="721F1B4A">
            <w:pPr>
              <w:spacing w:line="312" w:lineRule="auto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路演活动</w:t>
            </w:r>
          </w:p>
          <w:p w14:paraId="2E66DAD9">
            <w:pPr>
              <w:tabs>
                <w:tab w:val="left" w:pos="3045"/>
                <w:tab w:val="center" w:pos="3199"/>
              </w:tabs>
              <w:spacing w:line="312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现场参观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ab/>
            </w:r>
          </w:p>
          <w:p w14:paraId="3AE67F23">
            <w:pPr>
              <w:tabs>
                <w:tab w:val="center" w:pos="3199"/>
              </w:tabs>
              <w:spacing w:line="312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其他</w:t>
            </w:r>
          </w:p>
        </w:tc>
      </w:tr>
      <w:tr w14:paraId="7740C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08" w:type="dxa"/>
            <w:vAlign w:val="center"/>
          </w:tcPr>
          <w:p w14:paraId="4DA25581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7380" w:type="dxa"/>
            <w:vAlign w:val="center"/>
          </w:tcPr>
          <w:p w14:paraId="77307CA9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刘佳昆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国泰海通证券股份有限公司</w:t>
            </w:r>
          </w:p>
          <w:p w14:paraId="0554FEA7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张英杰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上海德汇集团有限公司</w:t>
            </w:r>
          </w:p>
          <w:p w14:paraId="31AD6F3A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居桢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华宝基金管理有限公司</w:t>
            </w:r>
          </w:p>
          <w:p w14:paraId="3A73F456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黄钢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广州拙一资产管理有限公司</w:t>
            </w:r>
          </w:p>
          <w:p w14:paraId="48ECDE5B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黄诗涛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东吴证券股份有限公司</w:t>
            </w:r>
          </w:p>
          <w:p w14:paraId="6299B599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米雁翔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长江证券</w:t>
            </w:r>
          </w:p>
          <w:p w14:paraId="4B8A2987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陈传奇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浙江慧远投资管理有限公司</w:t>
            </w:r>
          </w:p>
          <w:p w14:paraId="551512E3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Terry Xia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中国东方国际资产管理有限公司</w:t>
            </w:r>
          </w:p>
          <w:p w14:paraId="75CBBBF1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孙瑞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中加基金管理有限公司</w:t>
            </w:r>
          </w:p>
          <w:p w14:paraId="092D8537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傅嘉成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浙商证券</w:t>
            </w:r>
          </w:p>
          <w:p w14:paraId="249EDAA8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王娟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天治基金管理有限公司</w:t>
            </w:r>
          </w:p>
          <w:p w14:paraId="165E9A76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刘勇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光大证券股份有限公司</w:t>
            </w:r>
          </w:p>
          <w:p w14:paraId="2C00D954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诸文洁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敦和资产管理有限公司</w:t>
            </w:r>
          </w:p>
          <w:p w14:paraId="3F9EF0F7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张晓艳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西安敦成私募基金管理有限公司</w:t>
            </w:r>
          </w:p>
          <w:p w14:paraId="322BDF13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史国财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仁桥（北京）资产管理有限公司</w:t>
            </w:r>
          </w:p>
          <w:p w14:paraId="2A4B6535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汪达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金鹰基金管理有限公司</w:t>
            </w:r>
          </w:p>
          <w:p w14:paraId="0779165A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王湛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太平洋证券</w:t>
            </w:r>
          </w:p>
          <w:p w14:paraId="1E7D0A6D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李谦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杭州长谋投资管理有限公司</w:t>
            </w:r>
          </w:p>
          <w:p w14:paraId="65D457A3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王哲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上海汇正财经顾问有限公司</w:t>
            </w:r>
          </w:p>
          <w:p w14:paraId="70537330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彭飞虹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深圳市鲲鹏恒隆投资有限公司</w:t>
            </w:r>
          </w:p>
          <w:p w14:paraId="22F6FB38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黄向前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深圳市尚诚资产管理有限责任公司</w:t>
            </w:r>
          </w:p>
          <w:p w14:paraId="397A0C33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沈玉梁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嘉实基金管理有限公司</w:t>
            </w:r>
          </w:p>
          <w:p w14:paraId="2BF2FC61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王莎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华夏理财有限责任公司</w:t>
            </w:r>
          </w:p>
          <w:p w14:paraId="2EE3AA54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陈均峰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交银施罗德基金管理有限公司</w:t>
            </w:r>
          </w:p>
          <w:p w14:paraId="57DBBD42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闫燕燕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华福证券</w:t>
            </w:r>
          </w:p>
          <w:p w14:paraId="50928670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王兴伟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国联安基金管理有限公司</w:t>
            </w:r>
          </w:p>
          <w:p w14:paraId="7EBB721C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黄俊杰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深圳市明达资产管理有限公司</w:t>
            </w:r>
          </w:p>
          <w:p w14:paraId="365205DA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王冰倩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泰信基金管理有限公司</w:t>
            </w:r>
          </w:p>
          <w:p w14:paraId="0778B708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毛文博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华宝基金管理有限公司</w:t>
            </w:r>
          </w:p>
          <w:p w14:paraId="296BFFB8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胡靓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富国基金管理有限公司</w:t>
            </w:r>
          </w:p>
          <w:p w14:paraId="4D66D316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董一平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Zhejiang MiYin Investment Management Co.,Ltd.</w:t>
            </w:r>
          </w:p>
          <w:p w14:paraId="300AF1A2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刘濯宇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Government of Singapore Investment Corporation</w:t>
            </w:r>
          </w:p>
          <w:p w14:paraId="02E745C6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张震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上海美市科技有限公司</w:t>
            </w:r>
          </w:p>
          <w:p w14:paraId="0259B41A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王博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平安基金管理有限公司</w:t>
            </w:r>
          </w:p>
          <w:p w14:paraId="528CFF06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孙浩桐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红思客资产管理（北京）有限责任公司</w:t>
            </w:r>
          </w:p>
          <w:p w14:paraId="38742899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jiayi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上海东方财富网络科技有限公司</w:t>
            </w:r>
          </w:p>
          <w:p w14:paraId="4B7178B4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于嘉馨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银河基金管理有限公司</w:t>
            </w:r>
          </w:p>
          <w:p w14:paraId="7329B8B2">
            <w:pPr>
              <w:ind w:firstLine="0" w:firstLineChars="0"/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刘毅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开源证券股份有限公司</w:t>
            </w:r>
          </w:p>
        </w:tc>
      </w:tr>
      <w:tr w14:paraId="1B2B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0A7D0C23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380" w:type="dxa"/>
          </w:tcPr>
          <w:p w14:paraId="7A4744E5">
            <w:pPr>
              <w:spacing w:line="312" w:lineRule="auto"/>
              <w:rPr>
                <w:rFonts w:hint="default" w:ascii="宋体" w:hAnsi="宋体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2026年9月1日 10：00-11:00</w:t>
            </w:r>
          </w:p>
        </w:tc>
      </w:tr>
      <w:tr w14:paraId="4245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5DFED40D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7380" w:type="dxa"/>
          </w:tcPr>
          <w:p w14:paraId="1419F129">
            <w:pPr>
              <w:spacing w:line="240" w:lineRule="auto"/>
              <w:rPr>
                <w:rFonts w:hint="default" w:ascii="宋体" w:hAnsi="宋体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红星美凯龙总部b座南楼 312会议室、电话会议</w:t>
            </w:r>
          </w:p>
        </w:tc>
      </w:tr>
      <w:tr w14:paraId="099F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7A298C5F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公司总部接待人员姓名</w:t>
            </w:r>
          </w:p>
        </w:tc>
        <w:tc>
          <w:tcPr>
            <w:tcW w:w="7380" w:type="dxa"/>
            <w:vAlign w:val="center"/>
          </w:tcPr>
          <w:p w14:paraId="080D5A41">
            <w:pPr>
              <w:spacing w:line="240" w:lineRule="auto"/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董事长 李玉鹏</w:t>
            </w:r>
          </w:p>
          <w:p w14:paraId="64F9AAF2">
            <w:pPr>
              <w:spacing w:line="240" w:lineRule="auto"/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总经理 施姚峰</w:t>
            </w:r>
          </w:p>
          <w:p w14:paraId="3E9D211D">
            <w:pPr>
              <w:spacing w:line="240" w:lineRule="auto"/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副总经理 朱家桂</w:t>
            </w:r>
          </w:p>
          <w:p w14:paraId="5D86C74E">
            <w:pPr>
              <w:spacing w:line="240" w:lineRule="auto"/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财务总监 杨映武</w:t>
            </w:r>
          </w:p>
          <w:p w14:paraId="3CB7398E">
            <w:pPr>
              <w:spacing w:line="240" w:lineRule="auto"/>
              <w:rPr>
                <w:rFonts w:hint="default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董事会秘书 曹澍</w:t>
            </w:r>
          </w:p>
        </w:tc>
      </w:tr>
      <w:tr w14:paraId="4E427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08" w:type="dxa"/>
            <w:vAlign w:val="center"/>
          </w:tcPr>
          <w:p w14:paraId="46125A7D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7380" w:type="dxa"/>
          </w:tcPr>
          <w:p w14:paraId="510CEFC2">
            <w:pPr>
              <w:numPr>
                <w:ilvl w:val="0"/>
                <w:numId w:val="1"/>
              </w:numPr>
              <w:spacing w:line="360" w:lineRule="auto"/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  <w:t>董事长李玉鹏先生致辞</w:t>
            </w:r>
          </w:p>
          <w:p w14:paraId="691777B7">
            <w:pPr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2026年上半年，面对复杂的外部经济环境，公司在建发集团党委的坚强领导下，坚持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内需主导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战略基调，聚焦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有效规模、经营质量、运营效率、品牌价值、创新发展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五大方向，经营层面实现关键性突破，投资性房地产减值损失大幅收窄，降本增效措施也进入集中兑现期，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highlight w:val="none"/>
              </w:rPr>
              <w:t>公司经营基本面已发生实质性改善，精细化管理的成效正在财务报表中逐步显现。美凯龙上半年实现归母净利润7486万元，同比实现扭亏为盈。</w:t>
            </w:r>
          </w:p>
          <w:p w14:paraId="0AE6F06B">
            <w:pPr>
              <w:ind w:firstLine="480" w:firstLineChars="200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highlight w:val="none"/>
              </w:rPr>
              <w:t>提升资产流动性方面也取得实质性进展。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7月，公司已公告拟以上海宝山区汶水路商场作为底层资产，设立不超过24亿元的商业抵押贷款资产支持专项计划（CMBS）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。</w:t>
            </w:r>
          </w:p>
          <w:p w14:paraId="3C3F67B4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公司积极推进公募REITs的申报筹备工作，在条件成熟时推动优质商场资产实现REITs上市，进一步打通资产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投融管退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的良性循环。</w:t>
            </w:r>
          </w:p>
          <w:p w14:paraId="008200B5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在资金统筹方面，公司董事会已审议终止部分募集资金投资项目，将剩余约10.17亿元募集资金永久补充流动资金。这一调整是基于当前市场环境和公司实际经营需要的审慎决策，有助于提升资金使用效率，集中资源保障主业运营与战略转型。</w:t>
            </w:r>
          </w:p>
          <w:p w14:paraId="385AAE07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作为国有控股上市公司，公司持续受益于大股东建发股份在融资端的有力赋能。上半年，公司综合融资成本率维持低位，融资结构进一步优化。</w:t>
            </w:r>
          </w:p>
          <w:p w14:paraId="3B32DAFA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在业务协同层面，公司与建发系的联动持续深化。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地产+家居+供应链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的整合模式正在产生实实在在的获客效应与经营协同，成为公司穿越周期的重要护城河。</w:t>
            </w:r>
          </w:p>
          <w:p w14:paraId="659B22C6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展望下半年，公司将继续坚持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家居生活新商业运营商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与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家居产业生态服务商</w:t>
            </w:r>
            <w:r>
              <w:rPr>
                <w:rFonts w:hint="eastAsia" w:ascii="宋体" w:hAnsi="宋体" w:cs="宋体"/>
                <w:sz w:val="24"/>
                <w:szCs w:val="32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的战略定位，重点推进以下工作：</w:t>
            </w:r>
          </w:p>
          <w:p w14:paraId="565A378E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32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持续深化"轻重分离"，加速资产证券化进程，力争CMBS、REITS项目年内落地；</w:t>
            </w:r>
          </w:p>
          <w:p w14:paraId="374F0C9A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32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继续推进降本增效，强化经营计划的精细化管理；</w:t>
            </w:r>
          </w:p>
          <w:p w14:paraId="23056923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32"/>
                <w:highlight w:val="none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保持开放姿态，积极探索商业模式创新，回归服务本质；</w:t>
            </w:r>
          </w:p>
          <w:p w14:paraId="794107D3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32"/>
                <w:highlight w:val="none"/>
                <w:lang w:val="en-US" w:eastAsia="zh-CN"/>
              </w:rPr>
              <w:t>4）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加强市值管理，以持续稳定的经营成果回报股东信任。</w:t>
            </w:r>
          </w:p>
          <w:p w14:paraId="4B7424C3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  <w:t>上半年扭亏为盈只是一个开始。美凯龙将始终秉持"创造美好家居生活"的使命，稳步推进战略转型，以实际行动证明公司的长期投资价值。</w:t>
            </w:r>
          </w:p>
          <w:p w14:paraId="0DB37AEC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</w:pPr>
          </w:p>
          <w:p w14:paraId="7056A146">
            <w:pPr>
              <w:numPr>
                <w:ilvl w:val="0"/>
                <w:numId w:val="1"/>
              </w:numPr>
              <w:spacing w:line="360" w:lineRule="auto"/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  <w:t>财务总监杨映武先生介绍财务情况</w:t>
            </w:r>
          </w:p>
          <w:p w14:paraId="19FD6A3C">
            <w:pPr>
              <w:ind w:firstLine="480" w:firstLineChars="200"/>
              <w:rPr>
                <w:rFonts w:hint="default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1.商场数量及出租率：2026年</w:t>
            </w:r>
            <w:r>
              <w:rPr>
                <w:rFonts w:hint="default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上半年关闭2家低效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自营商场，截至6月末自营商场平均出租率达86.9%，较2025年末的85%进一步提升。委管商场运营：上半年新开1家、关闭8家委管商场，优化业务布局的同时降低相关业务经营风险。整体经营规模：截至6月末公司共运营72家自营商场、211家委管商场、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16</w:t>
            </w:r>
            <w:r>
              <w:rPr>
                <w:rFonts w:hint="default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家特许经营商场，总经营管理面积超1850万方。</w:t>
            </w:r>
          </w:p>
          <w:p w14:paraId="4C7DF45E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营收与利润情况</w:t>
            </w: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：上半年实现营业收入30.9亿元，同比下降2.5亿元，降幅7.3%，主要由于主动关闭低效商场、收缩建筑装饰业务导致。其中自营及租赁板块营收23.8亿元，同比下降0.7亿元，降幅2.8%，源于关闭低效商场、为稳商留商及引入优质业态给予租金优惠导致租金单价下滑；委托经营管理板块营收5.1亿元，同比下降1亿元，源于主动关闭风险较高、经营不善的委管商场；建筑装饰服务板块营收0.3亿元，同比下降0.8亿元，是公司主动收缩该类业务的结果；其他业务（联合营销、商业策划等）营收1.7亿元，与去年同期基本持平。</w:t>
            </w:r>
          </w:p>
          <w:p w14:paraId="0B722413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3.整体盈利情况：2026年上半年公司实现归母净利润7486万元，同比扭亏为盈；上半年公允价值变动损失约9884万元，较去年同期的21亿元大幅减少20亿元，是盈利改善的核心因素之一；各类减值损失合计约4866万元，较去年同期减少约7000万元。剔除公允价值变动损失、减值损失后，2026年上半年经营产生利润约为3.9亿元，较去年同期的2.3亿元增加1.6亿元，增幅显著。</w:t>
            </w:r>
          </w:p>
          <w:p w14:paraId="73351C1C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4.成本费用管控成效：上半年整体营业总成本下降4.5亿元，降幅超过营收降幅：营业成本下降2.1亿元，降幅17%；销售费用下降1.1亿元，降幅29%；管理费用下降0.5亿元，降幅11%；财务费用下降0.75亿元，降幅7%。</w:t>
            </w:r>
          </w:p>
          <w:p w14:paraId="27352811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5.经营性现金流：上半年经营活动产生的现金净流量为8.8亿元，同比增加6.8亿元，增幅达337%；较去年下半年环比增加2.6亿元，经营质量持续提升。</w:t>
            </w:r>
          </w:p>
          <w:p w14:paraId="564A71B4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6.资产负债与融资情况：资产负债结构方面，截至2026年6月末，公司资产总额866亿元，其中非流动资产802亿元，占比93%，投资性房地产占总资产比例达81%；负债总额629亿元，资产负债率72.6%，较年初略有降低。</w:t>
            </w:r>
          </w:p>
          <w:p w14:paraId="52DB8DAA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有息负债与融资成本：截至2026年6月末，有息负债平均融资成本为4.2%，较2025年末的4.4%进一步下降；2021年该成本曾超过5%，融资成本持续下行主要得益于国资股东建发集团的融资端赋能。下半年计划推进大额债务置换，预计融资成本将进一步降低，债务期限结构也将进一步优化。</w:t>
            </w:r>
          </w:p>
          <w:p w14:paraId="60D02A0B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highlight w:val="none"/>
                <w:lang w:val="en-US" w:eastAsia="zh-CN"/>
              </w:rPr>
              <w:t>融资成本优化空间：未来融资成本变化取决于宏观利率环境、公司信用评级提升及资产负债结构改善，公司有信心将融资成本维持在合理区间。</w:t>
            </w:r>
          </w:p>
          <w:p w14:paraId="6F847519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</w:pPr>
          </w:p>
          <w:p w14:paraId="0FA310E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  <w:t>总经理施总介绍经营情况</w:t>
            </w:r>
          </w:p>
          <w:p w14:paraId="2989D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2026年</w:t>
            </w:r>
            <w:r>
              <w:rPr>
                <w:rFonts w:hint="eastAsia"/>
                <w:sz w:val="24"/>
                <w:szCs w:val="32"/>
              </w:rPr>
              <w:t>上半年，在行业整体仍处于调整期的背景下，公司围绕</w:t>
            </w:r>
            <w:r>
              <w:rPr>
                <w:rFonts w:hint="eastAsia"/>
                <w:sz w:val="24"/>
                <w:szCs w:val="32"/>
                <w:lang w:eastAsia="zh-CN"/>
              </w:rPr>
              <w:t>“</w:t>
            </w:r>
            <w:r>
              <w:rPr>
                <w:rFonts w:hint="eastAsia"/>
                <w:sz w:val="24"/>
                <w:szCs w:val="32"/>
              </w:rPr>
              <w:t>稳商留商、提质增效</w:t>
            </w:r>
            <w:r>
              <w:rPr>
                <w:rFonts w:hint="eastAsia"/>
                <w:sz w:val="24"/>
                <w:szCs w:val="32"/>
                <w:lang w:eastAsia="zh-CN"/>
              </w:rPr>
              <w:t>”</w:t>
            </w:r>
            <w:r>
              <w:rPr>
                <w:rFonts w:hint="eastAsia"/>
                <w:sz w:val="24"/>
                <w:szCs w:val="32"/>
              </w:rPr>
              <w:t>的经营主线，交出了一份来之不易的成绩单。</w:t>
            </w:r>
          </w:p>
          <w:p w14:paraId="5306B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在出租率方面，截至6月底，公司自营商场平均出租率已回升至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86.9%</w:t>
            </w:r>
            <w:r>
              <w:rPr>
                <w:rFonts w:hint="eastAsia"/>
                <w:sz w:val="24"/>
                <w:szCs w:val="32"/>
              </w:rPr>
              <w:t>，延续了自去年以来的改善态势</w:t>
            </w:r>
            <w:r>
              <w:rPr>
                <w:rFonts w:hint="eastAsia"/>
                <w:sz w:val="24"/>
                <w:szCs w:val="32"/>
                <w:lang w:eastAsia="zh-CN"/>
              </w:rPr>
              <w:t>，</w:t>
            </w:r>
            <w:r>
              <w:rPr>
                <w:rFonts w:hint="eastAsia"/>
                <w:sz w:val="24"/>
                <w:szCs w:val="32"/>
              </w:rPr>
              <w:t>公司的商场运营能力和商户黏性正在持续增强。</w:t>
            </w:r>
          </w:p>
          <w:p w14:paraId="75AC7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在成本控制方面，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公司</w:t>
            </w:r>
            <w:r>
              <w:rPr>
                <w:rFonts w:hint="eastAsia"/>
                <w:sz w:val="24"/>
                <w:szCs w:val="32"/>
              </w:rPr>
              <w:t>通过优化组织架构、精简低效业务、发挥集采优势、迭代全面预算管理等一系列措施，公司三费水平进一步下降，为扭亏为盈奠定了坚实的运营基础。</w:t>
            </w:r>
          </w:p>
          <w:p w14:paraId="57E05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业态升级方面，其中</w:t>
            </w:r>
            <w:r>
              <w:rPr>
                <w:rFonts w:hint="eastAsia"/>
                <w:sz w:val="24"/>
                <w:szCs w:val="32"/>
              </w:rPr>
              <w:t>电器业务，2026年上半年，MEGA-E落地两家，分别是重庆至尊Mall的西南首座MEGA-E智电绿洲及新乡牧野商场MEGA-E智电绿洲。</w:t>
            </w:r>
          </w:p>
          <w:p w14:paraId="2A5E9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家装业态方面，公司上半年发布“30+10+1”业务新战略--即公司将打造30个城市旗舰M+家装设计中心、落地10个材料图书馆、搭建1个全国性设计师俱乐部平台，以设计为纽带重构家装产业生态链。截至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6月底</w:t>
            </w:r>
            <w:r>
              <w:rPr>
                <w:rFonts w:hint="eastAsia"/>
                <w:sz w:val="24"/>
                <w:szCs w:val="32"/>
              </w:rPr>
              <w:t>，全国26家样板商场打造完成，引入1800多家设计工作室，合作超过4700位优秀设计师，M+小程序上线至报告期末，汇聚超过8300位设计师，带动销售3.1亿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元</w:t>
            </w:r>
            <w:r>
              <w:rPr>
                <w:rFonts w:hint="eastAsia"/>
                <w:sz w:val="24"/>
                <w:szCs w:val="32"/>
              </w:rPr>
              <w:t>。</w:t>
            </w:r>
          </w:p>
          <w:p w14:paraId="7DAFB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新零售家具业务方面，截至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6月底</w:t>
            </w:r>
            <w:r>
              <w:rPr>
                <w:rFonts w:hint="eastAsia"/>
                <w:sz w:val="24"/>
                <w:szCs w:val="32"/>
              </w:rPr>
              <w:t>，全国新零售家具相关经营总面积达26.6万平方米，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是</w:t>
            </w:r>
            <w:r>
              <w:rPr>
                <w:rFonts w:hint="eastAsia"/>
                <w:sz w:val="24"/>
                <w:szCs w:val="32"/>
              </w:rPr>
              <w:t>经营面积增速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最快的品类</w:t>
            </w:r>
            <w:r>
              <w:rPr>
                <w:rFonts w:hint="eastAsia"/>
                <w:sz w:val="24"/>
                <w:szCs w:val="32"/>
              </w:rPr>
              <w:t>。</w:t>
            </w:r>
          </w:p>
          <w:p w14:paraId="1A080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新业态拓展方面，上半年，公司</w:t>
            </w:r>
            <w:r>
              <w:rPr>
                <w:rFonts w:hint="eastAsia"/>
                <w:sz w:val="24"/>
                <w:szCs w:val="32"/>
              </w:rPr>
              <w:t>完成上海真北1号店商场美食广场店态升级样板打造；与星巴克、麦当劳等连锁大品牌持续扩大合作；新拓人宠共居品类，已引入品牌入驻；适老、户外、餐饮等业务试点在样板商场有序推进。2026年上半年完成全国首店7个、美凯龙首店8个、最新店态77个，以场景创新、首店效应和配套功能完善加强引流能力。</w:t>
            </w:r>
          </w:p>
          <w:p w14:paraId="2AAC1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在数字化运营方面，公司官方小程序覆盖商场数量持续增加，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公司</w:t>
            </w:r>
            <w:r>
              <w:rPr>
                <w:rFonts w:hint="eastAsia"/>
                <w:sz w:val="24"/>
                <w:szCs w:val="32"/>
              </w:rPr>
              <w:t>上线商户通系统，商户通系统旨在构建全渠道运营体系，汇集线上全渠道流量赋能商户经营，涉及商户日常商品、经营、服务等8大功能，上半年已覆盖197家商场。</w:t>
            </w:r>
          </w:p>
          <w:p w14:paraId="5C121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公司的盘活存量业务全线展开，今年4月，公司组建资产盘活领导小组及工作小组，公布年度目标和专项激励方案，项目组月度定期研讨盘点，截至目前四川、浙江等地项目有较大进展。第二曲线海外业务孵化工作也在进一步推进。</w:t>
            </w:r>
          </w:p>
          <w:p w14:paraId="79FF5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家居行业正处于深度调整与转型升级的关键期。美凯龙将坚持以消费者和商户为中心，以运营效率和服务价值为核心竞争力，在行业洗牌中巩固龙头地位，在模式创新中开拓增长空间。</w:t>
            </w:r>
          </w:p>
          <w:p w14:paraId="41729DB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Theme="minorEastAsia" w:hAnsiTheme="minorEastAsia" w:eastAsiaTheme="minorEastAsia"/>
                <w:sz w:val="24"/>
                <w:szCs w:val="32"/>
                <w:lang w:val="en-US" w:eastAsia="zh-CN"/>
              </w:rPr>
            </w:pPr>
          </w:p>
          <w:p w14:paraId="75E9D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Q&amp;A</w:t>
            </w:r>
          </w:p>
          <w:p w14:paraId="32A74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1.下半年及全年投资性房地产是否存在进一步减值风险？未来融资成本还有多大优化空间？经营现金流改善是否具备可持续性？</w:t>
            </w:r>
          </w:p>
          <w:p w14:paraId="3F152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杨总：</w:t>
            </w:r>
          </w:p>
          <w:p w14:paraId="77518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关于投资性房地产减值</w:t>
            </w:r>
            <w:r>
              <w:rPr>
                <w:rFonts w:hint="eastAsia"/>
                <w:sz w:val="24"/>
                <w:szCs w:val="32"/>
                <w:lang w:eastAsia="zh-CN"/>
              </w:rPr>
              <w:t>：</w:t>
            </w:r>
            <w:r>
              <w:rPr>
                <w:rFonts w:hint="eastAsia"/>
                <w:sz w:val="24"/>
                <w:szCs w:val="32"/>
              </w:rPr>
              <w:t>上半年公允价值变动损失大幅收窄，主要得益于商场整体及单店盈利能力的改善。下半年及全年是否减值取决于宏观经济走势、房地产市场复苏节奏、公司商场实际出租率及租金水平变化。目前行业底部支撑逻辑增强，公司整体出租率稳步回升，若宏观经济及行业环境不出现超预期下行，公司不会出现大额公允价值变动损失。</w:t>
            </w:r>
          </w:p>
          <w:p w14:paraId="7E423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关于融资成本：公司近两年融资成本下降明显，202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4</w:t>
            </w:r>
            <w:r>
              <w:rPr>
                <w:rFonts w:hint="eastAsia"/>
                <w:sz w:val="24"/>
                <w:szCs w:val="32"/>
              </w:rPr>
              <w:t>年有息负债平均融资成本超过5%，2025年末降至4.4%左右，2026年6月末进一步下降至4.2%左右，主要得益于国资股东背景，建发集团、建发股份在金融资源、担保及资金方面的大力支持，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美凯龙的</w:t>
            </w:r>
            <w:r>
              <w:rPr>
                <w:rFonts w:hint="eastAsia"/>
                <w:sz w:val="24"/>
                <w:szCs w:val="32"/>
              </w:rPr>
              <w:t xml:space="preserve">融资结构得到大幅优化。未来优化空间一方面取决于宏观利率环境，另一方面取决于公司自身信用评级提升及资产负债结构改善，公司有信心将整体融资成本保持在合理区间。 </w:t>
            </w:r>
          </w:p>
          <w:p w14:paraId="79AB1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经营现金流：上半年改善主要由出租率提升带动租金收入增长、提效降本减少经营性支出两方面驱动。只要出租率及租金收入维持稳定甚至稳步回升，公司持续落实精细化管理和成本管控、有效承接政策红利，经营现金流改善具备坚实基础，管理层会全力保障其健康和可持续。</w:t>
            </w:r>
          </w:p>
          <w:p w14:paraId="02454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</w:p>
          <w:p w14:paraId="0A25C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2.未来最重要的业态主要会集中在电器和家装吗？或者说还有哪些是重要的方向？扩展的计划是怎样的？</w:t>
            </w:r>
          </w:p>
          <w:p w14:paraId="0E34F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2"/>
                <w:lang w:val="en-US" w:eastAsia="zh-CN"/>
              </w:rPr>
              <w:t>朱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总：</w:t>
            </w:r>
            <w:r>
              <w:rPr>
                <w:rFonts w:hint="eastAsia"/>
                <w:sz w:val="24"/>
                <w:szCs w:val="32"/>
              </w:rPr>
              <w:t>公司最核心的主赛道永远是家居建材，同时围绕家庭场景进行生态延展，重点拓展方向包括：</w:t>
            </w:r>
          </w:p>
          <w:p w14:paraId="3603C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高端电器：目前已成为主力品类，正在推进“智电绿洲”升级，2026年预计完成13家左右样板商场打造，形成覆盖超一线城市、新一线城市、地级市三个能级的标准模板；2027年起进入全国推广阶段，将对40家1号店和100个城市旗舰店进行升级，整个电器提升战略将持续2-3年，完成约140家商场的生态升级。</w:t>
            </w:r>
          </w:p>
          <w:p w14:paraId="59C32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M+高端家装设计中心：实施“30+10+1”策略，1个全国性设计师运营平台的设计小程序目前已聚集设计师超过8300名；10家材料图书馆</w:t>
            </w:r>
            <w:r>
              <w:rPr>
                <w:rFonts w:hint="eastAsia"/>
                <w:sz w:val="24"/>
                <w:szCs w:val="32"/>
                <w:lang w:eastAsia="zh-CN"/>
              </w:rPr>
              <w:t>，</w:t>
            </w:r>
            <w:r>
              <w:rPr>
                <w:rFonts w:hint="eastAsia"/>
                <w:sz w:val="24"/>
                <w:szCs w:val="32"/>
              </w:rPr>
              <w:t xml:space="preserve">首批3家将于2026年国庆后至年底在郑州、北京、贵阳落地，2027年上半年进入复制阶段；30家样板设计中心2026年上半年已完成26家，下半年完成剩余4家，首批30家均布局在北上广深及省会级城市，后续将逐步向新一线城市、核心地级市的核心门店推进。 </w:t>
            </w:r>
          </w:p>
          <w:p w14:paraId="5C75B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线上家居品牌线下体验店：引入互联网新零售家居品牌开设线下体验店，截至2026年6月底相关经营面积已达26.6万平米，是所有品类中增速第一的品类，目前上海、北京样板已成功，正在全国十几个商场快速复制。</w:t>
            </w:r>
          </w:p>
          <w:p w14:paraId="37C65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同时公司正在推进抖音数字化卖场改造、小红书城市体验厅打造，将抖音、小红书系年轻群体偏好的家居产品引入商场生态，是未来1-2年的重点推进方向。 </w:t>
            </w:r>
          </w:p>
          <w:p w14:paraId="2B8E6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公司品类拓展遵循两大核心逻辑：一是坚守家居建材主赛道，拓展的业态需与主赛道协同，可共享公司品牌、场景、客户等核心资产；二是所有模式创新均经过充分前期调研、打样，具备清晰的盈利模型或战略价值，不会盲目追逐热点拓展品类。</w:t>
            </w:r>
          </w:p>
          <w:p w14:paraId="36DA0A7F">
            <w:pPr>
              <w:ind w:firstLine="482" w:firstLineChars="200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 w14:paraId="01AFE282">
            <w:pPr>
              <w:ind w:firstLine="480" w:firstLineChars="200"/>
              <w:rPr>
                <w:b w:val="0"/>
                <w:bCs w:val="0"/>
                <w:sz w:val="24"/>
                <w:szCs w:val="32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3.</w:t>
            </w:r>
            <w:r>
              <w:rPr>
                <w:rFonts w:hint="eastAsia"/>
                <w:b w:val="0"/>
                <w:bCs w:val="0"/>
                <w:sz w:val="24"/>
                <w:szCs w:val="32"/>
              </w:rPr>
              <w:t>公司新五年战略中提到要孵化供应链服务和海外业务，上半年这两块有什么具体进展？</w:t>
            </w:r>
          </w:p>
          <w:p w14:paraId="4BD60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朱总：</w:t>
            </w:r>
            <w:r>
              <w:rPr>
                <w:rFonts w:hint="eastAsia"/>
                <w:sz w:val="24"/>
                <w:szCs w:val="32"/>
              </w:rPr>
              <w:t>供应链业务分为国内和海外两部分同步推进</w:t>
            </w:r>
            <w:r>
              <w:rPr>
                <w:rFonts w:hint="eastAsia"/>
                <w:sz w:val="24"/>
                <w:szCs w:val="32"/>
                <w:lang w:eastAsia="zh-CN"/>
              </w:rPr>
              <w:t>。</w:t>
            </w:r>
          </w:p>
          <w:p w14:paraId="7523B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国内供应链以提升美凯龙生态及行业竞争力为核心逻辑，目前围绕六大电器创新场景（潮电荟、影音汇、厨房空间、Ecolife、适老康养、零碳绿能）搭建后台供应链模式，潮电汇是公司与建发轻工共创的场景，已切入生活类小家电尤其是清洁类电器的上游供应链链路，相关业务预计半年左右逐步成型。</w:t>
            </w:r>
          </w:p>
          <w:p w14:paraId="36319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海外业务目前处于初期试点阶段，一方面将依托母公司建发集团的国际化供应链网络资源，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以及</w:t>
            </w:r>
            <w:r>
              <w:rPr>
                <w:rFonts w:hint="eastAsia"/>
                <w:sz w:val="24"/>
                <w:szCs w:val="32"/>
              </w:rPr>
              <w:t>中国家博会、建博会等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国家级</w:t>
            </w:r>
            <w:r>
              <w:rPr>
                <w:rFonts w:hint="eastAsia"/>
                <w:sz w:val="24"/>
                <w:szCs w:val="32"/>
              </w:rPr>
              <w:t>平台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搭建中国家居出海的连接器，</w:t>
            </w:r>
            <w:r>
              <w:rPr>
                <w:rFonts w:hint="eastAsia"/>
                <w:sz w:val="24"/>
                <w:szCs w:val="32"/>
              </w:rPr>
              <w:t>帮助中国家具、建材、家电品牌出海；另一方面未来在海外建立销售网络后，也将搭建当地供应体系</w:t>
            </w:r>
            <w:r>
              <w:rPr>
                <w:rFonts w:hint="eastAsia"/>
                <w:sz w:val="24"/>
                <w:szCs w:val="32"/>
                <w:lang w:eastAsia="zh-CN"/>
              </w:rPr>
              <w:t>。</w:t>
            </w:r>
            <w:r>
              <w:rPr>
                <w:rFonts w:hint="eastAsia"/>
                <w:sz w:val="24"/>
                <w:szCs w:val="32"/>
              </w:rPr>
              <w:t>供应链及海外业务未来2-3年仍处于孵化阶段，公司给予了较长的培育期和容错空间</w:t>
            </w:r>
            <w:r>
              <w:rPr>
                <w:rFonts w:hint="eastAsia"/>
                <w:sz w:val="24"/>
                <w:szCs w:val="32"/>
                <w:lang w:eastAsia="zh-CN"/>
              </w:rPr>
              <w:t>。</w:t>
            </w:r>
          </w:p>
          <w:p w14:paraId="6363E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公司已对欧美、东盟、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东南</w:t>
            </w:r>
            <w:r>
              <w:rPr>
                <w:rFonts w:hint="eastAsia"/>
                <w:sz w:val="24"/>
                <w:szCs w:val="32"/>
              </w:rPr>
              <w:t>亚、中东、非洲等市场进行调研，东南亚的印尼、菲律宾项目进展较快，预计会率先推出试点。2026年9月5日中国家博会上公司会正式对外披露美凯龙出海业务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相关的进展</w:t>
            </w:r>
            <w:r>
              <w:rPr>
                <w:rFonts w:hint="eastAsia"/>
                <w:sz w:val="24"/>
                <w:szCs w:val="32"/>
              </w:rPr>
              <w:t>。</w:t>
            </w:r>
          </w:p>
          <w:p w14:paraId="72C7B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  <w:sz w:val="24"/>
                <w:szCs w:val="32"/>
              </w:rPr>
            </w:pPr>
          </w:p>
          <w:p w14:paraId="73E9974C">
            <w:pPr>
              <w:ind w:firstLine="480" w:firstLineChars="200"/>
              <w:rPr>
                <w:b w:val="0"/>
                <w:bCs w:val="0"/>
                <w:sz w:val="24"/>
                <w:szCs w:val="32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4.</w:t>
            </w:r>
            <w:r>
              <w:rPr>
                <w:rFonts w:hint="eastAsia"/>
                <w:b w:val="0"/>
                <w:bCs w:val="0"/>
                <w:sz w:val="24"/>
                <w:szCs w:val="32"/>
              </w:rPr>
              <w:t>不同类型的业态（家居、高端电器、新能源汽车业态、家装等）单店租金有什么差别，和之前比变动情况？公司引入高端电器、家装、新能源汽车业态等新业态对收入的贡献占比目前是多少，未来增长趋势？</w:t>
            </w:r>
          </w:p>
          <w:p w14:paraId="436E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朱总：</w:t>
            </w:r>
            <w:r>
              <w:rPr>
                <w:rFonts w:hint="eastAsia"/>
                <w:sz w:val="24"/>
                <w:szCs w:val="32"/>
              </w:rPr>
              <w:t>高端电器</w:t>
            </w:r>
            <w:r>
              <w:rPr>
                <w:rFonts w:hint="eastAsia"/>
                <w:sz w:val="24"/>
                <w:szCs w:val="32"/>
                <w:lang w:eastAsia="zh-CN"/>
              </w:rPr>
              <w:t>：</w:t>
            </w:r>
            <w:r>
              <w:rPr>
                <w:rFonts w:hint="eastAsia"/>
                <w:sz w:val="24"/>
                <w:szCs w:val="32"/>
              </w:rPr>
              <w:t>租金水平与传统家居建材品类相当甚至更高，目前其面积占比、租金贡献均超过10%，且收入贡献仍在持续提升，未来3年公司计划再提升5个百分点的占比。</w:t>
            </w:r>
          </w:p>
          <w:p w14:paraId="0DE14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M+设计中心及线上家居品牌线下体验店：属于孵化类业态，租金约为传统家居建材的一半，主要布局在商场高楼层。目前M+设计中心面积占比约5个百分点，原计划提升至15%，目前放慢节奏追求质量，将逐步夯实至8%、10%的占比，预计3年左右做到10%-15%的占比</w:t>
            </w:r>
            <w:r>
              <w:rPr>
                <w:rFonts w:hint="eastAsia"/>
                <w:sz w:val="24"/>
                <w:szCs w:val="32"/>
                <w:lang w:eastAsia="zh-CN"/>
              </w:rPr>
              <w:t>。</w:t>
            </w:r>
          </w:p>
          <w:p w14:paraId="782F1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新能源汽车：主要布局在三四线市场，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车企</w:t>
            </w:r>
            <w:r>
              <w:rPr>
                <w:rFonts w:hint="eastAsia"/>
                <w:sz w:val="24"/>
                <w:szCs w:val="32"/>
              </w:rPr>
              <w:t>租金承受水平较低，属于补充类业态。</w:t>
            </w:r>
          </w:p>
          <w:p w14:paraId="135D6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目前公司自营商场出租率约8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6.9</w:t>
            </w:r>
            <w:r>
              <w:rPr>
                <w:rFonts w:hint="eastAsia"/>
                <w:sz w:val="24"/>
                <w:szCs w:val="32"/>
              </w:rPr>
              <w:t>%，计划通过上述新业态的拓展，2-3年内将出租率提升至93%-95%，这是新五年规划的明确目标。</w:t>
            </w:r>
          </w:p>
          <w:p w14:paraId="16E15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</w:p>
          <w:p w14:paraId="156DC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b w:val="0"/>
                <w:bCs w:val="0"/>
                <w:sz w:val="24"/>
                <w:szCs w:val="32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5.</w:t>
            </w:r>
            <w:r>
              <w:rPr>
                <w:rFonts w:hint="eastAsia"/>
                <w:b w:val="0"/>
                <w:bCs w:val="0"/>
                <w:sz w:val="24"/>
                <w:szCs w:val="32"/>
              </w:rPr>
              <w:t>请问下半年公司在收入端和成本端分别有哪些具体的改善举措？出租率和租金水平的修复节奏如何预期？全年来看，公司是否有信心保持盈利状态，经营层面的核心KPI目标是什么？</w:t>
            </w:r>
          </w:p>
          <w:p w14:paraId="255B4A76">
            <w:pPr>
              <w:ind w:firstLine="480" w:firstLineChars="200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施总：</w:t>
            </w:r>
            <w:r>
              <w:rPr>
                <w:rFonts w:hint="eastAsia"/>
                <w:sz w:val="24"/>
                <w:szCs w:val="32"/>
              </w:rPr>
              <w:t>下半年我们将从收入和成本两端同时发力，巩固这一积极态势。</w:t>
            </w:r>
          </w:p>
          <w:p w14:paraId="4CCA409E">
            <w:pPr>
              <w:ind w:firstLine="480" w:firstLineChars="200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收入端，第一，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公司将</w:t>
            </w:r>
            <w:r>
              <w:rPr>
                <w:rFonts w:hint="eastAsia"/>
                <w:sz w:val="24"/>
                <w:szCs w:val="32"/>
              </w:rPr>
              <w:t>持续提升出租率。截至上半年底，公司自营商场出租率已回升至86.9%，下半年我们的目标是稳步提升2-3个百分点。通过优化商户结构、引入高坪效业态、强化空铺招商，逐步修复租金水平。第二，深化品类创新。MEGA-E智电绿洲、新零售家具、M+设计中心等新增长极将继续贡献增量面积和收入。下半年我们会加速样板商场的复制推广，同时把握"金九银十"、双11等关键促销节点，拉动全品类销售。</w:t>
            </w:r>
          </w:p>
          <w:p w14:paraId="7DAC0514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成本端，降本增效已进入深水区。上半年三费继续下降，下半年我们将：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1.</w:t>
            </w:r>
            <w:r>
              <w:rPr>
                <w:rFonts w:hint="eastAsia"/>
                <w:sz w:val="24"/>
                <w:szCs w:val="32"/>
              </w:rPr>
              <w:t>优化组织架构，提升人效；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2.</w:t>
            </w:r>
            <w:r>
              <w:rPr>
                <w:rFonts w:hint="eastAsia"/>
                <w:sz w:val="24"/>
                <w:szCs w:val="32"/>
              </w:rPr>
              <w:t>推进全面预算管理的精细化，严控非必要支出；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3.</w:t>
            </w:r>
            <w:r>
              <w:rPr>
                <w:rFonts w:hint="eastAsia"/>
                <w:sz w:val="24"/>
                <w:szCs w:val="32"/>
              </w:rPr>
              <w:t>继续发挥集采优势，降低采购和运营成本。</w:t>
            </w:r>
          </w:p>
          <w:p w14:paraId="628D8F57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关于盈利预期，管理层对全年保持盈利状态有信心，但这个信心建立在出租率持续改善、成本严格管控、政策红利有效承接的基础之上。</w:t>
            </w:r>
          </w:p>
          <w:p w14:paraId="1E7DE871">
            <w:pPr>
              <w:ind w:firstLine="480" w:firstLineChars="200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经营层面的核心KPI，可以概括为</w:t>
            </w:r>
            <w:r>
              <w:rPr>
                <w:rFonts w:hint="eastAsia"/>
                <w:sz w:val="24"/>
                <w:szCs w:val="32"/>
                <w:lang w:eastAsia="zh-CN"/>
              </w:rPr>
              <w:t>“</w:t>
            </w:r>
            <w:r>
              <w:rPr>
                <w:rFonts w:hint="eastAsia"/>
                <w:sz w:val="24"/>
                <w:szCs w:val="32"/>
              </w:rPr>
              <w:t>两升一降</w:t>
            </w:r>
            <w:r>
              <w:rPr>
                <w:rFonts w:hint="eastAsia"/>
                <w:sz w:val="24"/>
                <w:szCs w:val="32"/>
                <w:lang w:eastAsia="zh-CN"/>
              </w:rPr>
              <w:t>”</w:t>
            </w:r>
            <w:r>
              <w:rPr>
                <w:rFonts w:hint="eastAsia"/>
                <w:sz w:val="24"/>
                <w:szCs w:val="32"/>
              </w:rPr>
              <w:t>：出租率稳步提升、新增长极收入占比提升、综合运营成本率下降。</w:t>
            </w:r>
          </w:p>
          <w:p w14:paraId="424AD382">
            <w:pPr>
              <w:ind w:firstLine="480" w:firstLineChars="200"/>
              <w:rPr>
                <w:rFonts w:hint="eastAsia"/>
                <w:b w:val="0"/>
                <w:bCs w:val="0"/>
                <w:sz w:val="24"/>
                <w:szCs w:val="32"/>
              </w:rPr>
            </w:pPr>
          </w:p>
          <w:p w14:paraId="4DE991EF">
            <w:pPr>
              <w:ind w:firstLine="480" w:firstLineChars="200"/>
              <w:rPr>
                <w:b w:val="0"/>
                <w:bCs w:val="0"/>
                <w:sz w:val="24"/>
                <w:szCs w:val="32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6.</w:t>
            </w:r>
            <w:r>
              <w:rPr>
                <w:rFonts w:hint="eastAsia"/>
                <w:b w:val="0"/>
                <w:bCs w:val="0"/>
                <w:sz w:val="24"/>
                <w:szCs w:val="32"/>
              </w:rPr>
              <w:t>公司后续是否还有商场关停计划？对业绩改善帮助有多大？</w:t>
            </w:r>
          </w:p>
          <w:p w14:paraId="12D18F7D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施总：</w:t>
            </w:r>
            <w:r>
              <w:rPr>
                <w:rFonts w:hint="eastAsia"/>
                <w:sz w:val="24"/>
                <w:szCs w:val="32"/>
              </w:rPr>
              <w:t>商场关停或调整是公司正常的经营优化行为，目的是集中资源运营优质资产、提升整体资产质量。</w:t>
            </w:r>
          </w:p>
          <w:p w14:paraId="5D400123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自营商场，公司目前没有大规模的关停计划。对于个别出租率长期低迷、经营效益不佳的项目，我们会进行审慎评估，可能通过业态转型、降租留商、或调整经营模式等方式进行优化，而非简单关停。核心原则是保障上市公司和股东利益最大化。</w:t>
            </w:r>
          </w:p>
          <w:p w14:paraId="47257EC7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委管商场，委管模式本身具有轻资产、灵活调整的特点。部分委管商场合作方因自身经营困难提出解约或调整，这是行业下行期的正常现象。公司对委管合作有完善的风控和评估机制，合作前会对合作方的资金实力、运营能力进行尽职调查；合作期间也会持续跟踪商场的经营健康度。对于确实有风险的委管项目，公司会提前介入，通过调整管理深度、引入新的合作方或转为特许经营等方式妥善处理，避免对上市公司造成重大不利影响。</w:t>
            </w:r>
          </w:p>
          <w:p w14:paraId="3496C5CF">
            <w:pPr>
              <w:ind w:firstLine="480" w:firstLineChars="200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从业绩影响来看，关停或调整低效资产，短期可能会有一次性的收入减少，但中长期来看，有助于优化资产组合、提升整体资产收益率，让管理团队更聚焦于核心优质商场的精细化运营。</w:t>
            </w:r>
          </w:p>
          <w:p w14:paraId="1AC9BB82">
            <w:pPr>
              <w:ind w:firstLine="480" w:firstLineChars="200"/>
              <w:rPr>
                <w:rFonts w:hint="eastAsia"/>
                <w:sz w:val="24"/>
                <w:szCs w:val="32"/>
              </w:rPr>
            </w:pPr>
          </w:p>
          <w:p w14:paraId="0C5D8C91">
            <w:pPr>
              <w:ind w:firstLine="480" w:firstLineChars="200"/>
              <w:rPr>
                <w:b w:val="0"/>
                <w:bCs w:val="0"/>
                <w:sz w:val="24"/>
                <w:szCs w:val="32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7.</w:t>
            </w:r>
            <w:r>
              <w:rPr>
                <w:rFonts w:hint="eastAsia"/>
                <w:b w:val="0"/>
                <w:bCs w:val="0"/>
                <w:sz w:val="24"/>
                <w:szCs w:val="32"/>
              </w:rPr>
              <w:t>公司上半年公告了汶水路商场24亿元CMBS计划，同时也提到在积极推进公募REITs。</w:t>
            </w: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请问</w:t>
            </w:r>
            <w:r>
              <w:rPr>
                <w:rFonts w:hint="eastAsia"/>
                <w:b w:val="0"/>
                <w:bCs w:val="0"/>
                <w:sz w:val="24"/>
                <w:szCs w:val="32"/>
              </w:rPr>
              <w:t>公司"轻重分离"战略的整体时间表和路径规划？年内CMBS落地后，公司是否还会推进更多资产的证券化？公募REITs目前处于什么阶段，对报表和现金流会产生怎样的影响？</w:t>
            </w:r>
          </w:p>
          <w:p w14:paraId="5F5E8E10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李董：</w:t>
            </w:r>
            <w:r>
              <w:rPr>
                <w:rFonts w:hint="eastAsia"/>
                <w:sz w:val="24"/>
                <w:szCs w:val="32"/>
                <w:lang w:eastAsia="zh-CN"/>
              </w:rPr>
              <w:t>“</w:t>
            </w:r>
            <w:r>
              <w:rPr>
                <w:rFonts w:hint="eastAsia"/>
                <w:sz w:val="24"/>
                <w:szCs w:val="32"/>
              </w:rPr>
              <w:t>轻重分离</w:t>
            </w:r>
            <w:r>
              <w:rPr>
                <w:rFonts w:hint="eastAsia"/>
                <w:sz w:val="24"/>
                <w:szCs w:val="32"/>
                <w:lang w:eastAsia="zh-CN"/>
              </w:rPr>
              <w:t>”</w:t>
            </w:r>
            <w:r>
              <w:rPr>
                <w:rFonts w:hint="eastAsia"/>
                <w:sz w:val="24"/>
                <w:szCs w:val="32"/>
              </w:rPr>
              <w:t>是公司新五年战略规划中的核心举措之一，目标是通过资产证券化、委托管理、品牌输出等多种方式，降低重资产占比，提升资产流动性和资金周转效率。</w:t>
            </w:r>
          </w:p>
          <w:p w14:paraId="0C7ACB7C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关于CMBS，公司已于7月公告拟以上海宝山区汶水路商场作为底层资产，设立不超过24亿元的商业抵押贷款资产支持专项计划。目前项目正在积极推进中，8月2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4</w:t>
            </w:r>
            <w:r>
              <w:rPr>
                <w:rFonts w:hint="eastAsia"/>
                <w:sz w:val="24"/>
                <w:szCs w:val="32"/>
              </w:rPr>
              <w:t>日该债券项目已被上交所受理。公司力争年内完成发行。CMBS的落地将为公司提供一笔期限较长、成本可控的资金，募集资金将优先用于偿还存量债务和补充流动资金，有助于优化负债结构、降低财务费用。</w:t>
            </w:r>
          </w:p>
          <w:p w14:paraId="5645B53C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在CMBS之后，公司会综合考虑市场环境、资产收益率、融资成本等多重因素，研究筛选其他优质自营商场资产，适时推进下一批资产证券化项目。但目前还没有确定的时间表。</w:t>
            </w:r>
          </w:p>
          <w:p w14:paraId="22B16676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关于公募REITs，2025年底证监会将商业不动产纳入REITs试点范围，为公司提供了重要的政策窗口。公募REITs涉及资产评估、交易架构设计、合规审核等多个环节，周期相对较长。公司将根据监管机构的指导意见，择机申报首单商业不动产REITs项目。</w:t>
            </w:r>
          </w:p>
          <w:p w14:paraId="1D30C938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从报表影响来看，REITs若成功发行，公司将实现资产出表，降低资产负债率，同时保留运营管理权，继续获取管理费和超额收益分成；从现金流来看，REITs募资将显著改善公司的资金流动性。</w:t>
            </w:r>
          </w:p>
          <w:p w14:paraId="71B174A5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无论是CMBS还是REITs，都是公司</w:t>
            </w:r>
            <w:r>
              <w:rPr>
                <w:rFonts w:hint="eastAsia"/>
                <w:sz w:val="24"/>
                <w:szCs w:val="32"/>
                <w:lang w:eastAsia="zh-CN"/>
              </w:rPr>
              <w:t>“</w:t>
            </w:r>
            <w:r>
              <w:rPr>
                <w:rFonts w:hint="eastAsia"/>
                <w:sz w:val="24"/>
                <w:szCs w:val="32"/>
              </w:rPr>
              <w:t>轻重分离</w:t>
            </w:r>
            <w:r>
              <w:rPr>
                <w:rFonts w:hint="eastAsia"/>
                <w:sz w:val="24"/>
                <w:szCs w:val="32"/>
                <w:lang w:eastAsia="zh-CN"/>
              </w:rPr>
              <w:t>”</w:t>
            </w:r>
            <w:r>
              <w:rPr>
                <w:rFonts w:hint="eastAsia"/>
                <w:sz w:val="24"/>
                <w:szCs w:val="32"/>
              </w:rPr>
              <w:t>战略的工具箱中的重要选项。我们会根据市场条件和资产状况，灵活选择最合适的融资方式，核心目标是提升股东回报和公司长期价值。</w:t>
            </w:r>
          </w:p>
          <w:p w14:paraId="05EC71DA">
            <w:pPr>
              <w:numPr>
                <w:ilvl w:val="0"/>
                <w:numId w:val="0"/>
              </w:numPr>
              <w:spacing w:line="360" w:lineRule="auto"/>
              <w:rPr>
                <w:rFonts w:hint="default" w:asciiTheme="minorEastAsia" w:hAnsiTheme="minorEastAsia" w:eastAsiaTheme="minorEastAsia"/>
                <w:sz w:val="24"/>
                <w:szCs w:val="32"/>
                <w:lang w:val="en-US" w:eastAsia="zh-CN"/>
              </w:rPr>
            </w:pPr>
          </w:p>
        </w:tc>
      </w:tr>
      <w:tr w14:paraId="59810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908" w:type="dxa"/>
            <w:vAlign w:val="center"/>
          </w:tcPr>
          <w:p w14:paraId="65F52CB7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7380" w:type="dxa"/>
          </w:tcPr>
          <w:p w14:paraId="09C15907">
            <w:pPr>
              <w:spacing w:line="312" w:lineRule="auto"/>
              <w:rPr>
                <w:rFonts w:hint="default" w:ascii="宋体" w:hAnsi="宋体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无</w:t>
            </w:r>
          </w:p>
        </w:tc>
      </w:tr>
      <w:tr w14:paraId="5469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470D7E21">
            <w:pPr>
              <w:spacing w:line="312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7380" w:type="dxa"/>
          </w:tcPr>
          <w:p w14:paraId="272ABD4D">
            <w:pPr>
              <w:spacing w:line="312" w:lineRule="auto"/>
              <w:rPr>
                <w:rFonts w:hint="default" w:ascii="宋体" w:hAnsi="宋体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val="en-US" w:eastAsia="zh-CN"/>
              </w:rPr>
              <w:t>6年9月1日</w:t>
            </w:r>
          </w:p>
        </w:tc>
      </w:tr>
    </w:tbl>
    <w:p w14:paraId="68BFC3B8"/>
    <w:sectPr>
      <w:footerReference r:id="rId3" w:type="even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7AC16">
    <w:pPr>
      <w:pStyle w:val="11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 w14:paraId="33F1BD1B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42615F"/>
    <w:multiLevelType w:val="singleLevel"/>
    <w:tmpl w:val="9342615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5F6"/>
    <w:rsid w:val="00004BFB"/>
    <w:rsid w:val="00010AAE"/>
    <w:rsid w:val="00012403"/>
    <w:rsid w:val="00013502"/>
    <w:rsid w:val="00014002"/>
    <w:rsid w:val="000148EC"/>
    <w:rsid w:val="00020110"/>
    <w:rsid w:val="00023AD8"/>
    <w:rsid w:val="000242D4"/>
    <w:rsid w:val="0002495D"/>
    <w:rsid w:val="00027543"/>
    <w:rsid w:val="00027E91"/>
    <w:rsid w:val="000325CB"/>
    <w:rsid w:val="00033F3E"/>
    <w:rsid w:val="0003412E"/>
    <w:rsid w:val="00040106"/>
    <w:rsid w:val="00040588"/>
    <w:rsid w:val="00043B1A"/>
    <w:rsid w:val="000441A5"/>
    <w:rsid w:val="00046C00"/>
    <w:rsid w:val="00053029"/>
    <w:rsid w:val="000607C6"/>
    <w:rsid w:val="00060AA6"/>
    <w:rsid w:val="0006194A"/>
    <w:rsid w:val="000630D7"/>
    <w:rsid w:val="0007492A"/>
    <w:rsid w:val="00074A14"/>
    <w:rsid w:val="00077D4A"/>
    <w:rsid w:val="00077E40"/>
    <w:rsid w:val="00082533"/>
    <w:rsid w:val="0008640A"/>
    <w:rsid w:val="000951EF"/>
    <w:rsid w:val="00095821"/>
    <w:rsid w:val="00095AE5"/>
    <w:rsid w:val="00097616"/>
    <w:rsid w:val="000A06A2"/>
    <w:rsid w:val="000A1164"/>
    <w:rsid w:val="000A2B49"/>
    <w:rsid w:val="000A65BE"/>
    <w:rsid w:val="000C1592"/>
    <w:rsid w:val="000C3A39"/>
    <w:rsid w:val="000C5505"/>
    <w:rsid w:val="000C5CAF"/>
    <w:rsid w:val="000C6844"/>
    <w:rsid w:val="000E02A5"/>
    <w:rsid w:val="000E0457"/>
    <w:rsid w:val="000E1EE0"/>
    <w:rsid w:val="000E1EFF"/>
    <w:rsid w:val="000E250D"/>
    <w:rsid w:val="000E779B"/>
    <w:rsid w:val="000F4D10"/>
    <w:rsid w:val="00100779"/>
    <w:rsid w:val="0010340D"/>
    <w:rsid w:val="00103694"/>
    <w:rsid w:val="00105798"/>
    <w:rsid w:val="0010695A"/>
    <w:rsid w:val="001069B6"/>
    <w:rsid w:val="001120CF"/>
    <w:rsid w:val="00112A62"/>
    <w:rsid w:val="00114076"/>
    <w:rsid w:val="0011407A"/>
    <w:rsid w:val="00114C1F"/>
    <w:rsid w:val="001174F6"/>
    <w:rsid w:val="00120989"/>
    <w:rsid w:val="00123567"/>
    <w:rsid w:val="00123EDA"/>
    <w:rsid w:val="001277C8"/>
    <w:rsid w:val="00127A09"/>
    <w:rsid w:val="00130349"/>
    <w:rsid w:val="00131D3A"/>
    <w:rsid w:val="00134A1E"/>
    <w:rsid w:val="00137C53"/>
    <w:rsid w:val="00143CAE"/>
    <w:rsid w:val="00146232"/>
    <w:rsid w:val="00154179"/>
    <w:rsid w:val="0015715E"/>
    <w:rsid w:val="00160BE1"/>
    <w:rsid w:val="001614F5"/>
    <w:rsid w:val="00164311"/>
    <w:rsid w:val="00164572"/>
    <w:rsid w:val="00171841"/>
    <w:rsid w:val="00172542"/>
    <w:rsid w:val="00172A27"/>
    <w:rsid w:val="00173488"/>
    <w:rsid w:val="00173A88"/>
    <w:rsid w:val="00174860"/>
    <w:rsid w:val="00176A4C"/>
    <w:rsid w:val="0017761E"/>
    <w:rsid w:val="001813A6"/>
    <w:rsid w:val="00181DBE"/>
    <w:rsid w:val="00185CDE"/>
    <w:rsid w:val="001863B9"/>
    <w:rsid w:val="001929E4"/>
    <w:rsid w:val="001931EF"/>
    <w:rsid w:val="00195BF9"/>
    <w:rsid w:val="00196804"/>
    <w:rsid w:val="001A0FE8"/>
    <w:rsid w:val="001A1A1C"/>
    <w:rsid w:val="001A316C"/>
    <w:rsid w:val="001A337B"/>
    <w:rsid w:val="001A346B"/>
    <w:rsid w:val="001A439A"/>
    <w:rsid w:val="001A755C"/>
    <w:rsid w:val="001A780A"/>
    <w:rsid w:val="001B0C4A"/>
    <w:rsid w:val="001B0D38"/>
    <w:rsid w:val="001B27CC"/>
    <w:rsid w:val="001B4293"/>
    <w:rsid w:val="001C03DE"/>
    <w:rsid w:val="001C0B30"/>
    <w:rsid w:val="001C1271"/>
    <w:rsid w:val="001C49D8"/>
    <w:rsid w:val="001C4E51"/>
    <w:rsid w:val="001C4EA5"/>
    <w:rsid w:val="001C50C1"/>
    <w:rsid w:val="001C7A3C"/>
    <w:rsid w:val="001D0B84"/>
    <w:rsid w:val="001D4251"/>
    <w:rsid w:val="001D4D3A"/>
    <w:rsid w:val="001D58CD"/>
    <w:rsid w:val="001E1C68"/>
    <w:rsid w:val="001E2141"/>
    <w:rsid w:val="001F0451"/>
    <w:rsid w:val="001F18F4"/>
    <w:rsid w:val="001F2D63"/>
    <w:rsid w:val="001F55F7"/>
    <w:rsid w:val="001F59BD"/>
    <w:rsid w:val="00203267"/>
    <w:rsid w:val="00205C5A"/>
    <w:rsid w:val="00205CB2"/>
    <w:rsid w:val="002078F5"/>
    <w:rsid w:val="002117D3"/>
    <w:rsid w:val="002135C1"/>
    <w:rsid w:val="00213EE3"/>
    <w:rsid w:val="002160CB"/>
    <w:rsid w:val="0022021E"/>
    <w:rsid w:val="00221D18"/>
    <w:rsid w:val="002227DA"/>
    <w:rsid w:val="0022321C"/>
    <w:rsid w:val="00225F06"/>
    <w:rsid w:val="002262D2"/>
    <w:rsid w:val="00226F37"/>
    <w:rsid w:val="00227C8D"/>
    <w:rsid w:val="00230E41"/>
    <w:rsid w:val="0023234B"/>
    <w:rsid w:val="0023265F"/>
    <w:rsid w:val="002330EE"/>
    <w:rsid w:val="00241E48"/>
    <w:rsid w:val="00242C08"/>
    <w:rsid w:val="00243A86"/>
    <w:rsid w:val="002466EC"/>
    <w:rsid w:val="00251689"/>
    <w:rsid w:val="00252833"/>
    <w:rsid w:val="00254272"/>
    <w:rsid w:val="002548BC"/>
    <w:rsid w:val="00257226"/>
    <w:rsid w:val="00257594"/>
    <w:rsid w:val="002636C9"/>
    <w:rsid w:val="00271998"/>
    <w:rsid w:val="00271A53"/>
    <w:rsid w:val="0027457D"/>
    <w:rsid w:val="00275861"/>
    <w:rsid w:val="0028036C"/>
    <w:rsid w:val="0028206F"/>
    <w:rsid w:val="00285F70"/>
    <w:rsid w:val="00286BCF"/>
    <w:rsid w:val="00287F09"/>
    <w:rsid w:val="002904F1"/>
    <w:rsid w:val="0029114F"/>
    <w:rsid w:val="00291C35"/>
    <w:rsid w:val="00291ED6"/>
    <w:rsid w:val="002936CD"/>
    <w:rsid w:val="00294F4E"/>
    <w:rsid w:val="002A0DFC"/>
    <w:rsid w:val="002A5040"/>
    <w:rsid w:val="002B1D46"/>
    <w:rsid w:val="002B1D88"/>
    <w:rsid w:val="002B2D0A"/>
    <w:rsid w:val="002B31E5"/>
    <w:rsid w:val="002B717F"/>
    <w:rsid w:val="002C46D5"/>
    <w:rsid w:val="002C5AED"/>
    <w:rsid w:val="002D6185"/>
    <w:rsid w:val="002D74B8"/>
    <w:rsid w:val="002E0A2C"/>
    <w:rsid w:val="002E3217"/>
    <w:rsid w:val="002E418C"/>
    <w:rsid w:val="002E49B2"/>
    <w:rsid w:val="002E56DC"/>
    <w:rsid w:val="002F1322"/>
    <w:rsid w:val="00305D0E"/>
    <w:rsid w:val="003108F0"/>
    <w:rsid w:val="00315684"/>
    <w:rsid w:val="00325C10"/>
    <w:rsid w:val="00327047"/>
    <w:rsid w:val="00327A29"/>
    <w:rsid w:val="0033198F"/>
    <w:rsid w:val="00336280"/>
    <w:rsid w:val="003402A4"/>
    <w:rsid w:val="00340D8D"/>
    <w:rsid w:val="00341246"/>
    <w:rsid w:val="0034378B"/>
    <w:rsid w:val="0034635F"/>
    <w:rsid w:val="00353370"/>
    <w:rsid w:val="00357239"/>
    <w:rsid w:val="00357645"/>
    <w:rsid w:val="00363067"/>
    <w:rsid w:val="0036322F"/>
    <w:rsid w:val="003650E2"/>
    <w:rsid w:val="00367530"/>
    <w:rsid w:val="00374679"/>
    <w:rsid w:val="003831E5"/>
    <w:rsid w:val="00384C33"/>
    <w:rsid w:val="00385B9F"/>
    <w:rsid w:val="003902A6"/>
    <w:rsid w:val="00393259"/>
    <w:rsid w:val="003959F3"/>
    <w:rsid w:val="00395D49"/>
    <w:rsid w:val="003B18E5"/>
    <w:rsid w:val="003B248C"/>
    <w:rsid w:val="003C292A"/>
    <w:rsid w:val="003C3FBB"/>
    <w:rsid w:val="003C5AA8"/>
    <w:rsid w:val="003C5F0B"/>
    <w:rsid w:val="003D39CD"/>
    <w:rsid w:val="003D4FAE"/>
    <w:rsid w:val="003E11AF"/>
    <w:rsid w:val="003E1966"/>
    <w:rsid w:val="003E1FC3"/>
    <w:rsid w:val="003E6E0B"/>
    <w:rsid w:val="003E7075"/>
    <w:rsid w:val="00400483"/>
    <w:rsid w:val="00402152"/>
    <w:rsid w:val="00402CE7"/>
    <w:rsid w:val="0040383B"/>
    <w:rsid w:val="0041051D"/>
    <w:rsid w:val="00416E2A"/>
    <w:rsid w:val="00417FF0"/>
    <w:rsid w:val="00422E10"/>
    <w:rsid w:val="0042394F"/>
    <w:rsid w:val="00431D4D"/>
    <w:rsid w:val="00432D02"/>
    <w:rsid w:val="00433703"/>
    <w:rsid w:val="0043461B"/>
    <w:rsid w:val="004362EB"/>
    <w:rsid w:val="004378AA"/>
    <w:rsid w:val="00437E7C"/>
    <w:rsid w:val="004436F2"/>
    <w:rsid w:val="0044496A"/>
    <w:rsid w:val="00451210"/>
    <w:rsid w:val="00455058"/>
    <w:rsid w:val="00457C87"/>
    <w:rsid w:val="004605C6"/>
    <w:rsid w:val="00461369"/>
    <w:rsid w:val="0046618D"/>
    <w:rsid w:val="004663A6"/>
    <w:rsid w:val="0046787F"/>
    <w:rsid w:val="00470B39"/>
    <w:rsid w:val="004717D2"/>
    <w:rsid w:val="00471851"/>
    <w:rsid w:val="0047189E"/>
    <w:rsid w:val="004729DE"/>
    <w:rsid w:val="00473639"/>
    <w:rsid w:val="00474FB3"/>
    <w:rsid w:val="0048032E"/>
    <w:rsid w:val="0048128D"/>
    <w:rsid w:val="00481387"/>
    <w:rsid w:val="004824FF"/>
    <w:rsid w:val="004838D5"/>
    <w:rsid w:val="0049699A"/>
    <w:rsid w:val="004978E0"/>
    <w:rsid w:val="004A124D"/>
    <w:rsid w:val="004A2EE1"/>
    <w:rsid w:val="004A3F12"/>
    <w:rsid w:val="004B02D6"/>
    <w:rsid w:val="004B1064"/>
    <w:rsid w:val="004B151B"/>
    <w:rsid w:val="004B3F1D"/>
    <w:rsid w:val="004B5FA8"/>
    <w:rsid w:val="004B6C1D"/>
    <w:rsid w:val="004B7047"/>
    <w:rsid w:val="004B7E44"/>
    <w:rsid w:val="004C1DA6"/>
    <w:rsid w:val="004C246C"/>
    <w:rsid w:val="004C5196"/>
    <w:rsid w:val="004C6C52"/>
    <w:rsid w:val="004D100B"/>
    <w:rsid w:val="004D1203"/>
    <w:rsid w:val="004D4B78"/>
    <w:rsid w:val="004D5C90"/>
    <w:rsid w:val="004D6629"/>
    <w:rsid w:val="004E4D1E"/>
    <w:rsid w:val="004E5A62"/>
    <w:rsid w:val="004F1394"/>
    <w:rsid w:val="004F3437"/>
    <w:rsid w:val="00501D64"/>
    <w:rsid w:val="005020DF"/>
    <w:rsid w:val="005022DA"/>
    <w:rsid w:val="005074CD"/>
    <w:rsid w:val="00507A08"/>
    <w:rsid w:val="00507B31"/>
    <w:rsid w:val="0051106C"/>
    <w:rsid w:val="00512EC1"/>
    <w:rsid w:val="00513EA1"/>
    <w:rsid w:val="0051627B"/>
    <w:rsid w:val="00521ABA"/>
    <w:rsid w:val="0052207A"/>
    <w:rsid w:val="00522720"/>
    <w:rsid w:val="00523524"/>
    <w:rsid w:val="00523C75"/>
    <w:rsid w:val="0052653B"/>
    <w:rsid w:val="0052780E"/>
    <w:rsid w:val="00527E3A"/>
    <w:rsid w:val="005315EB"/>
    <w:rsid w:val="00532956"/>
    <w:rsid w:val="005340B9"/>
    <w:rsid w:val="00534F86"/>
    <w:rsid w:val="00536B2F"/>
    <w:rsid w:val="00542067"/>
    <w:rsid w:val="005423E8"/>
    <w:rsid w:val="00547F80"/>
    <w:rsid w:val="005520F4"/>
    <w:rsid w:val="005572B2"/>
    <w:rsid w:val="0055768B"/>
    <w:rsid w:val="00562DA1"/>
    <w:rsid w:val="00562F21"/>
    <w:rsid w:val="00570DFE"/>
    <w:rsid w:val="00573E1F"/>
    <w:rsid w:val="005828AA"/>
    <w:rsid w:val="00586CA0"/>
    <w:rsid w:val="00590896"/>
    <w:rsid w:val="005912C5"/>
    <w:rsid w:val="00593140"/>
    <w:rsid w:val="00595591"/>
    <w:rsid w:val="00596838"/>
    <w:rsid w:val="005A0027"/>
    <w:rsid w:val="005A615A"/>
    <w:rsid w:val="005A6220"/>
    <w:rsid w:val="005B0815"/>
    <w:rsid w:val="005B5D91"/>
    <w:rsid w:val="005C1165"/>
    <w:rsid w:val="005C183B"/>
    <w:rsid w:val="005C7068"/>
    <w:rsid w:val="005C7BE3"/>
    <w:rsid w:val="005D2A87"/>
    <w:rsid w:val="005D7F0F"/>
    <w:rsid w:val="005E16A1"/>
    <w:rsid w:val="005E22A1"/>
    <w:rsid w:val="005E5919"/>
    <w:rsid w:val="005E7168"/>
    <w:rsid w:val="005F4BAB"/>
    <w:rsid w:val="006017B6"/>
    <w:rsid w:val="00603688"/>
    <w:rsid w:val="0060613A"/>
    <w:rsid w:val="00614DC2"/>
    <w:rsid w:val="00616EE1"/>
    <w:rsid w:val="00616FFB"/>
    <w:rsid w:val="00622457"/>
    <w:rsid w:val="00622ACA"/>
    <w:rsid w:val="006269AB"/>
    <w:rsid w:val="00630A84"/>
    <w:rsid w:val="00633D57"/>
    <w:rsid w:val="0063440B"/>
    <w:rsid w:val="00636EB0"/>
    <w:rsid w:val="0063709E"/>
    <w:rsid w:val="0064027E"/>
    <w:rsid w:val="00640634"/>
    <w:rsid w:val="0064066F"/>
    <w:rsid w:val="00641925"/>
    <w:rsid w:val="006431C2"/>
    <w:rsid w:val="006459FF"/>
    <w:rsid w:val="00647086"/>
    <w:rsid w:val="00647639"/>
    <w:rsid w:val="006478AF"/>
    <w:rsid w:val="006533A1"/>
    <w:rsid w:val="00655B21"/>
    <w:rsid w:val="00664A8D"/>
    <w:rsid w:val="00665883"/>
    <w:rsid w:val="00666A16"/>
    <w:rsid w:val="00670608"/>
    <w:rsid w:val="00670A3A"/>
    <w:rsid w:val="00671D7C"/>
    <w:rsid w:val="006770D1"/>
    <w:rsid w:val="006811B9"/>
    <w:rsid w:val="00691AAD"/>
    <w:rsid w:val="0069625B"/>
    <w:rsid w:val="0069684A"/>
    <w:rsid w:val="006A213D"/>
    <w:rsid w:val="006A6A0F"/>
    <w:rsid w:val="006B2301"/>
    <w:rsid w:val="006B2740"/>
    <w:rsid w:val="006B2851"/>
    <w:rsid w:val="006B76D0"/>
    <w:rsid w:val="006C4EC3"/>
    <w:rsid w:val="006C5C11"/>
    <w:rsid w:val="006D4264"/>
    <w:rsid w:val="006D5979"/>
    <w:rsid w:val="006D7471"/>
    <w:rsid w:val="006D7E7D"/>
    <w:rsid w:val="006E0BFF"/>
    <w:rsid w:val="006E46A1"/>
    <w:rsid w:val="0070144E"/>
    <w:rsid w:val="00701CFF"/>
    <w:rsid w:val="0070541E"/>
    <w:rsid w:val="00707D64"/>
    <w:rsid w:val="00710B29"/>
    <w:rsid w:val="00714B7C"/>
    <w:rsid w:val="007156D2"/>
    <w:rsid w:val="00717686"/>
    <w:rsid w:val="0071790D"/>
    <w:rsid w:val="00720291"/>
    <w:rsid w:val="00720518"/>
    <w:rsid w:val="007225EF"/>
    <w:rsid w:val="0072345F"/>
    <w:rsid w:val="00724F45"/>
    <w:rsid w:val="00735DC0"/>
    <w:rsid w:val="007404C2"/>
    <w:rsid w:val="00741D47"/>
    <w:rsid w:val="00743C93"/>
    <w:rsid w:val="00743F0D"/>
    <w:rsid w:val="00744454"/>
    <w:rsid w:val="00756A63"/>
    <w:rsid w:val="00756D79"/>
    <w:rsid w:val="00757B8B"/>
    <w:rsid w:val="00760F28"/>
    <w:rsid w:val="00762078"/>
    <w:rsid w:val="00767B3B"/>
    <w:rsid w:val="007701EC"/>
    <w:rsid w:val="00770710"/>
    <w:rsid w:val="007714FB"/>
    <w:rsid w:val="00772A3E"/>
    <w:rsid w:val="00772E34"/>
    <w:rsid w:val="00777B52"/>
    <w:rsid w:val="007804DF"/>
    <w:rsid w:val="00780B38"/>
    <w:rsid w:val="007812B2"/>
    <w:rsid w:val="00785484"/>
    <w:rsid w:val="007869EC"/>
    <w:rsid w:val="007912A6"/>
    <w:rsid w:val="007915AB"/>
    <w:rsid w:val="007944CF"/>
    <w:rsid w:val="00794712"/>
    <w:rsid w:val="007A0411"/>
    <w:rsid w:val="007A4FE6"/>
    <w:rsid w:val="007A64DE"/>
    <w:rsid w:val="007B4F53"/>
    <w:rsid w:val="007B60A9"/>
    <w:rsid w:val="007B7FDA"/>
    <w:rsid w:val="007C3C21"/>
    <w:rsid w:val="007C48DA"/>
    <w:rsid w:val="007C6906"/>
    <w:rsid w:val="007C6CA8"/>
    <w:rsid w:val="007C6DD8"/>
    <w:rsid w:val="007C7C24"/>
    <w:rsid w:val="007D5178"/>
    <w:rsid w:val="007D65AF"/>
    <w:rsid w:val="007D76FA"/>
    <w:rsid w:val="007E04D6"/>
    <w:rsid w:val="007E3A02"/>
    <w:rsid w:val="007E55C0"/>
    <w:rsid w:val="007F0F75"/>
    <w:rsid w:val="007F2ECB"/>
    <w:rsid w:val="00800588"/>
    <w:rsid w:val="00806735"/>
    <w:rsid w:val="00810C57"/>
    <w:rsid w:val="00810F7A"/>
    <w:rsid w:val="00813DCA"/>
    <w:rsid w:val="00814C90"/>
    <w:rsid w:val="00817AA3"/>
    <w:rsid w:val="008240C4"/>
    <w:rsid w:val="0082427B"/>
    <w:rsid w:val="00824B9C"/>
    <w:rsid w:val="0082617C"/>
    <w:rsid w:val="008267CA"/>
    <w:rsid w:val="00826C16"/>
    <w:rsid w:val="00827C2D"/>
    <w:rsid w:val="0083089B"/>
    <w:rsid w:val="008319CD"/>
    <w:rsid w:val="00837601"/>
    <w:rsid w:val="00842212"/>
    <w:rsid w:val="008444B1"/>
    <w:rsid w:val="008464D9"/>
    <w:rsid w:val="0085170D"/>
    <w:rsid w:val="0085184E"/>
    <w:rsid w:val="00854D00"/>
    <w:rsid w:val="00861957"/>
    <w:rsid w:val="00863DD6"/>
    <w:rsid w:val="00873BA5"/>
    <w:rsid w:val="00875955"/>
    <w:rsid w:val="00880DF0"/>
    <w:rsid w:val="008813DC"/>
    <w:rsid w:val="008834DF"/>
    <w:rsid w:val="008876C1"/>
    <w:rsid w:val="0089014B"/>
    <w:rsid w:val="008950EC"/>
    <w:rsid w:val="00896EEA"/>
    <w:rsid w:val="008A7EE4"/>
    <w:rsid w:val="008B0F5F"/>
    <w:rsid w:val="008B15BE"/>
    <w:rsid w:val="008B2F14"/>
    <w:rsid w:val="008B5609"/>
    <w:rsid w:val="008B711C"/>
    <w:rsid w:val="008B7EE7"/>
    <w:rsid w:val="008C415C"/>
    <w:rsid w:val="008C612C"/>
    <w:rsid w:val="008D029F"/>
    <w:rsid w:val="008D065A"/>
    <w:rsid w:val="008D5193"/>
    <w:rsid w:val="008D5C0F"/>
    <w:rsid w:val="008D63AA"/>
    <w:rsid w:val="008D7BB1"/>
    <w:rsid w:val="008E078D"/>
    <w:rsid w:val="008E08A9"/>
    <w:rsid w:val="008E0ED7"/>
    <w:rsid w:val="008E13B8"/>
    <w:rsid w:val="008E3E20"/>
    <w:rsid w:val="008E4B3D"/>
    <w:rsid w:val="008E7A19"/>
    <w:rsid w:val="008F02AE"/>
    <w:rsid w:val="008F534A"/>
    <w:rsid w:val="008F57DF"/>
    <w:rsid w:val="009007B5"/>
    <w:rsid w:val="00903AE7"/>
    <w:rsid w:val="00905B96"/>
    <w:rsid w:val="009113AE"/>
    <w:rsid w:val="0091366A"/>
    <w:rsid w:val="009168B7"/>
    <w:rsid w:val="009171FB"/>
    <w:rsid w:val="00921D4D"/>
    <w:rsid w:val="00930BA9"/>
    <w:rsid w:val="00931226"/>
    <w:rsid w:val="00937C34"/>
    <w:rsid w:val="00940AF4"/>
    <w:rsid w:val="00943B2D"/>
    <w:rsid w:val="00944184"/>
    <w:rsid w:val="00953D57"/>
    <w:rsid w:val="00957D8F"/>
    <w:rsid w:val="0096128C"/>
    <w:rsid w:val="009618A2"/>
    <w:rsid w:val="00962504"/>
    <w:rsid w:val="00964B35"/>
    <w:rsid w:val="0096588D"/>
    <w:rsid w:val="00966DDE"/>
    <w:rsid w:val="0097010B"/>
    <w:rsid w:val="00971FC3"/>
    <w:rsid w:val="00973364"/>
    <w:rsid w:val="009736C8"/>
    <w:rsid w:val="00973730"/>
    <w:rsid w:val="00976B09"/>
    <w:rsid w:val="009777E1"/>
    <w:rsid w:val="009811A2"/>
    <w:rsid w:val="009824B1"/>
    <w:rsid w:val="009976C2"/>
    <w:rsid w:val="009A131E"/>
    <w:rsid w:val="009A46B0"/>
    <w:rsid w:val="009B115B"/>
    <w:rsid w:val="009B1498"/>
    <w:rsid w:val="009B1827"/>
    <w:rsid w:val="009B1F8D"/>
    <w:rsid w:val="009B472F"/>
    <w:rsid w:val="009B54F8"/>
    <w:rsid w:val="009C2EE0"/>
    <w:rsid w:val="009C7105"/>
    <w:rsid w:val="009D0115"/>
    <w:rsid w:val="009D5548"/>
    <w:rsid w:val="009D5D9C"/>
    <w:rsid w:val="009D5E6C"/>
    <w:rsid w:val="009E0FBC"/>
    <w:rsid w:val="009E1A23"/>
    <w:rsid w:val="009E33D4"/>
    <w:rsid w:val="009E62D5"/>
    <w:rsid w:val="009E6F1C"/>
    <w:rsid w:val="009E71A3"/>
    <w:rsid w:val="009F59CB"/>
    <w:rsid w:val="00A00BF1"/>
    <w:rsid w:val="00A0192E"/>
    <w:rsid w:val="00A036C4"/>
    <w:rsid w:val="00A041C4"/>
    <w:rsid w:val="00A1525B"/>
    <w:rsid w:val="00A21276"/>
    <w:rsid w:val="00A24083"/>
    <w:rsid w:val="00A24A36"/>
    <w:rsid w:val="00A25872"/>
    <w:rsid w:val="00A27D9C"/>
    <w:rsid w:val="00A33BDB"/>
    <w:rsid w:val="00A3694C"/>
    <w:rsid w:val="00A370AF"/>
    <w:rsid w:val="00A4051A"/>
    <w:rsid w:val="00A418FB"/>
    <w:rsid w:val="00A41D8C"/>
    <w:rsid w:val="00A42919"/>
    <w:rsid w:val="00A50297"/>
    <w:rsid w:val="00A5096B"/>
    <w:rsid w:val="00A50F54"/>
    <w:rsid w:val="00A56E56"/>
    <w:rsid w:val="00A56F02"/>
    <w:rsid w:val="00A56F8F"/>
    <w:rsid w:val="00A56FCA"/>
    <w:rsid w:val="00A6364B"/>
    <w:rsid w:val="00A63AA1"/>
    <w:rsid w:val="00A64A5F"/>
    <w:rsid w:val="00A666E1"/>
    <w:rsid w:val="00A73412"/>
    <w:rsid w:val="00A73B44"/>
    <w:rsid w:val="00A74C9D"/>
    <w:rsid w:val="00A754FD"/>
    <w:rsid w:val="00A80981"/>
    <w:rsid w:val="00A80BBD"/>
    <w:rsid w:val="00A82502"/>
    <w:rsid w:val="00A82845"/>
    <w:rsid w:val="00A95897"/>
    <w:rsid w:val="00A97CA6"/>
    <w:rsid w:val="00AA1126"/>
    <w:rsid w:val="00AA15EC"/>
    <w:rsid w:val="00AA6754"/>
    <w:rsid w:val="00AA7701"/>
    <w:rsid w:val="00AA7D13"/>
    <w:rsid w:val="00AB1C5C"/>
    <w:rsid w:val="00AB5876"/>
    <w:rsid w:val="00AB591E"/>
    <w:rsid w:val="00AC3D21"/>
    <w:rsid w:val="00AC3F8A"/>
    <w:rsid w:val="00AC51B3"/>
    <w:rsid w:val="00AD1729"/>
    <w:rsid w:val="00AD1E02"/>
    <w:rsid w:val="00AD4994"/>
    <w:rsid w:val="00AD7EFD"/>
    <w:rsid w:val="00AE0D91"/>
    <w:rsid w:val="00AE1981"/>
    <w:rsid w:val="00AE26CD"/>
    <w:rsid w:val="00AE2E5E"/>
    <w:rsid w:val="00AE644F"/>
    <w:rsid w:val="00AE7AB2"/>
    <w:rsid w:val="00AF04F4"/>
    <w:rsid w:val="00AF36CC"/>
    <w:rsid w:val="00AF6CA7"/>
    <w:rsid w:val="00B0241A"/>
    <w:rsid w:val="00B035E6"/>
    <w:rsid w:val="00B04681"/>
    <w:rsid w:val="00B072DE"/>
    <w:rsid w:val="00B14CA8"/>
    <w:rsid w:val="00B1651D"/>
    <w:rsid w:val="00B17AE0"/>
    <w:rsid w:val="00B206C8"/>
    <w:rsid w:val="00B21ACA"/>
    <w:rsid w:val="00B21F6B"/>
    <w:rsid w:val="00B23CA1"/>
    <w:rsid w:val="00B23DE8"/>
    <w:rsid w:val="00B2478E"/>
    <w:rsid w:val="00B2513A"/>
    <w:rsid w:val="00B27FEB"/>
    <w:rsid w:val="00B338D2"/>
    <w:rsid w:val="00B33FBD"/>
    <w:rsid w:val="00B34F1F"/>
    <w:rsid w:val="00B359A3"/>
    <w:rsid w:val="00B374ED"/>
    <w:rsid w:val="00B407A6"/>
    <w:rsid w:val="00B416B8"/>
    <w:rsid w:val="00B422E3"/>
    <w:rsid w:val="00B4639A"/>
    <w:rsid w:val="00B46C15"/>
    <w:rsid w:val="00B53C5F"/>
    <w:rsid w:val="00B63770"/>
    <w:rsid w:val="00B643E7"/>
    <w:rsid w:val="00B65FAE"/>
    <w:rsid w:val="00B7259B"/>
    <w:rsid w:val="00B768F4"/>
    <w:rsid w:val="00B77F93"/>
    <w:rsid w:val="00B80AA0"/>
    <w:rsid w:val="00B81969"/>
    <w:rsid w:val="00B906D1"/>
    <w:rsid w:val="00B9126A"/>
    <w:rsid w:val="00BA276F"/>
    <w:rsid w:val="00BA530F"/>
    <w:rsid w:val="00BA54B8"/>
    <w:rsid w:val="00BA54D8"/>
    <w:rsid w:val="00BA599A"/>
    <w:rsid w:val="00BA5BE1"/>
    <w:rsid w:val="00BA6C14"/>
    <w:rsid w:val="00BA6D6F"/>
    <w:rsid w:val="00BB1A2D"/>
    <w:rsid w:val="00BB1E4F"/>
    <w:rsid w:val="00BB27B8"/>
    <w:rsid w:val="00BB5B62"/>
    <w:rsid w:val="00BC04D9"/>
    <w:rsid w:val="00BC2B84"/>
    <w:rsid w:val="00BC47A4"/>
    <w:rsid w:val="00BC4D1B"/>
    <w:rsid w:val="00BD3C46"/>
    <w:rsid w:val="00BD4204"/>
    <w:rsid w:val="00BE5945"/>
    <w:rsid w:val="00BE6888"/>
    <w:rsid w:val="00BF0231"/>
    <w:rsid w:val="00BF038B"/>
    <w:rsid w:val="00BF1166"/>
    <w:rsid w:val="00BF1394"/>
    <w:rsid w:val="00BF302A"/>
    <w:rsid w:val="00BF3EF2"/>
    <w:rsid w:val="00BF48B0"/>
    <w:rsid w:val="00BF6AF5"/>
    <w:rsid w:val="00C03BFA"/>
    <w:rsid w:val="00C03EFB"/>
    <w:rsid w:val="00C060FE"/>
    <w:rsid w:val="00C14838"/>
    <w:rsid w:val="00C16D6F"/>
    <w:rsid w:val="00C32B7C"/>
    <w:rsid w:val="00C42035"/>
    <w:rsid w:val="00C42AE9"/>
    <w:rsid w:val="00C4360C"/>
    <w:rsid w:val="00C51EE9"/>
    <w:rsid w:val="00C53010"/>
    <w:rsid w:val="00C53D73"/>
    <w:rsid w:val="00C55C9A"/>
    <w:rsid w:val="00C62510"/>
    <w:rsid w:val="00C62963"/>
    <w:rsid w:val="00C62F2F"/>
    <w:rsid w:val="00C63573"/>
    <w:rsid w:val="00C63BDF"/>
    <w:rsid w:val="00C6602F"/>
    <w:rsid w:val="00C71D39"/>
    <w:rsid w:val="00C724A9"/>
    <w:rsid w:val="00C72612"/>
    <w:rsid w:val="00C735C2"/>
    <w:rsid w:val="00C736A1"/>
    <w:rsid w:val="00C749CF"/>
    <w:rsid w:val="00C819A5"/>
    <w:rsid w:val="00C87EDE"/>
    <w:rsid w:val="00C9234E"/>
    <w:rsid w:val="00CA0AFE"/>
    <w:rsid w:val="00CB18C6"/>
    <w:rsid w:val="00CB2884"/>
    <w:rsid w:val="00CB63B5"/>
    <w:rsid w:val="00CC0EB0"/>
    <w:rsid w:val="00CC10C0"/>
    <w:rsid w:val="00CC1BE7"/>
    <w:rsid w:val="00CC3A65"/>
    <w:rsid w:val="00CC40FF"/>
    <w:rsid w:val="00CC6BC8"/>
    <w:rsid w:val="00CC6E3B"/>
    <w:rsid w:val="00CD23BD"/>
    <w:rsid w:val="00CD4143"/>
    <w:rsid w:val="00CD56C1"/>
    <w:rsid w:val="00CD58AF"/>
    <w:rsid w:val="00CD68EF"/>
    <w:rsid w:val="00CD7337"/>
    <w:rsid w:val="00CE0CF7"/>
    <w:rsid w:val="00CE2056"/>
    <w:rsid w:val="00CE2EC2"/>
    <w:rsid w:val="00CF1ADD"/>
    <w:rsid w:val="00CF4526"/>
    <w:rsid w:val="00CF59FF"/>
    <w:rsid w:val="00D07CAB"/>
    <w:rsid w:val="00D07D32"/>
    <w:rsid w:val="00D13C28"/>
    <w:rsid w:val="00D1581D"/>
    <w:rsid w:val="00D160DF"/>
    <w:rsid w:val="00D166AC"/>
    <w:rsid w:val="00D216A7"/>
    <w:rsid w:val="00D21E9B"/>
    <w:rsid w:val="00D21FBA"/>
    <w:rsid w:val="00D22120"/>
    <w:rsid w:val="00D225D2"/>
    <w:rsid w:val="00D22941"/>
    <w:rsid w:val="00D23745"/>
    <w:rsid w:val="00D23F25"/>
    <w:rsid w:val="00D249CC"/>
    <w:rsid w:val="00D24B1F"/>
    <w:rsid w:val="00D2760D"/>
    <w:rsid w:val="00D30A4D"/>
    <w:rsid w:val="00D3278D"/>
    <w:rsid w:val="00D3541D"/>
    <w:rsid w:val="00D3649D"/>
    <w:rsid w:val="00D37571"/>
    <w:rsid w:val="00D412CC"/>
    <w:rsid w:val="00D41F94"/>
    <w:rsid w:val="00D47514"/>
    <w:rsid w:val="00D504B4"/>
    <w:rsid w:val="00D51538"/>
    <w:rsid w:val="00D519AB"/>
    <w:rsid w:val="00D53812"/>
    <w:rsid w:val="00D53EF0"/>
    <w:rsid w:val="00D5456D"/>
    <w:rsid w:val="00D56071"/>
    <w:rsid w:val="00D562CA"/>
    <w:rsid w:val="00D5676C"/>
    <w:rsid w:val="00D62E77"/>
    <w:rsid w:val="00D66AD5"/>
    <w:rsid w:val="00D67A19"/>
    <w:rsid w:val="00D75130"/>
    <w:rsid w:val="00D830C0"/>
    <w:rsid w:val="00D83E03"/>
    <w:rsid w:val="00D85055"/>
    <w:rsid w:val="00D861B1"/>
    <w:rsid w:val="00D8654E"/>
    <w:rsid w:val="00D868B3"/>
    <w:rsid w:val="00D9321B"/>
    <w:rsid w:val="00D93537"/>
    <w:rsid w:val="00D94FF8"/>
    <w:rsid w:val="00D953E6"/>
    <w:rsid w:val="00D974DC"/>
    <w:rsid w:val="00DA246F"/>
    <w:rsid w:val="00DA5136"/>
    <w:rsid w:val="00DB089B"/>
    <w:rsid w:val="00DB5AA9"/>
    <w:rsid w:val="00DB64BD"/>
    <w:rsid w:val="00DB74EB"/>
    <w:rsid w:val="00DC74D0"/>
    <w:rsid w:val="00DD18B1"/>
    <w:rsid w:val="00DD30D6"/>
    <w:rsid w:val="00DD594F"/>
    <w:rsid w:val="00DD5C23"/>
    <w:rsid w:val="00DE36F1"/>
    <w:rsid w:val="00DE40B7"/>
    <w:rsid w:val="00DE69DB"/>
    <w:rsid w:val="00DF249F"/>
    <w:rsid w:val="00DF5B6B"/>
    <w:rsid w:val="00DF7EF3"/>
    <w:rsid w:val="00E00D86"/>
    <w:rsid w:val="00E02318"/>
    <w:rsid w:val="00E03A14"/>
    <w:rsid w:val="00E042E7"/>
    <w:rsid w:val="00E13BC6"/>
    <w:rsid w:val="00E14440"/>
    <w:rsid w:val="00E16599"/>
    <w:rsid w:val="00E20F0D"/>
    <w:rsid w:val="00E24969"/>
    <w:rsid w:val="00E27695"/>
    <w:rsid w:val="00E32CE2"/>
    <w:rsid w:val="00E33522"/>
    <w:rsid w:val="00E3673C"/>
    <w:rsid w:val="00E43646"/>
    <w:rsid w:val="00E4499B"/>
    <w:rsid w:val="00E457D8"/>
    <w:rsid w:val="00E51559"/>
    <w:rsid w:val="00E52B71"/>
    <w:rsid w:val="00E552E0"/>
    <w:rsid w:val="00E5540E"/>
    <w:rsid w:val="00E55FF9"/>
    <w:rsid w:val="00E602A6"/>
    <w:rsid w:val="00E60E36"/>
    <w:rsid w:val="00E62D8A"/>
    <w:rsid w:val="00E642A2"/>
    <w:rsid w:val="00E65147"/>
    <w:rsid w:val="00E654F1"/>
    <w:rsid w:val="00E662AB"/>
    <w:rsid w:val="00E6699B"/>
    <w:rsid w:val="00E71AE4"/>
    <w:rsid w:val="00E721F5"/>
    <w:rsid w:val="00E7566C"/>
    <w:rsid w:val="00E920C2"/>
    <w:rsid w:val="00E95A71"/>
    <w:rsid w:val="00E97ACA"/>
    <w:rsid w:val="00EA0D84"/>
    <w:rsid w:val="00EA1169"/>
    <w:rsid w:val="00EA2D47"/>
    <w:rsid w:val="00EA3E28"/>
    <w:rsid w:val="00EA58BC"/>
    <w:rsid w:val="00EA6BB3"/>
    <w:rsid w:val="00EB109F"/>
    <w:rsid w:val="00EB1D07"/>
    <w:rsid w:val="00EB4B5C"/>
    <w:rsid w:val="00EB4EF8"/>
    <w:rsid w:val="00EB78D2"/>
    <w:rsid w:val="00EC0B2B"/>
    <w:rsid w:val="00EC11F5"/>
    <w:rsid w:val="00EC60C0"/>
    <w:rsid w:val="00EC75E9"/>
    <w:rsid w:val="00ED240C"/>
    <w:rsid w:val="00ED3A5E"/>
    <w:rsid w:val="00ED6B97"/>
    <w:rsid w:val="00EE186A"/>
    <w:rsid w:val="00EE2DED"/>
    <w:rsid w:val="00EE2F3B"/>
    <w:rsid w:val="00EE3197"/>
    <w:rsid w:val="00EE65BA"/>
    <w:rsid w:val="00EF0232"/>
    <w:rsid w:val="00EF4CE2"/>
    <w:rsid w:val="00EF50AB"/>
    <w:rsid w:val="00F02CE7"/>
    <w:rsid w:val="00F042AD"/>
    <w:rsid w:val="00F10B6E"/>
    <w:rsid w:val="00F148EF"/>
    <w:rsid w:val="00F23014"/>
    <w:rsid w:val="00F25DAF"/>
    <w:rsid w:val="00F30398"/>
    <w:rsid w:val="00F41BA4"/>
    <w:rsid w:val="00F43959"/>
    <w:rsid w:val="00F50909"/>
    <w:rsid w:val="00F52313"/>
    <w:rsid w:val="00F53907"/>
    <w:rsid w:val="00F5565A"/>
    <w:rsid w:val="00F61924"/>
    <w:rsid w:val="00F61CE1"/>
    <w:rsid w:val="00F63001"/>
    <w:rsid w:val="00F64BED"/>
    <w:rsid w:val="00F65D82"/>
    <w:rsid w:val="00F66F04"/>
    <w:rsid w:val="00F72CCD"/>
    <w:rsid w:val="00F74C98"/>
    <w:rsid w:val="00F77847"/>
    <w:rsid w:val="00F80366"/>
    <w:rsid w:val="00F8499A"/>
    <w:rsid w:val="00F85F48"/>
    <w:rsid w:val="00F90791"/>
    <w:rsid w:val="00F922A3"/>
    <w:rsid w:val="00F93617"/>
    <w:rsid w:val="00F97409"/>
    <w:rsid w:val="00F9793E"/>
    <w:rsid w:val="00FA2A17"/>
    <w:rsid w:val="00FA2F1F"/>
    <w:rsid w:val="00FA45C6"/>
    <w:rsid w:val="00FA49ED"/>
    <w:rsid w:val="00FA556E"/>
    <w:rsid w:val="00FA7DDC"/>
    <w:rsid w:val="00FB065E"/>
    <w:rsid w:val="00FB066E"/>
    <w:rsid w:val="00FB1380"/>
    <w:rsid w:val="00FB15B4"/>
    <w:rsid w:val="00FB390A"/>
    <w:rsid w:val="00FB73B9"/>
    <w:rsid w:val="00FC27A9"/>
    <w:rsid w:val="00FC2AC1"/>
    <w:rsid w:val="00FC680D"/>
    <w:rsid w:val="00FC6F6E"/>
    <w:rsid w:val="00FC71FA"/>
    <w:rsid w:val="00FD3F20"/>
    <w:rsid w:val="00FE668C"/>
    <w:rsid w:val="00FF136E"/>
    <w:rsid w:val="00FF3219"/>
    <w:rsid w:val="00FF53FC"/>
    <w:rsid w:val="00FF7E67"/>
    <w:rsid w:val="01DF4090"/>
    <w:rsid w:val="0663650E"/>
    <w:rsid w:val="07C0373B"/>
    <w:rsid w:val="0935504D"/>
    <w:rsid w:val="0BE95D4C"/>
    <w:rsid w:val="108642F6"/>
    <w:rsid w:val="16E762A2"/>
    <w:rsid w:val="1A781AD7"/>
    <w:rsid w:val="211F3960"/>
    <w:rsid w:val="21E658DF"/>
    <w:rsid w:val="26B35456"/>
    <w:rsid w:val="2A3C10F5"/>
    <w:rsid w:val="2F02092C"/>
    <w:rsid w:val="305D69EA"/>
    <w:rsid w:val="350F426F"/>
    <w:rsid w:val="39EA27CC"/>
    <w:rsid w:val="3A8544E0"/>
    <w:rsid w:val="3D497F18"/>
    <w:rsid w:val="3FC509A3"/>
    <w:rsid w:val="42D75FD1"/>
    <w:rsid w:val="43E23B0B"/>
    <w:rsid w:val="47283A28"/>
    <w:rsid w:val="4B63057D"/>
    <w:rsid w:val="4BED77A1"/>
    <w:rsid w:val="4DA34F62"/>
    <w:rsid w:val="4F8132D3"/>
    <w:rsid w:val="4FA82A40"/>
    <w:rsid w:val="54454425"/>
    <w:rsid w:val="57D6727C"/>
    <w:rsid w:val="5A5119FF"/>
    <w:rsid w:val="5BE724C4"/>
    <w:rsid w:val="5DDB5A14"/>
    <w:rsid w:val="621B4F7F"/>
    <w:rsid w:val="6B62463B"/>
    <w:rsid w:val="6B73086C"/>
    <w:rsid w:val="6FE21EB0"/>
    <w:rsid w:val="70480A83"/>
    <w:rsid w:val="73582DD6"/>
    <w:rsid w:val="74C0081A"/>
    <w:rsid w:val="754A7C3C"/>
    <w:rsid w:val="76443AFC"/>
    <w:rsid w:val="7A0207DB"/>
    <w:rsid w:val="7D4E14DD"/>
    <w:rsid w:val="7E8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adjustRightInd w:val="0"/>
      <w:spacing w:after="120" w:line="360" w:lineRule="atLeast"/>
      <w:ind w:left="200" w:leftChars="200"/>
    </w:pPr>
    <w:rPr>
      <w:szCs w:val="2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Date"/>
    <w:basedOn w:val="1"/>
    <w:next w:val="1"/>
    <w:link w:val="24"/>
    <w:semiHidden/>
    <w:unhideWhenUsed/>
    <w:qFormat/>
    <w:uiPriority w:val="99"/>
    <w:pPr>
      <w:ind w:left="100" w:leftChars="2500"/>
    </w:pPr>
    <w:rPr>
      <w:lang w:val="zh-CN"/>
    </w:r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endnote text"/>
    <w:basedOn w:val="1"/>
    <w:qFormat/>
    <w:uiPriority w:val="0"/>
    <w:pPr>
      <w:snapToGrid w:val="0"/>
      <w:jc w:val="left"/>
    </w:pPr>
    <w:rPr>
      <w:rFonts w:ascii="宋体" w:hAnsi="宋体"/>
      <w:sz w:val="28"/>
      <w:szCs w:val="24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annotation subject"/>
    <w:basedOn w:val="4"/>
    <w:next w:val="4"/>
    <w:qFormat/>
    <w:uiPriority w:val="0"/>
    <w:rPr>
      <w:b/>
      <w:bCs/>
    </w:r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basedOn w:val="17"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qFormat/>
    <w:uiPriority w:val="0"/>
    <w:rPr>
      <w:sz w:val="21"/>
      <w:szCs w:val="21"/>
    </w:rPr>
  </w:style>
  <w:style w:type="paragraph" w:customStyle="1" w:styleId="2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3">
    <w:name w:val="List Paragraph"/>
    <w:basedOn w:val="1"/>
    <w:link w:val="26"/>
    <w:qFormat/>
    <w:uiPriority w:val="34"/>
    <w:pPr>
      <w:ind w:firstLine="420" w:firstLineChars="200"/>
    </w:pPr>
  </w:style>
  <w:style w:type="character" w:customStyle="1" w:styleId="24">
    <w:name w:val="日期 字符"/>
    <w:link w:val="7"/>
    <w:semiHidden/>
    <w:qFormat/>
    <w:uiPriority w:val="99"/>
    <w:rPr>
      <w:kern w:val="2"/>
      <w:sz w:val="21"/>
    </w:rPr>
  </w:style>
  <w:style w:type="character" w:customStyle="1" w:styleId="25">
    <w:name w:val="apple-converted-space"/>
    <w:qFormat/>
    <w:uiPriority w:val="0"/>
  </w:style>
  <w:style w:type="character" w:customStyle="1" w:styleId="26">
    <w:name w:val="列表段落 字符"/>
    <w:basedOn w:val="17"/>
    <w:link w:val="23"/>
    <w:qFormat/>
    <w:uiPriority w:val="34"/>
    <w:rPr>
      <w:kern w:val="2"/>
      <w:sz w:val="21"/>
    </w:rPr>
  </w:style>
  <w:style w:type="paragraph" w:customStyle="1" w:styleId="27">
    <w:name w:val="_Style 43"/>
    <w:basedOn w:val="28"/>
    <w:next w:val="1"/>
    <w:qFormat/>
    <w:uiPriority w:val="9"/>
    <w:pPr>
      <w:keepNext/>
      <w:keepLines/>
      <w:widowControl w:val="0"/>
      <w:spacing w:before="60" w:after="60"/>
      <w:jc w:val="both"/>
      <w:outlineLvl w:val="2"/>
    </w:pPr>
    <w:rPr>
      <w:rFonts w:ascii="Calibri" w:hAnsi="Calibri" w:cs="Times New Roman"/>
      <w:b/>
      <w:bCs w:val="0"/>
      <w:kern w:val="2"/>
      <w:szCs w:val="32"/>
    </w:rPr>
  </w:style>
  <w:style w:type="paragraph" w:customStyle="1" w:styleId="28">
    <w:name w:val="_Style 40"/>
    <w:qFormat/>
    <w:uiPriority w:val="0"/>
    <w:pPr>
      <w:spacing w:after="160" w:line="278" w:lineRule="auto"/>
    </w:pPr>
    <w:rPr>
      <w:rFonts w:ascii="Times New Roman" w:hAnsi="Times New Roman" w:eastAsia="宋体" w:cs="宋体"/>
      <w:bCs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6501C-DBB2-4800-8382-7B11AB70A5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szse</Company>
  <Pages>8</Pages>
  <Words>7015</Words>
  <Characters>7537</Characters>
  <Lines>23</Lines>
  <Paragraphs>6</Paragraphs>
  <TotalTime>23</TotalTime>
  <ScaleCrop>false</ScaleCrop>
  <LinksUpToDate>false</LinksUpToDate>
  <CharactersWithSpaces>7725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2024-12-31T06:56:00Z</dcterms:created>
  <dc:creator>陈朝晖</dc:creator>
  <cp:lastModifiedBy>ningjie</cp:lastModifiedBy>
  <cp:lastPrinted>2024-12-31T03:15:00Z</cp:lastPrinted>
  <dcterms:modified xsi:type="dcterms:W3CDTF">2026-09-01T09:18:07Z</dcterms:modified>
  <dc:title>中小企业板信息披露业务备忘录第5号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eyJoZGlkIjoiYmI5MGVjNTMxMzIwZWJlOGIxNWJiY2EwMGQzNDBiOWMiLCJ1c2VySWQiOiI1MzQ0MjI3MDUifQ==</vt:lpwstr>
  </property>
  <property fmtid="{D5CDD505-2E9C-101B-9397-08002B2CF9AE}" pid="4" name="ICV">
    <vt:lpwstr>5BBF1E5ABE534666B7308A39CAB68899_13</vt:lpwstr>
  </property>
</Properties>
</file>