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5CF31">
      <w:pPr>
        <w:spacing w:before="31" w:beforeLines="10" w:line="36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证券简称</w:t>
      </w:r>
      <w:r>
        <w:rPr>
          <w:rFonts w:hint="eastAsia" w:ascii="Times New Roman" w:hAnsi="Times New Roman"/>
          <w:bCs/>
          <w:sz w:val="24"/>
        </w:rPr>
        <w:t>：</w:t>
      </w:r>
      <w:r>
        <w:rPr>
          <w:rFonts w:ascii="Times New Roman" w:hAnsi="Times New Roman"/>
          <w:bCs/>
          <w:sz w:val="24"/>
        </w:rPr>
        <w:t>兴通股份                                        证券代码：603209</w:t>
      </w:r>
    </w:p>
    <w:p w14:paraId="737B8EE6">
      <w:pPr>
        <w:spacing w:before="31" w:beforeLines="10" w:line="360" w:lineRule="auto"/>
        <w:jc w:val="center"/>
        <w:rPr>
          <w:rFonts w:ascii="Times New Roman" w:hAnsi="Times New Roman"/>
          <w:b/>
          <w:w w:val="95"/>
          <w:sz w:val="32"/>
          <w:szCs w:val="32"/>
        </w:rPr>
      </w:pPr>
    </w:p>
    <w:p w14:paraId="0FFDF0BE">
      <w:pPr>
        <w:spacing w:before="31" w:beforeLines="1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兴通海运股份有限公司</w:t>
      </w:r>
    </w:p>
    <w:p w14:paraId="334B950C">
      <w:pPr>
        <w:spacing w:line="360" w:lineRule="auto"/>
        <w:jc w:val="center"/>
        <w:rPr>
          <w:rFonts w:ascii="Times New Roman" w:hAnsi="Times New Roman"/>
          <w:b/>
          <w:kern w:val="0"/>
          <w:sz w:val="36"/>
          <w:szCs w:val="36"/>
        </w:rPr>
      </w:pPr>
      <w:bookmarkStart w:id="0" w:name="OLE_LINK1"/>
      <w:r>
        <w:rPr>
          <w:rFonts w:ascii="Times New Roman" w:hAnsi="Times New Roman"/>
          <w:b/>
          <w:kern w:val="0"/>
          <w:sz w:val="36"/>
          <w:szCs w:val="36"/>
        </w:rPr>
        <w:t>投资者关系活动记录表</w:t>
      </w:r>
    </w:p>
    <w:bookmarkEnd w:id="0"/>
    <w:p w14:paraId="48975354">
      <w:pPr>
        <w:tabs>
          <w:tab w:val="left" w:pos="6106"/>
        </w:tabs>
        <w:spacing w:before="156" w:beforeLines="50" w:after="156" w:afterLines="50"/>
        <w:ind w:firstLine="240" w:firstLineChars="10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编号：</w:t>
      </w:r>
      <w:r>
        <w:rPr>
          <w:rFonts w:hint="eastAsia" w:ascii="Times New Roman" w:hAnsi="Times New Roman"/>
          <w:sz w:val="24"/>
        </w:rPr>
        <w:t>2026-003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6855"/>
      </w:tblGrid>
      <w:tr w14:paraId="2CC63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EE01">
            <w:pPr>
              <w:spacing w:before="156" w:beforeLines="50" w:after="156" w:afterLines="5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投资者关系活动类别</w:t>
            </w:r>
          </w:p>
        </w:tc>
        <w:tc>
          <w:tcPr>
            <w:tcW w:w="68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BE8A1F">
            <w:pPr>
              <w:widowControl/>
              <w:tabs>
                <w:tab w:val="left" w:pos="3480"/>
              </w:tabs>
              <w:spacing w:before="156" w:beforeLines="50" w:after="156" w:afterLines="50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□</w:t>
            </w:r>
            <w:r>
              <w:rPr>
                <w:rFonts w:ascii="Times New Roman" w:hAnsi="Times New Roman"/>
                <w:bCs/>
                <w:sz w:val="24"/>
              </w:rPr>
              <w:t>特定对象调研   □分析师会议      □媒体采访</w:t>
            </w:r>
          </w:p>
          <w:p w14:paraId="084B8793">
            <w:pPr>
              <w:widowControl/>
              <w:tabs>
                <w:tab w:val="left" w:pos="2040"/>
                <w:tab w:val="left" w:pos="3480"/>
              </w:tabs>
              <w:spacing w:before="156" w:beforeLines="50" w:after="156" w:afterLines="50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□</w:t>
            </w:r>
            <w:r>
              <w:rPr>
                <w:rFonts w:ascii="Times New Roman" w:hAnsi="Times New Roman"/>
                <w:bCs/>
                <w:sz w:val="24"/>
              </w:rPr>
              <w:t xml:space="preserve">业绩说明会     □新闻发布会      </w:t>
            </w:r>
            <w:r>
              <w:rPr>
                <w:rFonts w:hint="eastAsia" w:ascii="Times New Roman" w:hAnsi="Times New Roman"/>
                <w:bCs/>
                <w:sz w:val="24"/>
              </w:rPr>
              <w:t>☑</w:t>
            </w:r>
            <w:r>
              <w:rPr>
                <w:rFonts w:ascii="Times New Roman" w:hAnsi="Times New Roman"/>
                <w:bCs/>
                <w:sz w:val="24"/>
              </w:rPr>
              <w:t>路演活动</w:t>
            </w:r>
          </w:p>
          <w:p w14:paraId="7C76FED2">
            <w:pPr>
              <w:spacing w:before="156" w:beforeLines="50" w:after="156" w:afterLines="50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□</w:t>
            </w:r>
            <w:r>
              <w:rPr>
                <w:rFonts w:ascii="Times New Roman" w:hAnsi="Times New Roman"/>
                <w:bCs/>
                <w:sz w:val="24"/>
              </w:rPr>
              <w:t xml:space="preserve">现场参观       </w:t>
            </w:r>
            <w:r>
              <w:rPr>
                <w:rFonts w:hint="eastAsia" w:ascii="Times New Roman" w:hAnsi="Times New Roman"/>
                <w:bCs/>
                <w:sz w:val="24"/>
              </w:rPr>
              <w:t>☑</w:t>
            </w:r>
            <w:r>
              <w:rPr>
                <w:rFonts w:ascii="Times New Roman" w:hAnsi="Times New Roman"/>
                <w:bCs/>
                <w:sz w:val="24"/>
              </w:rPr>
              <w:t xml:space="preserve">一对一沟通      </w:t>
            </w:r>
            <w:r>
              <w:rPr>
                <w:rFonts w:hint="eastAsia" w:ascii="Times New Roman" w:hAnsi="Times New Roman"/>
                <w:bCs/>
                <w:sz w:val="24"/>
              </w:rPr>
              <w:t>□</w:t>
            </w:r>
            <w:r>
              <w:rPr>
                <w:rFonts w:ascii="Times New Roman" w:hAnsi="Times New Roman"/>
                <w:bCs/>
                <w:sz w:val="24"/>
              </w:rPr>
              <w:t>其他（电话会议）</w:t>
            </w:r>
          </w:p>
        </w:tc>
      </w:tr>
      <w:tr w14:paraId="63354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7E75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参与单位及人员名称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16BD39">
            <w:pPr>
              <w:spacing w:before="156" w:beforeLines="50" w:after="156" w:after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华源证券、华创证券、中信证券、长江证券、财通证券、国联民生证券、申万宏源证券、财达证券、中信建投证券、中金资管、中信资管、长城基金、中银基金、建投基金、国联基金、明世伙伴基金、工银瑞信基金、招商基金、泰康资产、恒安标准人寿保险、中国人寿养老保险、阳光资产、昊泽致远（北京）投资、合煦智远基金</w:t>
            </w:r>
          </w:p>
        </w:tc>
      </w:tr>
      <w:tr w14:paraId="6755D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9D8CC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时间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1E51C9">
            <w:pPr>
              <w:spacing w:before="156" w:beforeLines="50" w:after="156" w:after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2026年8月26日至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</w:rPr>
              <w:t>日</w:t>
            </w:r>
          </w:p>
        </w:tc>
      </w:tr>
      <w:tr w14:paraId="0BE63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009A8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地点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DC1D8A">
            <w:pPr>
              <w:spacing w:before="156" w:beforeLines="50" w:after="156" w:after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北京</w:t>
            </w:r>
          </w:p>
        </w:tc>
      </w:tr>
      <w:tr w14:paraId="00BA2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5FC8E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公司接待人员姓名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A12F92">
            <w:pPr>
              <w:spacing w:before="156" w:beforeLines="50" w:after="156" w:after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董事会秘书 柳思颖女士</w:t>
            </w:r>
          </w:p>
          <w:p w14:paraId="2A8BC92B">
            <w:pPr>
              <w:spacing w:before="156" w:beforeLines="50" w:after="156" w:after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投资者关系经理 祁忠慧先生</w:t>
            </w:r>
          </w:p>
        </w:tc>
      </w:tr>
      <w:tr w14:paraId="18E25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B6A30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投资者关系活动主要内容介绍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188CBC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/>
                <w:bCs/>
                <w:sz w:val="24"/>
              </w:rPr>
            </w:pPr>
            <w:bookmarkStart w:id="1" w:name="_GoBack"/>
            <w:r>
              <w:rPr>
                <w:rFonts w:hint="eastAsia" w:ascii="Times New Roman" w:hAnsi="Times New Roman"/>
                <w:b/>
                <w:bCs/>
                <w:sz w:val="24"/>
              </w:rPr>
              <w:t>问题1：公司新船投产后是否有产能爬坡期？</w:t>
            </w:r>
          </w:p>
          <w:p w14:paraId="78CA7689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公司针对新船实施前置客户开发与货源储备，在船舶正式交付前对接客户、落实货源线索；新船办妥全套营运资质后即可投入营运，产能爬坡周期较短，能够实现投产即运营，运力可及时释放。</w:t>
            </w:r>
          </w:p>
          <w:p w14:paraId="518888D0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问题2：国际油品运输与化学品运输景气度之间的关系是怎么样的？</w:t>
            </w:r>
          </w:p>
          <w:p w14:paraId="70C1C9FF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国际油品运输与化学品运输市场存在较强关联。一方面，红海航线绕行、巴拿马运河通行效率扰动等因素，会同时作用于国际油运与化学品运输市场，推升航距、降低船舶周转效率，对两类市场共同形成影响。另一方面，二者景气度存在间接传导效应：原油航运景气上行时，会吸引部分成品油轮转向原油运输市场；若成品油航运景气提升，则部分兼具成品油与化学品运输能力的“摇摆运力”将回流油运市场，进而收紧化学品运输市场有效供给，改善化学品航运供需格局。</w:t>
            </w:r>
          </w:p>
          <w:p w14:paraId="291AFFA6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问题3：公司后续的外贸化学品运力投放是否已有客户储备？</w:t>
            </w:r>
          </w:p>
          <w:p w14:paraId="0B8509BF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公司已组建专业化国际业务团队，核心人员具备深厚行业积淀与海外客户资源。自布局国际化学品运输业务以来，公司持续深耕海外市场，稳步拓展国际客户，海外市场认可度持续提升，为后续外贸化学品运力投放储备了客户基础。同时，公司船队呈现年轻化、绿色化、高端化特征，相较于市场老旧船舶具备综合竞争优势，有助于获得下游客户的认可与订单机会。</w:t>
            </w:r>
          </w:p>
          <w:p w14:paraId="08309689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问题4：公司后续是否还有老旧船舶处置计划？</w:t>
            </w:r>
          </w:p>
          <w:p w14:paraId="79C83154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公司持续践行运力优化策略，常态化对各在营船舶的运营状况、运维成本、货种适配性开展评估。对于涂层老化、运维成本较高、碳指标压力较大的老旧船舶，公司将择机予以处置。老旧船舶处置节奏将综合考量二手船市场行情、新船交付节点等因素统筹安排，实现新旧运力平稳衔接，保障公司经营持续稳定。</w:t>
            </w:r>
          </w:p>
          <w:p w14:paraId="42CD8865">
            <w:pPr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问题5：公司外贸化学品业务的发展目标是什么？</w:t>
            </w:r>
          </w:p>
          <w:p w14:paraId="5D70C690">
            <w:pPr>
              <w:spacing w:before="156" w:beforeLines="50" w:after="156" w:afterLines="50" w:line="360" w:lineRule="auto"/>
              <w:ind w:firstLine="482" w:firstLineChars="20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</w:rPr>
              <w:t>全球化学品航运市场受炼化产能布局调整、地缘冲突带来的贸易路线重构等因素影响，运输距离呈拉长趋势，对行业需求形成支撑。供给端，全球化学品船队整体老龄化加剧，绿色合规相关标准持续收紧，为拥有年轻化、绿色化、高端化化学品船队的船东带来发展机遇。在此行业背景下，公司以“打造全球化学品航运新标杆”为目标，稳步扩大高端绿色外贸化学品运力规模，完善全球客户服务体系，持续夯实船舶管理能力，致力成为具备全球竞争力的化学品航运服务商。</w:t>
            </w:r>
            <w:bookmarkEnd w:id="1"/>
          </w:p>
        </w:tc>
      </w:tr>
      <w:tr w14:paraId="3D8B0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46945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附件清单（如有）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4813FF">
            <w:pPr>
              <w:spacing w:before="156" w:beforeLines="50" w:after="156" w:afterLines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无</w:t>
            </w:r>
          </w:p>
        </w:tc>
      </w:tr>
      <w:tr w14:paraId="072DC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BF447D9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日期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DC691">
            <w:pPr>
              <w:spacing w:before="156" w:beforeLines="50" w:after="156" w:afterLines="5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2026年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</w:rPr>
              <w:t>日</w:t>
            </w:r>
          </w:p>
        </w:tc>
      </w:tr>
    </w:tbl>
    <w:p w14:paraId="09B98289">
      <w:pPr>
        <w:widowControl/>
        <w:jc w:val="left"/>
        <w:rPr>
          <w:rFonts w:ascii="Times New Roman" w:hAnsi="Times New Roman"/>
        </w:rPr>
      </w:pPr>
    </w:p>
    <w:sectPr>
      <w:headerReference r:id="rId3" w:type="default"/>
      <w:pgSz w:w="12240" w:h="15840"/>
      <w:pgMar w:top="1440" w:right="1800" w:bottom="1440" w:left="1800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59CA5">
    <w:pPr>
      <w:pStyle w:val="5"/>
      <w:jc w:val="both"/>
      <w:rPr>
        <w:rFonts w:hint="eastAsia" w:ascii="楷体" w:hAnsi="楷体" w:eastAsia="楷体"/>
      </w:rPr>
    </w:pPr>
    <w:r>
      <w:rPr>
        <w:rFonts w:hint="eastAsia" w:ascii="楷体" w:hAnsi="楷体" w:eastAsia="楷体"/>
      </w:rPr>
      <w:t xml:space="preserve">兴通海运股份有限公司 </w:t>
    </w:r>
    <w:r>
      <w:rPr>
        <w:rFonts w:ascii="楷体" w:hAnsi="楷体" w:eastAsia="楷体"/>
      </w:rPr>
      <w:t xml:space="preserve">                                            </w:t>
    </w:r>
    <w:r>
      <w:rPr>
        <w:rFonts w:hint="eastAsia" w:ascii="楷体" w:hAnsi="楷体" w:eastAsia="楷体"/>
      </w:rPr>
      <w:t xml:space="preserve">       </w:t>
    </w:r>
    <w:r>
      <w:rPr>
        <w:rFonts w:ascii="楷体" w:hAnsi="楷体" w:eastAsia="楷体"/>
      </w:rPr>
      <w:t xml:space="preserve">   </w:t>
    </w:r>
    <w:r>
      <w:rPr>
        <w:rFonts w:hint="eastAsia" w:ascii="楷体" w:hAnsi="楷体" w:eastAsia="楷体"/>
      </w:rPr>
      <w:t>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wYzU5ODBhY2VhYjU0NzM0NjA4YjRjMjNjZjU0MmUifQ=="/>
  </w:docVars>
  <w:rsids>
    <w:rsidRoot w:val="00172A27"/>
    <w:rsid w:val="00000D18"/>
    <w:rsid w:val="000076A8"/>
    <w:rsid w:val="00013B2C"/>
    <w:rsid w:val="000251BC"/>
    <w:rsid w:val="00031EDC"/>
    <w:rsid w:val="00032FBF"/>
    <w:rsid w:val="0004190F"/>
    <w:rsid w:val="0006665D"/>
    <w:rsid w:val="00073D83"/>
    <w:rsid w:val="000752AD"/>
    <w:rsid w:val="000B7145"/>
    <w:rsid w:val="000C0917"/>
    <w:rsid w:val="000D1EEA"/>
    <w:rsid w:val="000E0A29"/>
    <w:rsid w:val="000E4A02"/>
    <w:rsid w:val="000F7A15"/>
    <w:rsid w:val="00106CE5"/>
    <w:rsid w:val="00110AC1"/>
    <w:rsid w:val="00110FC0"/>
    <w:rsid w:val="00114B26"/>
    <w:rsid w:val="00121DE3"/>
    <w:rsid w:val="00127A0C"/>
    <w:rsid w:val="00135DE9"/>
    <w:rsid w:val="00136571"/>
    <w:rsid w:val="0014063C"/>
    <w:rsid w:val="001716C9"/>
    <w:rsid w:val="00172A27"/>
    <w:rsid w:val="001764CF"/>
    <w:rsid w:val="00180E8C"/>
    <w:rsid w:val="001C3E04"/>
    <w:rsid w:val="001C65A5"/>
    <w:rsid w:val="001D76A0"/>
    <w:rsid w:val="002047E7"/>
    <w:rsid w:val="002051B0"/>
    <w:rsid w:val="0021568D"/>
    <w:rsid w:val="002379A3"/>
    <w:rsid w:val="002421F3"/>
    <w:rsid w:val="0025795E"/>
    <w:rsid w:val="002A590A"/>
    <w:rsid w:val="002A5DDA"/>
    <w:rsid w:val="002B1EA1"/>
    <w:rsid w:val="002B2792"/>
    <w:rsid w:val="002B5738"/>
    <w:rsid w:val="002C7C5F"/>
    <w:rsid w:val="003046C0"/>
    <w:rsid w:val="003146EB"/>
    <w:rsid w:val="003168B2"/>
    <w:rsid w:val="00342805"/>
    <w:rsid w:val="00356C12"/>
    <w:rsid w:val="0036096D"/>
    <w:rsid w:val="003712F0"/>
    <w:rsid w:val="00372B7B"/>
    <w:rsid w:val="00382BB7"/>
    <w:rsid w:val="00385F42"/>
    <w:rsid w:val="00394720"/>
    <w:rsid w:val="003A22AA"/>
    <w:rsid w:val="003C56D1"/>
    <w:rsid w:val="003D2184"/>
    <w:rsid w:val="003E6473"/>
    <w:rsid w:val="003F6DC0"/>
    <w:rsid w:val="00402082"/>
    <w:rsid w:val="00415566"/>
    <w:rsid w:val="0042296F"/>
    <w:rsid w:val="00426B09"/>
    <w:rsid w:val="004413F5"/>
    <w:rsid w:val="00453D13"/>
    <w:rsid w:val="00456D35"/>
    <w:rsid w:val="00461E20"/>
    <w:rsid w:val="004646BB"/>
    <w:rsid w:val="00464AC6"/>
    <w:rsid w:val="00476C84"/>
    <w:rsid w:val="004853F9"/>
    <w:rsid w:val="0049067C"/>
    <w:rsid w:val="00496215"/>
    <w:rsid w:val="00496ED9"/>
    <w:rsid w:val="004A215B"/>
    <w:rsid w:val="004B35E2"/>
    <w:rsid w:val="004B42FE"/>
    <w:rsid w:val="004C7EAD"/>
    <w:rsid w:val="004D001F"/>
    <w:rsid w:val="004D45FF"/>
    <w:rsid w:val="004D771A"/>
    <w:rsid w:val="004E3115"/>
    <w:rsid w:val="004F3029"/>
    <w:rsid w:val="0050067C"/>
    <w:rsid w:val="005026B6"/>
    <w:rsid w:val="00502E9C"/>
    <w:rsid w:val="00520FE3"/>
    <w:rsid w:val="0052527D"/>
    <w:rsid w:val="00527CF4"/>
    <w:rsid w:val="00532959"/>
    <w:rsid w:val="005515C2"/>
    <w:rsid w:val="00556BB3"/>
    <w:rsid w:val="0056159D"/>
    <w:rsid w:val="00563FA2"/>
    <w:rsid w:val="005703A5"/>
    <w:rsid w:val="005761E2"/>
    <w:rsid w:val="005858D9"/>
    <w:rsid w:val="0059023D"/>
    <w:rsid w:val="00593A35"/>
    <w:rsid w:val="005B02EB"/>
    <w:rsid w:val="005D4B0E"/>
    <w:rsid w:val="0060293E"/>
    <w:rsid w:val="00605E6F"/>
    <w:rsid w:val="00613EDC"/>
    <w:rsid w:val="0062262A"/>
    <w:rsid w:val="006264DF"/>
    <w:rsid w:val="00627ADB"/>
    <w:rsid w:val="00646058"/>
    <w:rsid w:val="00661F6B"/>
    <w:rsid w:val="00664FF6"/>
    <w:rsid w:val="006655B9"/>
    <w:rsid w:val="006672F6"/>
    <w:rsid w:val="006B22F5"/>
    <w:rsid w:val="006C7C57"/>
    <w:rsid w:val="006D030B"/>
    <w:rsid w:val="006D2E8D"/>
    <w:rsid w:val="006D389E"/>
    <w:rsid w:val="00706B15"/>
    <w:rsid w:val="00711238"/>
    <w:rsid w:val="0071206F"/>
    <w:rsid w:val="00712771"/>
    <w:rsid w:val="00720F84"/>
    <w:rsid w:val="0073320D"/>
    <w:rsid w:val="00736A80"/>
    <w:rsid w:val="00742D08"/>
    <w:rsid w:val="007460EB"/>
    <w:rsid w:val="00746C2A"/>
    <w:rsid w:val="007713DA"/>
    <w:rsid w:val="00792EEF"/>
    <w:rsid w:val="007A4530"/>
    <w:rsid w:val="007A6F30"/>
    <w:rsid w:val="007A7D7C"/>
    <w:rsid w:val="007B371D"/>
    <w:rsid w:val="007B4CF9"/>
    <w:rsid w:val="007D738A"/>
    <w:rsid w:val="007F0CF7"/>
    <w:rsid w:val="007F2858"/>
    <w:rsid w:val="007F717B"/>
    <w:rsid w:val="007F74C6"/>
    <w:rsid w:val="007F7552"/>
    <w:rsid w:val="00800D77"/>
    <w:rsid w:val="00804B8F"/>
    <w:rsid w:val="00804DE1"/>
    <w:rsid w:val="008057B4"/>
    <w:rsid w:val="008525B9"/>
    <w:rsid w:val="00854B7A"/>
    <w:rsid w:val="00870B23"/>
    <w:rsid w:val="00891E31"/>
    <w:rsid w:val="008A10B2"/>
    <w:rsid w:val="008B1C28"/>
    <w:rsid w:val="008C24CC"/>
    <w:rsid w:val="008C7E7C"/>
    <w:rsid w:val="008D1D7F"/>
    <w:rsid w:val="008F64E9"/>
    <w:rsid w:val="008F77EE"/>
    <w:rsid w:val="00903F65"/>
    <w:rsid w:val="00904EA2"/>
    <w:rsid w:val="00940831"/>
    <w:rsid w:val="00950339"/>
    <w:rsid w:val="00960FAA"/>
    <w:rsid w:val="009626AA"/>
    <w:rsid w:val="0097726C"/>
    <w:rsid w:val="0098145D"/>
    <w:rsid w:val="009830FD"/>
    <w:rsid w:val="009918C4"/>
    <w:rsid w:val="009921F7"/>
    <w:rsid w:val="009A084D"/>
    <w:rsid w:val="009B005C"/>
    <w:rsid w:val="009B0125"/>
    <w:rsid w:val="009B58AF"/>
    <w:rsid w:val="009B6259"/>
    <w:rsid w:val="009C379C"/>
    <w:rsid w:val="009D40D8"/>
    <w:rsid w:val="009D718A"/>
    <w:rsid w:val="009E1B35"/>
    <w:rsid w:val="009E74AD"/>
    <w:rsid w:val="009F29D5"/>
    <w:rsid w:val="009F3F06"/>
    <w:rsid w:val="00A05634"/>
    <w:rsid w:val="00A127DE"/>
    <w:rsid w:val="00A24A6E"/>
    <w:rsid w:val="00A55870"/>
    <w:rsid w:val="00A62859"/>
    <w:rsid w:val="00A6428F"/>
    <w:rsid w:val="00A73B46"/>
    <w:rsid w:val="00A82D19"/>
    <w:rsid w:val="00A93B61"/>
    <w:rsid w:val="00A950CC"/>
    <w:rsid w:val="00A96029"/>
    <w:rsid w:val="00AA1054"/>
    <w:rsid w:val="00AB3F05"/>
    <w:rsid w:val="00AC1815"/>
    <w:rsid w:val="00AC36A7"/>
    <w:rsid w:val="00AD1BB4"/>
    <w:rsid w:val="00AE1D23"/>
    <w:rsid w:val="00AF121D"/>
    <w:rsid w:val="00B029F9"/>
    <w:rsid w:val="00B0524B"/>
    <w:rsid w:val="00B16C30"/>
    <w:rsid w:val="00B273B0"/>
    <w:rsid w:val="00B418A3"/>
    <w:rsid w:val="00B533A2"/>
    <w:rsid w:val="00B5658A"/>
    <w:rsid w:val="00B62C32"/>
    <w:rsid w:val="00B85A0D"/>
    <w:rsid w:val="00B90446"/>
    <w:rsid w:val="00BA14F2"/>
    <w:rsid w:val="00BA5BFE"/>
    <w:rsid w:val="00BB4944"/>
    <w:rsid w:val="00BD0C60"/>
    <w:rsid w:val="00BD6DE7"/>
    <w:rsid w:val="00BE2645"/>
    <w:rsid w:val="00BE67F0"/>
    <w:rsid w:val="00C00770"/>
    <w:rsid w:val="00C064EA"/>
    <w:rsid w:val="00C3372B"/>
    <w:rsid w:val="00C358B5"/>
    <w:rsid w:val="00C42CBD"/>
    <w:rsid w:val="00C4451C"/>
    <w:rsid w:val="00C51B18"/>
    <w:rsid w:val="00C5461F"/>
    <w:rsid w:val="00C57D81"/>
    <w:rsid w:val="00C61A3F"/>
    <w:rsid w:val="00C63FD3"/>
    <w:rsid w:val="00C70626"/>
    <w:rsid w:val="00C95434"/>
    <w:rsid w:val="00CA27D4"/>
    <w:rsid w:val="00CA2A45"/>
    <w:rsid w:val="00CA6F63"/>
    <w:rsid w:val="00CC62F4"/>
    <w:rsid w:val="00CC75B4"/>
    <w:rsid w:val="00CE3455"/>
    <w:rsid w:val="00CF0115"/>
    <w:rsid w:val="00CF0E73"/>
    <w:rsid w:val="00CF47E1"/>
    <w:rsid w:val="00CF6E94"/>
    <w:rsid w:val="00D0634E"/>
    <w:rsid w:val="00D1386F"/>
    <w:rsid w:val="00D156EC"/>
    <w:rsid w:val="00D320C3"/>
    <w:rsid w:val="00D83A19"/>
    <w:rsid w:val="00DA0D89"/>
    <w:rsid w:val="00DA3C8F"/>
    <w:rsid w:val="00DB35E3"/>
    <w:rsid w:val="00DC6FE4"/>
    <w:rsid w:val="00DD0014"/>
    <w:rsid w:val="00DD5690"/>
    <w:rsid w:val="00DE1B2B"/>
    <w:rsid w:val="00DE7187"/>
    <w:rsid w:val="00DF0E83"/>
    <w:rsid w:val="00DF2823"/>
    <w:rsid w:val="00DF3D1C"/>
    <w:rsid w:val="00E055F9"/>
    <w:rsid w:val="00E11158"/>
    <w:rsid w:val="00E23166"/>
    <w:rsid w:val="00E27593"/>
    <w:rsid w:val="00E33B82"/>
    <w:rsid w:val="00E37D7D"/>
    <w:rsid w:val="00E42839"/>
    <w:rsid w:val="00E43D1B"/>
    <w:rsid w:val="00E43E56"/>
    <w:rsid w:val="00E46E07"/>
    <w:rsid w:val="00E509DB"/>
    <w:rsid w:val="00E51087"/>
    <w:rsid w:val="00E525FE"/>
    <w:rsid w:val="00E751D8"/>
    <w:rsid w:val="00E90C93"/>
    <w:rsid w:val="00E91FB3"/>
    <w:rsid w:val="00E9483C"/>
    <w:rsid w:val="00E95915"/>
    <w:rsid w:val="00E97DAA"/>
    <w:rsid w:val="00EA7263"/>
    <w:rsid w:val="00EB5181"/>
    <w:rsid w:val="00EC7D20"/>
    <w:rsid w:val="00EE0078"/>
    <w:rsid w:val="00EE1486"/>
    <w:rsid w:val="00EE5C90"/>
    <w:rsid w:val="00EE7267"/>
    <w:rsid w:val="00EF18FB"/>
    <w:rsid w:val="00F05D98"/>
    <w:rsid w:val="00F3084E"/>
    <w:rsid w:val="00F347DB"/>
    <w:rsid w:val="00F3591D"/>
    <w:rsid w:val="00F572D6"/>
    <w:rsid w:val="00F6067C"/>
    <w:rsid w:val="00F6299C"/>
    <w:rsid w:val="00F65DD0"/>
    <w:rsid w:val="00F67637"/>
    <w:rsid w:val="00F739E9"/>
    <w:rsid w:val="00F7709D"/>
    <w:rsid w:val="00F838D5"/>
    <w:rsid w:val="00FA5733"/>
    <w:rsid w:val="00FA5D36"/>
    <w:rsid w:val="00FB0456"/>
    <w:rsid w:val="00FB04BE"/>
    <w:rsid w:val="00FE2E5A"/>
    <w:rsid w:val="00FF5BE3"/>
    <w:rsid w:val="017B5D79"/>
    <w:rsid w:val="0183426C"/>
    <w:rsid w:val="01C6407E"/>
    <w:rsid w:val="01EE19B6"/>
    <w:rsid w:val="01EE5E5A"/>
    <w:rsid w:val="049523C1"/>
    <w:rsid w:val="04F97CCA"/>
    <w:rsid w:val="065555BF"/>
    <w:rsid w:val="070E2695"/>
    <w:rsid w:val="07F02019"/>
    <w:rsid w:val="0A14667A"/>
    <w:rsid w:val="0B2D782B"/>
    <w:rsid w:val="0C300E1D"/>
    <w:rsid w:val="0E247E54"/>
    <w:rsid w:val="0E7A578B"/>
    <w:rsid w:val="0F00261C"/>
    <w:rsid w:val="107739E8"/>
    <w:rsid w:val="109D6F02"/>
    <w:rsid w:val="10CC55B8"/>
    <w:rsid w:val="119E71F5"/>
    <w:rsid w:val="11CB5DFD"/>
    <w:rsid w:val="11CE2C72"/>
    <w:rsid w:val="11F56D91"/>
    <w:rsid w:val="1206249F"/>
    <w:rsid w:val="15656977"/>
    <w:rsid w:val="156C1118"/>
    <w:rsid w:val="15E15640"/>
    <w:rsid w:val="16AE717B"/>
    <w:rsid w:val="17677CE7"/>
    <w:rsid w:val="17A07CDA"/>
    <w:rsid w:val="17B84735"/>
    <w:rsid w:val="181E3EC5"/>
    <w:rsid w:val="19572ABE"/>
    <w:rsid w:val="1A2E46C4"/>
    <w:rsid w:val="1B33700C"/>
    <w:rsid w:val="1C764385"/>
    <w:rsid w:val="1CE5103E"/>
    <w:rsid w:val="1ED7674D"/>
    <w:rsid w:val="1F8D7C0B"/>
    <w:rsid w:val="20AF15DB"/>
    <w:rsid w:val="21AB77A1"/>
    <w:rsid w:val="21E9493A"/>
    <w:rsid w:val="22251B98"/>
    <w:rsid w:val="223034CD"/>
    <w:rsid w:val="223C40BF"/>
    <w:rsid w:val="224F6839"/>
    <w:rsid w:val="2262572B"/>
    <w:rsid w:val="22A7686E"/>
    <w:rsid w:val="235A2249"/>
    <w:rsid w:val="23DB3F63"/>
    <w:rsid w:val="23F93CED"/>
    <w:rsid w:val="24370A13"/>
    <w:rsid w:val="24465EFD"/>
    <w:rsid w:val="261F593F"/>
    <w:rsid w:val="264E35F1"/>
    <w:rsid w:val="2794650F"/>
    <w:rsid w:val="27A137C5"/>
    <w:rsid w:val="27E7113F"/>
    <w:rsid w:val="28BA4CA4"/>
    <w:rsid w:val="28F17E5A"/>
    <w:rsid w:val="293746B6"/>
    <w:rsid w:val="29EA365B"/>
    <w:rsid w:val="2A956875"/>
    <w:rsid w:val="2B3631F4"/>
    <w:rsid w:val="2C433892"/>
    <w:rsid w:val="2C946F5F"/>
    <w:rsid w:val="2D76092E"/>
    <w:rsid w:val="2D8C5D2A"/>
    <w:rsid w:val="2E2A24F3"/>
    <w:rsid w:val="2E4647A4"/>
    <w:rsid w:val="2E7712D2"/>
    <w:rsid w:val="2EBD3D50"/>
    <w:rsid w:val="2EFF012B"/>
    <w:rsid w:val="2F2D7D98"/>
    <w:rsid w:val="2F98270C"/>
    <w:rsid w:val="2FE3015E"/>
    <w:rsid w:val="311862D7"/>
    <w:rsid w:val="314C0AFD"/>
    <w:rsid w:val="325D51CE"/>
    <w:rsid w:val="328A7DFC"/>
    <w:rsid w:val="32BE4D76"/>
    <w:rsid w:val="32C81412"/>
    <w:rsid w:val="333C0424"/>
    <w:rsid w:val="33723946"/>
    <w:rsid w:val="33F15422"/>
    <w:rsid w:val="343E41D6"/>
    <w:rsid w:val="34DB41A2"/>
    <w:rsid w:val="35A45FF2"/>
    <w:rsid w:val="35D501BC"/>
    <w:rsid w:val="35ED23EA"/>
    <w:rsid w:val="377C5B85"/>
    <w:rsid w:val="386D45D5"/>
    <w:rsid w:val="38EF7122"/>
    <w:rsid w:val="3A1054F9"/>
    <w:rsid w:val="3C990195"/>
    <w:rsid w:val="3CFC0724"/>
    <w:rsid w:val="3D725FAB"/>
    <w:rsid w:val="3F855194"/>
    <w:rsid w:val="40300E10"/>
    <w:rsid w:val="40A418D2"/>
    <w:rsid w:val="410114B3"/>
    <w:rsid w:val="41A373AE"/>
    <w:rsid w:val="41D1126B"/>
    <w:rsid w:val="41EA240C"/>
    <w:rsid w:val="41F1637D"/>
    <w:rsid w:val="434057B6"/>
    <w:rsid w:val="443E4C7C"/>
    <w:rsid w:val="448500D7"/>
    <w:rsid w:val="44C47D79"/>
    <w:rsid w:val="454300F1"/>
    <w:rsid w:val="460F5E9A"/>
    <w:rsid w:val="469836BD"/>
    <w:rsid w:val="47A81BD4"/>
    <w:rsid w:val="47E96367"/>
    <w:rsid w:val="48D53BBB"/>
    <w:rsid w:val="4A29327C"/>
    <w:rsid w:val="4B7C2CA2"/>
    <w:rsid w:val="4D61085B"/>
    <w:rsid w:val="4DC2676B"/>
    <w:rsid w:val="4DF47921"/>
    <w:rsid w:val="4E391412"/>
    <w:rsid w:val="4ED46D2F"/>
    <w:rsid w:val="502E7353"/>
    <w:rsid w:val="51B34A16"/>
    <w:rsid w:val="529556D0"/>
    <w:rsid w:val="52F82D14"/>
    <w:rsid w:val="53B042EA"/>
    <w:rsid w:val="53B8703C"/>
    <w:rsid w:val="555F668F"/>
    <w:rsid w:val="576015AA"/>
    <w:rsid w:val="57F8248F"/>
    <w:rsid w:val="589E4491"/>
    <w:rsid w:val="595653E6"/>
    <w:rsid w:val="5A1465A0"/>
    <w:rsid w:val="5A61633E"/>
    <w:rsid w:val="5BE2009F"/>
    <w:rsid w:val="5C692859"/>
    <w:rsid w:val="5CCB2E66"/>
    <w:rsid w:val="5D3729BA"/>
    <w:rsid w:val="5DD64418"/>
    <w:rsid w:val="5F1C2834"/>
    <w:rsid w:val="5F253E4C"/>
    <w:rsid w:val="5FCA3512"/>
    <w:rsid w:val="60181C81"/>
    <w:rsid w:val="601A5E43"/>
    <w:rsid w:val="60367BD9"/>
    <w:rsid w:val="604444D1"/>
    <w:rsid w:val="60EF1139"/>
    <w:rsid w:val="61F46C76"/>
    <w:rsid w:val="62CE052D"/>
    <w:rsid w:val="63DA2CBD"/>
    <w:rsid w:val="64421FF9"/>
    <w:rsid w:val="65BF7904"/>
    <w:rsid w:val="66BC2FDC"/>
    <w:rsid w:val="67744CBA"/>
    <w:rsid w:val="679019F7"/>
    <w:rsid w:val="67E26C44"/>
    <w:rsid w:val="67E5006B"/>
    <w:rsid w:val="67E759A9"/>
    <w:rsid w:val="68631113"/>
    <w:rsid w:val="6A3749C6"/>
    <w:rsid w:val="6A4C654C"/>
    <w:rsid w:val="6D16193B"/>
    <w:rsid w:val="712138AD"/>
    <w:rsid w:val="7143510B"/>
    <w:rsid w:val="71D37197"/>
    <w:rsid w:val="71DF6F94"/>
    <w:rsid w:val="72B8021E"/>
    <w:rsid w:val="74B93FC4"/>
    <w:rsid w:val="759230CE"/>
    <w:rsid w:val="76353AB5"/>
    <w:rsid w:val="77170F04"/>
    <w:rsid w:val="77AE203F"/>
    <w:rsid w:val="77F558E4"/>
    <w:rsid w:val="77F9523C"/>
    <w:rsid w:val="79A35C54"/>
    <w:rsid w:val="7A530D70"/>
    <w:rsid w:val="7B452B70"/>
    <w:rsid w:val="7BA3070B"/>
    <w:rsid w:val="7D0D15B6"/>
    <w:rsid w:val="7DA80D81"/>
    <w:rsid w:val="7E6D5641"/>
    <w:rsid w:val="7FE505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20"/>
    <w:autoRedefine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9"/>
    <w:autoRedefine/>
    <w:semiHidden/>
    <w:unhideWhenUsed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semiHidden/>
    <w:unhideWhenUsed/>
    <w:qFormat/>
    <w:uiPriority w:val="0"/>
    <w:rPr>
      <w:sz w:val="21"/>
      <w:szCs w:val="21"/>
    </w:rPr>
  </w:style>
  <w:style w:type="paragraph" w:customStyle="1" w:styleId="11">
    <w:name w:val="Table Paragraph"/>
    <w:basedOn w:val="1"/>
    <w:autoRedefine/>
    <w:qFormat/>
    <w:uiPriority w:val="0"/>
    <w:pPr>
      <w:jc w:val="left"/>
    </w:pPr>
    <w:rPr>
      <w:kern w:val="0"/>
      <w:sz w:val="22"/>
      <w:szCs w:val="22"/>
    </w:rPr>
  </w:style>
  <w:style w:type="table" w:customStyle="1" w:styleId="12">
    <w:name w:val="Table Normal"/>
    <w:basedOn w:val="7"/>
    <w:autoRedefine/>
    <w:semiHidden/>
    <w:qFormat/>
    <w:uiPriority w:val="0"/>
    <w:tblPr>
      <w:tblCellMar>
        <w:left w:w="0" w:type="dxa"/>
        <w:right w:w="0" w:type="dxa"/>
      </w:tblCellMar>
    </w:tblPr>
  </w:style>
  <w:style w:type="character" w:customStyle="1" w:styleId="13">
    <w:name w:val="页眉 字符"/>
    <w:link w:val="5"/>
    <w:autoRedefine/>
    <w:qFormat/>
    <w:uiPriority w:val="0"/>
    <w:rPr>
      <w:rFonts w:cs="Times New Roman"/>
      <w:kern w:val="2"/>
      <w:sz w:val="18"/>
      <w:szCs w:val="18"/>
    </w:rPr>
  </w:style>
  <w:style w:type="character" w:customStyle="1" w:styleId="14">
    <w:name w:val="页脚 字符"/>
    <w:link w:val="4"/>
    <w:autoRedefine/>
    <w:qFormat/>
    <w:uiPriority w:val="0"/>
    <w:rPr>
      <w:rFonts w:cs="Times New Roman"/>
      <w:kern w:val="2"/>
      <w:sz w:val="18"/>
      <w:szCs w:val="18"/>
    </w:rPr>
  </w:style>
  <w:style w:type="paragraph" w:customStyle="1" w:styleId="15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16">
    <w:name w:val="oli-avatar-text"/>
    <w:basedOn w:val="9"/>
    <w:autoRedefine/>
    <w:qFormat/>
    <w:uiPriority w:val="0"/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批注文字 字符"/>
    <w:basedOn w:val="9"/>
    <w:link w:val="2"/>
    <w:autoRedefine/>
    <w:semiHidden/>
    <w:qFormat/>
    <w:uiPriority w:val="0"/>
    <w:rPr>
      <w:rFonts w:cs="Times New Roman"/>
      <w:kern w:val="2"/>
      <w:sz w:val="21"/>
      <w:szCs w:val="24"/>
    </w:rPr>
  </w:style>
  <w:style w:type="character" w:customStyle="1" w:styleId="19">
    <w:name w:val="批注主题 字符"/>
    <w:basedOn w:val="18"/>
    <w:link w:val="6"/>
    <w:autoRedefine/>
    <w:semiHidden/>
    <w:qFormat/>
    <w:uiPriority w:val="0"/>
    <w:rPr>
      <w:rFonts w:cs="Times New Roman"/>
      <w:b/>
      <w:bCs/>
      <w:kern w:val="2"/>
      <w:sz w:val="21"/>
      <w:szCs w:val="24"/>
    </w:rPr>
  </w:style>
  <w:style w:type="character" w:customStyle="1" w:styleId="20">
    <w:name w:val="批注框文本 字符"/>
    <w:basedOn w:val="9"/>
    <w:link w:val="3"/>
    <w:autoRedefine/>
    <w:semiHidden/>
    <w:qFormat/>
    <w:uiPriority w:val="0"/>
    <w:rPr>
      <w:rFonts w:cs="Times New Roman"/>
      <w:kern w:val="2"/>
      <w:sz w:val="18"/>
      <w:szCs w:val="18"/>
    </w:rPr>
  </w:style>
  <w:style w:type="paragraph" w:customStyle="1" w:styleId="2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22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修订2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1278</Words>
  <Characters>1312</Characters>
  <Lines>10</Lines>
  <Paragraphs>2</Paragraphs>
  <TotalTime>1</TotalTime>
  <ScaleCrop>false</ScaleCrop>
  <LinksUpToDate>false</LinksUpToDate>
  <CharactersWithSpaces>1387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2026-04-30T09:42:00Z</dcterms:created>
  <dc:creator>86186</dc:creator>
  <cp:lastModifiedBy>No、</cp:lastModifiedBy>
  <cp:lastPrinted>2022-03-16T07:42:00Z</cp:lastPrinted>
  <dcterms:modified xsi:type="dcterms:W3CDTF">2026-09-01T08:55:17Z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F549F0DC7F2B42429F9A3A13885BB1FA_13</vt:lpwstr>
  </property>
  <property fmtid="{D5CDD505-2E9C-101B-9397-08002B2CF9AE}" pid="4" name="KSOTemplateDocerSaveRecord">
    <vt:lpwstr>eyJoZGlkIjoiNTU0ZmIwYTQ3NzlmZGUxZmU3Zjk0M2IyZTNmM2IxNjAiLCJ1c2VySWQiOiIzMDI2MTkyOTMifQ==</vt:lpwstr>
  </property>
</Properties>
</file>