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02FFF" w14:textId="77777777" w:rsidR="00DC579F" w:rsidRDefault="00000000">
      <w:pPr>
        <w:pStyle w:val="1"/>
        <w:rPr>
          <w:rFonts w:ascii="宋体" w:eastAsia="宋体" w:hAnsi="宋体" w:cs="宋体" w:hint="eastAsia"/>
          <w:sz w:val="20"/>
          <w:szCs w:val="20"/>
          <w:lang w:val="en-US"/>
        </w:rPr>
      </w:pPr>
      <w:r>
        <w:rPr>
          <w:rFonts w:ascii="宋体" w:eastAsia="宋体" w:hAnsi="宋体" w:cs="宋体" w:hint="eastAsia"/>
          <w:sz w:val="20"/>
          <w:szCs w:val="20"/>
          <w:lang w:val="en-US"/>
        </w:rPr>
        <w:t>证券代码：</w:t>
      </w:r>
      <w:r>
        <w:rPr>
          <w:rFonts w:ascii="宋体" w:eastAsia="宋体" w:hAnsi="宋体" w:cs="宋体"/>
          <w:sz w:val="20"/>
          <w:szCs w:val="20"/>
          <w:lang w:val="en-US"/>
        </w:rPr>
        <w:t>603130</w:t>
      </w:r>
      <w:r>
        <w:rPr>
          <w:rFonts w:ascii="宋体" w:eastAsia="宋体" w:hAnsi="宋体" w:cs="宋体" w:hint="eastAsia"/>
          <w:sz w:val="20"/>
          <w:szCs w:val="20"/>
          <w:lang w:val="en-US"/>
        </w:rPr>
        <w:t xml:space="preserve">   </w:t>
      </w:r>
      <w:r>
        <w:rPr>
          <w:rFonts w:ascii="宋体" w:eastAsia="宋体" w:hAnsi="宋体" w:cs="宋体" w:hint="eastAsia"/>
          <w:sz w:val="21"/>
          <w:szCs w:val="21"/>
          <w:lang w:val="en-US"/>
        </w:rPr>
        <w:t xml:space="preserve">                                      </w:t>
      </w:r>
      <w:r>
        <w:rPr>
          <w:rFonts w:ascii="宋体" w:eastAsia="宋体" w:hAnsi="宋体" w:cs="宋体" w:hint="eastAsia"/>
          <w:sz w:val="20"/>
          <w:szCs w:val="20"/>
          <w:lang w:val="en-US"/>
        </w:rPr>
        <w:t>证券简称：云中马</w:t>
      </w:r>
    </w:p>
    <w:p w14:paraId="6B182DEA" w14:textId="77777777" w:rsidR="00DC579F" w:rsidRDefault="00DC579F">
      <w:pPr>
        <w:spacing w:line="360" w:lineRule="auto"/>
        <w:jc w:val="center"/>
        <w:rPr>
          <w:rFonts w:ascii="宋体" w:eastAsia="宋体" w:hAnsi="宋体" w:cs="宋体" w:hint="eastAsia"/>
          <w:b/>
          <w:bCs/>
          <w:sz w:val="44"/>
          <w:szCs w:val="44"/>
          <w:lang w:val="en-US"/>
        </w:rPr>
      </w:pPr>
    </w:p>
    <w:p w14:paraId="56708E0A" w14:textId="77777777" w:rsidR="00DC579F" w:rsidRDefault="00000000">
      <w:pPr>
        <w:spacing w:line="360" w:lineRule="auto"/>
        <w:jc w:val="center"/>
        <w:rPr>
          <w:rFonts w:ascii="宋体" w:eastAsia="宋体" w:hAnsi="宋体" w:cs="宋体" w:hint="eastAsia"/>
          <w:b/>
          <w:bCs/>
          <w:sz w:val="44"/>
          <w:szCs w:val="44"/>
        </w:rPr>
      </w:pPr>
      <w:r>
        <w:rPr>
          <w:rFonts w:ascii="宋体" w:eastAsia="宋体" w:hAnsi="宋体" w:cs="宋体" w:hint="eastAsia"/>
          <w:b/>
          <w:bCs/>
          <w:sz w:val="44"/>
          <w:szCs w:val="44"/>
        </w:rPr>
        <w:t>浙江云中马股份有限公司</w:t>
      </w:r>
    </w:p>
    <w:p w14:paraId="42D78904" w14:textId="77777777" w:rsidR="00DC579F" w:rsidRDefault="00000000">
      <w:pPr>
        <w:spacing w:line="360" w:lineRule="auto"/>
        <w:jc w:val="center"/>
        <w:rPr>
          <w:rFonts w:ascii="宋体" w:eastAsia="宋体" w:hAnsi="宋体" w:cs="宋体" w:hint="eastAsia"/>
          <w:sz w:val="44"/>
          <w:szCs w:val="44"/>
        </w:rPr>
      </w:pPr>
      <w:bookmarkStart w:id="0" w:name="OLE_LINK1"/>
      <w:bookmarkStart w:id="1" w:name="OLE_LINK2"/>
      <w:r>
        <w:rPr>
          <w:rFonts w:ascii="宋体" w:eastAsia="宋体" w:hAnsi="宋体" w:cs="宋体" w:hint="eastAsia"/>
          <w:b/>
          <w:bCs/>
          <w:sz w:val="44"/>
          <w:szCs w:val="44"/>
        </w:rPr>
        <w:t>投资者关系活动记录表</w:t>
      </w:r>
      <w:bookmarkEnd w:id="0"/>
    </w:p>
    <w:bookmarkEnd w:id="1"/>
    <w:p w14:paraId="00F331B0" w14:textId="77777777" w:rsidR="00DC579F" w:rsidRDefault="00000000">
      <w:pPr>
        <w:wordWrap w:val="0"/>
        <w:spacing w:before="51" w:after="32" w:line="360" w:lineRule="auto"/>
        <w:ind w:right="219"/>
        <w:jc w:val="right"/>
        <w:rPr>
          <w:rFonts w:ascii="宋体" w:eastAsia="宋体" w:hAnsi="宋体" w:cs="宋体" w:hint="eastAsia"/>
          <w:sz w:val="20"/>
          <w:szCs w:val="20"/>
          <w:lang w:val="en-US"/>
        </w:rPr>
      </w:pPr>
      <w:r>
        <w:rPr>
          <w:rFonts w:ascii="宋体" w:eastAsia="宋体" w:hAnsi="宋体" w:cs="宋体" w:hint="eastAsia"/>
          <w:sz w:val="20"/>
          <w:szCs w:val="20"/>
        </w:rPr>
        <w:t>编号：</w:t>
      </w:r>
      <w:r>
        <w:rPr>
          <w:rFonts w:ascii="宋体" w:eastAsia="宋体" w:hAnsi="宋体" w:cs="宋体" w:hint="eastAsia"/>
          <w:sz w:val="20"/>
          <w:szCs w:val="20"/>
          <w:lang w:val="en-US"/>
        </w:rPr>
        <w:t>2026</w:t>
      </w:r>
      <w:r>
        <w:rPr>
          <w:rFonts w:ascii="宋体" w:eastAsia="宋体" w:hAnsi="宋体" w:cs="宋体" w:hint="eastAsia"/>
          <w:sz w:val="20"/>
          <w:szCs w:val="20"/>
        </w:rPr>
        <w:t xml:space="preserve"> -</w:t>
      </w:r>
      <w:r>
        <w:rPr>
          <w:rFonts w:ascii="宋体" w:eastAsia="宋体" w:hAnsi="宋体" w:cs="宋体"/>
          <w:sz w:val="20"/>
          <w:szCs w:val="20"/>
        </w:rPr>
        <w:t xml:space="preserve"> 00</w:t>
      </w:r>
      <w:r>
        <w:rPr>
          <w:rFonts w:ascii="宋体" w:eastAsia="宋体" w:hAnsi="宋体" w:cs="宋体" w:hint="eastAsia"/>
          <w:sz w:val="20"/>
          <w:szCs w:val="20"/>
          <w:lang w:val="en-US"/>
        </w:rPr>
        <w:t>3</w:t>
      </w:r>
    </w:p>
    <w:tbl>
      <w:tblPr>
        <w:tblW w:w="85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4A0" w:firstRow="1" w:lastRow="0" w:firstColumn="1" w:lastColumn="0" w:noHBand="0" w:noVBand="1"/>
      </w:tblPr>
      <w:tblGrid>
        <w:gridCol w:w="2580"/>
        <w:gridCol w:w="5945"/>
      </w:tblGrid>
      <w:tr w:rsidR="00DC579F" w14:paraId="2E2481D1" w14:textId="77777777">
        <w:trPr>
          <w:trHeight w:val="2801"/>
          <w:jc w:val="center"/>
        </w:trPr>
        <w:tc>
          <w:tcPr>
            <w:tcW w:w="2580" w:type="dxa"/>
          </w:tcPr>
          <w:p w14:paraId="406FAD60" w14:textId="77777777" w:rsidR="00DC579F" w:rsidRDefault="00000000">
            <w:pPr>
              <w:pStyle w:val="TableParagraph"/>
              <w:spacing w:beforeLines="100" w:before="240"/>
              <w:ind w:leftChars="18" w:left="40"/>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t>投资者关系活动类别</w:t>
            </w:r>
          </w:p>
        </w:tc>
        <w:tc>
          <w:tcPr>
            <w:tcW w:w="5945" w:type="dxa"/>
          </w:tcPr>
          <w:p w14:paraId="1DF7C8D6" w14:textId="77777777" w:rsidR="00DC579F" w:rsidRDefault="00DC579F">
            <w:pPr>
              <w:pStyle w:val="TableParagraph"/>
              <w:spacing w:before="7"/>
              <w:rPr>
                <w:rFonts w:asciiTheme="minorEastAsia" w:eastAsiaTheme="minorEastAsia" w:hAnsiTheme="minorEastAsia" w:cstheme="minorEastAsia" w:hint="eastAsia"/>
                <w:sz w:val="20"/>
                <w:szCs w:val="20"/>
              </w:rPr>
            </w:pPr>
          </w:p>
          <w:p w14:paraId="30530D94" w14:textId="77777777" w:rsidR="00DC579F" w:rsidRDefault="00000000">
            <w:pPr>
              <w:pStyle w:val="TableParagraph"/>
              <w:tabs>
                <w:tab w:val="left" w:pos="2418"/>
              </w:tabs>
              <w:spacing w:before="1"/>
              <w:ind w:left="107"/>
              <w:rPr>
                <w:rFonts w:asciiTheme="minorEastAsia" w:eastAsiaTheme="minorEastAsia" w:hAnsiTheme="minorEastAsia" w:cstheme="minorEastAsia" w:hint="eastAsia"/>
                <w:sz w:val="20"/>
                <w:szCs w:val="20"/>
              </w:rPr>
            </w:pPr>
            <w:sdt>
              <w:sdtPr>
                <w:rPr>
                  <w:rFonts w:asciiTheme="minorEastAsia" w:eastAsiaTheme="minorEastAsia" w:hAnsiTheme="minorEastAsia" w:cstheme="minorEastAsia" w:hint="eastAsia"/>
                  <w:sz w:val="20"/>
                  <w:szCs w:val="20"/>
                </w:rPr>
                <w:id w:val="249780449"/>
                <w14:checkbox>
                  <w14:checked w14:val="0"/>
                  <w14:checkedState w14:val="0052" w14:font="Wingdings 2"/>
                  <w14:uncheckedState w14:val="2610" w14:font="MS Gothic"/>
                </w14:checkbox>
              </w:sdtPr>
              <w:sdtContent>
                <w:r>
                  <w:rPr>
                    <w:rFonts w:asciiTheme="minorEastAsia" w:eastAsiaTheme="minorEastAsia" w:hAnsiTheme="minorEastAsia" w:cstheme="minorEastAsia" w:hint="eastAsia"/>
                    <w:sz w:val="20"/>
                    <w:szCs w:val="20"/>
                  </w:rPr>
                  <w:t>☐</w:t>
                </w:r>
              </w:sdtContent>
            </w:sdt>
            <w:r>
              <w:rPr>
                <w:rFonts w:asciiTheme="minorEastAsia" w:eastAsiaTheme="minorEastAsia" w:hAnsiTheme="minorEastAsia" w:cstheme="minorEastAsia" w:hint="eastAsia"/>
                <w:sz w:val="20"/>
                <w:szCs w:val="20"/>
              </w:rPr>
              <w:t>特</w:t>
            </w:r>
            <w:r>
              <w:rPr>
                <w:rFonts w:asciiTheme="minorEastAsia" w:eastAsiaTheme="minorEastAsia" w:hAnsiTheme="minorEastAsia" w:cstheme="minorEastAsia" w:hint="eastAsia"/>
                <w:spacing w:val="-3"/>
                <w:sz w:val="20"/>
                <w:szCs w:val="20"/>
              </w:rPr>
              <w:t>定</w:t>
            </w:r>
            <w:r>
              <w:rPr>
                <w:rFonts w:asciiTheme="minorEastAsia" w:eastAsiaTheme="minorEastAsia" w:hAnsiTheme="minorEastAsia" w:cstheme="minorEastAsia" w:hint="eastAsia"/>
                <w:sz w:val="20"/>
                <w:szCs w:val="20"/>
              </w:rPr>
              <w:t>对</w:t>
            </w:r>
            <w:r>
              <w:rPr>
                <w:rFonts w:asciiTheme="minorEastAsia" w:eastAsiaTheme="minorEastAsia" w:hAnsiTheme="minorEastAsia" w:cstheme="minorEastAsia" w:hint="eastAsia"/>
                <w:spacing w:val="-3"/>
                <w:sz w:val="20"/>
                <w:szCs w:val="20"/>
              </w:rPr>
              <w:t>象</w:t>
            </w:r>
            <w:r>
              <w:rPr>
                <w:rFonts w:asciiTheme="minorEastAsia" w:eastAsiaTheme="minorEastAsia" w:hAnsiTheme="minorEastAsia" w:cstheme="minorEastAsia" w:hint="eastAsia"/>
                <w:sz w:val="20"/>
                <w:szCs w:val="20"/>
              </w:rPr>
              <w:t>调研</w:t>
            </w:r>
            <w:r>
              <w:rPr>
                <w:rFonts w:asciiTheme="minorEastAsia" w:eastAsiaTheme="minorEastAsia" w:hAnsiTheme="minorEastAsia" w:cstheme="minorEastAsia" w:hint="eastAsia"/>
                <w:sz w:val="20"/>
                <w:szCs w:val="20"/>
              </w:rPr>
              <w:tab/>
            </w:r>
            <w:sdt>
              <w:sdtPr>
                <w:rPr>
                  <w:rFonts w:asciiTheme="minorEastAsia" w:eastAsiaTheme="minorEastAsia" w:hAnsiTheme="minorEastAsia" w:cstheme="minorEastAsia" w:hint="eastAsia"/>
                  <w:sz w:val="20"/>
                  <w:szCs w:val="20"/>
                </w:rPr>
                <w:id w:val="-1"/>
                <w14:checkbox>
                  <w14:checked w14:val="1"/>
                  <w14:checkedState w14:val="0052" w14:font="Wingdings 2"/>
                  <w14:uncheckedState w14:val="2610" w14:font="MS Gothic"/>
                </w14:checkbox>
              </w:sdtPr>
              <w:sdtContent>
                <w:r>
                  <w:rPr>
                    <w:rFonts w:ascii="Wingdings 2" w:eastAsiaTheme="minorEastAsia" w:hAnsi="Wingdings 2" w:cstheme="minorEastAsia" w:hint="eastAsia"/>
                    <w:sz w:val="20"/>
                    <w:szCs w:val="20"/>
                  </w:rPr>
                  <w:t>R</w:t>
                </w:r>
              </w:sdtContent>
            </w:sdt>
            <w:r>
              <w:rPr>
                <w:rFonts w:asciiTheme="minorEastAsia" w:eastAsiaTheme="minorEastAsia" w:hAnsiTheme="minorEastAsia" w:cstheme="minorEastAsia" w:hint="eastAsia"/>
                <w:sz w:val="20"/>
                <w:szCs w:val="20"/>
              </w:rPr>
              <w:t>分</w:t>
            </w:r>
            <w:r>
              <w:rPr>
                <w:rFonts w:asciiTheme="minorEastAsia" w:eastAsiaTheme="minorEastAsia" w:hAnsiTheme="minorEastAsia" w:cstheme="minorEastAsia" w:hint="eastAsia"/>
                <w:spacing w:val="-3"/>
                <w:sz w:val="20"/>
                <w:szCs w:val="20"/>
              </w:rPr>
              <w:t>析</w:t>
            </w:r>
            <w:r>
              <w:rPr>
                <w:rFonts w:asciiTheme="minorEastAsia" w:eastAsiaTheme="minorEastAsia" w:hAnsiTheme="minorEastAsia" w:cstheme="minorEastAsia" w:hint="eastAsia"/>
                <w:sz w:val="20"/>
                <w:szCs w:val="20"/>
              </w:rPr>
              <w:t>师</w:t>
            </w:r>
            <w:r>
              <w:rPr>
                <w:rFonts w:asciiTheme="minorEastAsia" w:eastAsiaTheme="minorEastAsia" w:hAnsiTheme="minorEastAsia" w:cstheme="minorEastAsia" w:hint="eastAsia"/>
                <w:spacing w:val="-3"/>
                <w:sz w:val="20"/>
                <w:szCs w:val="20"/>
              </w:rPr>
              <w:t>会</w:t>
            </w:r>
            <w:r>
              <w:rPr>
                <w:rFonts w:asciiTheme="minorEastAsia" w:eastAsiaTheme="minorEastAsia" w:hAnsiTheme="minorEastAsia" w:cstheme="minorEastAsia" w:hint="eastAsia"/>
                <w:sz w:val="20"/>
                <w:szCs w:val="20"/>
              </w:rPr>
              <w:t>议</w:t>
            </w:r>
          </w:p>
          <w:p w14:paraId="3A385085" w14:textId="77777777" w:rsidR="00DC579F" w:rsidRDefault="00DC579F">
            <w:pPr>
              <w:pStyle w:val="TableParagraph"/>
              <w:spacing w:before="11"/>
              <w:rPr>
                <w:rFonts w:asciiTheme="minorEastAsia" w:eastAsiaTheme="minorEastAsia" w:hAnsiTheme="minorEastAsia" w:cstheme="minorEastAsia" w:hint="eastAsia"/>
                <w:sz w:val="20"/>
                <w:szCs w:val="20"/>
              </w:rPr>
            </w:pPr>
          </w:p>
          <w:p w14:paraId="7FE78F1A" w14:textId="77777777" w:rsidR="00DC579F" w:rsidRDefault="00000000">
            <w:pPr>
              <w:pStyle w:val="TableParagraph"/>
              <w:tabs>
                <w:tab w:val="left" w:pos="2418"/>
              </w:tabs>
              <w:ind w:left="107"/>
              <w:rPr>
                <w:rFonts w:asciiTheme="minorEastAsia" w:eastAsiaTheme="minorEastAsia" w:hAnsiTheme="minorEastAsia" w:cstheme="minorEastAsia" w:hint="eastAsia"/>
                <w:sz w:val="20"/>
                <w:szCs w:val="20"/>
              </w:rPr>
            </w:pPr>
            <w:sdt>
              <w:sdtPr>
                <w:rPr>
                  <w:rFonts w:asciiTheme="minorEastAsia" w:eastAsiaTheme="minorEastAsia" w:hAnsiTheme="minorEastAsia" w:cstheme="minorEastAsia" w:hint="eastAsia"/>
                  <w:sz w:val="20"/>
                  <w:szCs w:val="20"/>
                </w:rPr>
                <w:id w:val="1206906014"/>
                <w14:checkbox>
                  <w14:checked w14:val="0"/>
                  <w14:checkedState w14:val="0052" w14:font="Wingdings 2"/>
                  <w14:uncheckedState w14:val="2610" w14:font="MS Gothic"/>
                </w14:checkbox>
              </w:sdtPr>
              <w:sdtContent>
                <w:r>
                  <w:rPr>
                    <w:rFonts w:asciiTheme="minorEastAsia" w:eastAsiaTheme="minorEastAsia" w:hAnsiTheme="minorEastAsia" w:cstheme="minorEastAsia" w:hint="eastAsia"/>
                    <w:sz w:val="20"/>
                    <w:szCs w:val="20"/>
                  </w:rPr>
                  <w:t>☐</w:t>
                </w:r>
              </w:sdtContent>
            </w:sdt>
            <w:r>
              <w:rPr>
                <w:rFonts w:asciiTheme="minorEastAsia" w:eastAsiaTheme="minorEastAsia" w:hAnsiTheme="minorEastAsia" w:cstheme="minorEastAsia" w:hint="eastAsia"/>
                <w:sz w:val="20"/>
                <w:szCs w:val="20"/>
              </w:rPr>
              <w:t>媒</w:t>
            </w:r>
            <w:r>
              <w:rPr>
                <w:rFonts w:asciiTheme="minorEastAsia" w:eastAsiaTheme="minorEastAsia" w:hAnsiTheme="minorEastAsia" w:cstheme="minorEastAsia" w:hint="eastAsia"/>
                <w:spacing w:val="-3"/>
                <w:sz w:val="20"/>
                <w:szCs w:val="20"/>
              </w:rPr>
              <w:t>体</w:t>
            </w:r>
            <w:r>
              <w:rPr>
                <w:rFonts w:asciiTheme="minorEastAsia" w:eastAsiaTheme="minorEastAsia" w:hAnsiTheme="minorEastAsia" w:cstheme="minorEastAsia" w:hint="eastAsia"/>
                <w:sz w:val="20"/>
                <w:szCs w:val="20"/>
              </w:rPr>
              <w:t>采访</w:t>
            </w:r>
            <w:r>
              <w:rPr>
                <w:rFonts w:asciiTheme="minorEastAsia" w:eastAsiaTheme="minorEastAsia" w:hAnsiTheme="minorEastAsia" w:cstheme="minorEastAsia" w:hint="eastAsia"/>
                <w:sz w:val="20"/>
                <w:szCs w:val="20"/>
              </w:rPr>
              <w:tab/>
            </w:r>
            <w:sdt>
              <w:sdtPr>
                <w:rPr>
                  <w:rFonts w:asciiTheme="minorEastAsia" w:eastAsiaTheme="minorEastAsia" w:hAnsiTheme="minorEastAsia" w:cstheme="minorEastAsia" w:hint="eastAsia"/>
                  <w:sz w:val="20"/>
                  <w:szCs w:val="20"/>
                </w:rPr>
                <w:id w:val="25389592"/>
                <w14:checkbox>
                  <w14:checked w14:val="0"/>
                  <w14:checkedState w14:val="0052" w14:font="Wingdings 2"/>
                  <w14:uncheckedState w14:val="2610" w14:font="MS Gothic"/>
                </w14:checkbox>
              </w:sdtPr>
              <w:sdtContent>
                <w:r>
                  <w:rPr>
                    <w:rFonts w:asciiTheme="minorEastAsia" w:eastAsiaTheme="minorEastAsia" w:hAnsiTheme="minorEastAsia" w:cstheme="minorEastAsia" w:hint="eastAsia"/>
                    <w:sz w:val="20"/>
                    <w:szCs w:val="20"/>
                  </w:rPr>
                  <w:t>☐</w:t>
                </w:r>
              </w:sdtContent>
            </w:sdt>
            <w:r>
              <w:rPr>
                <w:rFonts w:asciiTheme="minorEastAsia" w:eastAsiaTheme="minorEastAsia" w:hAnsiTheme="minorEastAsia" w:cstheme="minorEastAsia" w:hint="eastAsia"/>
                <w:sz w:val="20"/>
                <w:szCs w:val="20"/>
              </w:rPr>
              <w:t>业</w:t>
            </w:r>
            <w:r>
              <w:rPr>
                <w:rFonts w:asciiTheme="minorEastAsia" w:eastAsiaTheme="minorEastAsia" w:hAnsiTheme="minorEastAsia" w:cstheme="minorEastAsia" w:hint="eastAsia"/>
                <w:spacing w:val="-3"/>
                <w:sz w:val="20"/>
                <w:szCs w:val="20"/>
              </w:rPr>
              <w:t>绩</w:t>
            </w:r>
            <w:r>
              <w:rPr>
                <w:rFonts w:asciiTheme="minorEastAsia" w:eastAsiaTheme="minorEastAsia" w:hAnsiTheme="minorEastAsia" w:cstheme="minorEastAsia" w:hint="eastAsia"/>
                <w:sz w:val="20"/>
                <w:szCs w:val="20"/>
              </w:rPr>
              <w:t>说</w:t>
            </w:r>
            <w:r>
              <w:rPr>
                <w:rFonts w:asciiTheme="minorEastAsia" w:eastAsiaTheme="minorEastAsia" w:hAnsiTheme="minorEastAsia" w:cstheme="minorEastAsia" w:hint="eastAsia"/>
                <w:spacing w:val="-3"/>
                <w:sz w:val="20"/>
                <w:szCs w:val="20"/>
              </w:rPr>
              <w:t>明</w:t>
            </w:r>
            <w:r>
              <w:rPr>
                <w:rFonts w:asciiTheme="minorEastAsia" w:eastAsiaTheme="minorEastAsia" w:hAnsiTheme="minorEastAsia" w:cstheme="minorEastAsia" w:hint="eastAsia"/>
                <w:sz w:val="20"/>
                <w:szCs w:val="20"/>
              </w:rPr>
              <w:t>会</w:t>
            </w:r>
          </w:p>
          <w:p w14:paraId="7CFF37EA" w14:textId="77777777" w:rsidR="00DC579F" w:rsidRDefault="00DC579F">
            <w:pPr>
              <w:pStyle w:val="TableParagraph"/>
              <w:spacing w:before="8"/>
              <w:rPr>
                <w:rFonts w:asciiTheme="minorEastAsia" w:eastAsiaTheme="minorEastAsia" w:hAnsiTheme="minorEastAsia" w:cstheme="minorEastAsia" w:hint="eastAsia"/>
                <w:sz w:val="20"/>
                <w:szCs w:val="20"/>
              </w:rPr>
            </w:pPr>
          </w:p>
          <w:p w14:paraId="7CD8FD91" w14:textId="77777777" w:rsidR="00DC579F" w:rsidRDefault="00000000">
            <w:pPr>
              <w:pStyle w:val="TableParagraph"/>
              <w:tabs>
                <w:tab w:val="left" w:pos="2418"/>
              </w:tabs>
              <w:ind w:left="107"/>
              <w:rPr>
                <w:rFonts w:asciiTheme="minorEastAsia" w:eastAsiaTheme="minorEastAsia" w:hAnsiTheme="minorEastAsia" w:cstheme="minorEastAsia" w:hint="eastAsia"/>
                <w:sz w:val="20"/>
                <w:szCs w:val="20"/>
              </w:rPr>
            </w:pPr>
            <w:sdt>
              <w:sdtPr>
                <w:rPr>
                  <w:rFonts w:asciiTheme="minorEastAsia" w:eastAsiaTheme="minorEastAsia" w:hAnsiTheme="minorEastAsia" w:cstheme="minorEastAsia" w:hint="eastAsia"/>
                  <w:sz w:val="20"/>
                  <w:szCs w:val="20"/>
                </w:rPr>
                <w:id w:val="166605569"/>
                <w14:checkbox>
                  <w14:checked w14:val="0"/>
                  <w14:checkedState w14:val="0052" w14:font="Wingdings 2"/>
                  <w14:uncheckedState w14:val="2610" w14:font="MS Gothic"/>
                </w14:checkbox>
              </w:sdtPr>
              <w:sdtContent>
                <w:r>
                  <w:rPr>
                    <w:rFonts w:asciiTheme="minorEastAsia" w:eastAsiaTheme="minorEastAsia" w:hAnsiTheme="minorEastAsia" w:cstheme="minorEastAsia" w:hint="eastAsia"/>
                    <w:sz w:val="20"/>
                    <w:szCs w:val="20"/>
                  </w:rPr>
                  <w:t>☐</w:t>
                </w:r>
              </w:sdtContent>
            </w:sdt>
            <w:r>
              <w:rPr>
                <w:rFonts w:asciiTheme="minorEastAsia" w:eastAsiaTheme="minorEastAsia" w:hAnsiTheme="minorEastAsia" w:cstheme="minorEastAsia" w:hint="eastAsia"/>
                <w:sz w:val="20"/>
                <w:szCs w:val="20"/>
              </w:rPr>
              <w:t>新</w:t>
            </w:r>
            <w:r>
              <w:rPr>
                <w:rFonts w:asciiTheme="minorEastAsia" w:eastAsiaTheme="minorEastAsia" w:hAnsiTheme="minorEastAsia" w:cstheme="minorEastAsia" w:hint="eastAsia"/>
                <w:spacing w:val="-3"/>
                <w:sz w:val="20"/>
                <w:szCs w:val="20"/>
              </w:rPr>
              <w:t>闻</w:t>
            </w:r>
            <w:r>
              <w:rPr>
                <w:rFonts w:asciiTheme="minorEastAsia" w:eastAsiaTheme="minorEastAsia" w:hAnsiTheme="minorEastAsia" w:cstheme="minorEastAsia" w:hint="eastAsia"/>
                <w:sz w:val="20"/>
                <w:szCs w:val="20"/>
              </w:rPr>
              <w:t>发</w:t>
            </w:r>
            <w:r>
              <w:rPr>
                <w:rFonts w:asciiTheme="minorEastAsia" w:eastAsiaTheme="minorEastAsia" w:hAnsiTheme="minorEastAsia" w:cstheme="minorEastAsia" w:hint="eastAsia"/>
                <w:spacing w:val="-3"/>
                <w:sz w:val="20"/>
                <w:szCs w:val="20"/>
              </w:rPr>
              <w:t>布</w:t>
            </w:r>
            <w:r>
              <w:rPr>
                <w:rFonts w:asciiTheme="minorEastAsia" w:eastAsiaTheme="minorEastAsia" w:hAnsiTheme="minorEastAsia" w:cstheme="minorEastAsia" w:hint="eastAsia"/>
                <w:sz w:val="20"/>
                <w:szCs w:val="20"/>
              </w:rPr>
              <w:t>会</w:t>
            </w:r>
            <w:r>
              <w:rPr>
                <w:rFonts w:asciiTheme="minorEastAsia" w:eastAsiaTheme="minorEastAsia" w:hAnsiTheme="minorEastAsia" w:cstheme="minorEastAsia" w:hint="eastAsia"/>
                <w:sz w:val="20"/>
                <w:szCs w:val="20"/>
              </w:rPr>
              <w:tab/>
            </w:r>
            <w:sdt>
              <w:sdtPr>
                <w:rPr>
                  <w:rFonts w:asciiTheme="minorEastAsia" w:eastAsiaTheme="minorEastAsia" w:hAnsiTheme="minorEastAsia" w:cstheme="minorEastAsia" w:hint="eastAsia"/>
                  <w:sz w:val="20"/>
                  <w:szCs w:val="20"/>
                </w:rPr>
                <w:id w:val="412049691"/>
                <w14:checkbox>
                  <w14:checked w14:val="0"/>
                  <w14:checkedState w14:val="0052" w14:font="Wingdings 2"/>
                  <w14:uncheckedState w14:val="2610" w14:font="MS Gothic"/>
                </w14:checkbox>
              </w:sdtPr>
              <w:sdtContent>
                <w:r>
                  <w:rPr>
                    <w:rFonts w:asciiTheme="minorEastAsia" w:eastAsiaTheme="minorEastAsia" w:hAnsiTheme="minorEastAsia" w:cstheme="minorEastAsia" w:hint="eastAsia"/>
                    <w:sz w:val="20"/>
                    <w:szCs w:val="20"/>
                  </w:rPr>
                  <w:t>☐</w:t>
                </w:r>
              </w:sdtContent>
            </w:sdt>
            <w:r>
              <w:rPr>
                <w:rFonts w:asciiTheme="minorEastAsia" w:eastAsiaTheme="minorEastAsia" w:hAnsiTheme="minorEastAsia" w:cstheme="minorEastAsia" w:hint="eastAsia"/>
                <w:sz w:val="20"/>
                <w:szCs w:val="20"/>
              </w:rPr>
              <w:t>路</w:t>
            </w:r>
            <w:r>
              <w:rPr>
                <w:rFonts w:asciiTheme="minorEastAsia" w:eastAsiaTheme="minorEastAsia" w:hAnsiTheme="minorEastAsia" w:cstheme="minorEastAsia" w:hint="eastAsia"/>
                <w:spacing w:val="-3"/>
                <w:sz w:val="20"/>
                <w:szCs w:val="20"/>
              </w:rPr>
              <w:t>演</w:t>
            </w:r>
            <w:r>
              <w:rPr>
                <w:rFonts w:asciiTheme="minorEastAsia" w:eastAsiaTheme="minorEastAsia" w:hAnsiTheme="minorEastAsia" w:cstheme="minorEastAsia" w:hint="eastAsia"/>
                <w:sz w:val="20"/>
                <w:szCs w:val="20"/>
              </w:rPr>
              <w:t>活动</w:t>
            </w:r>
          </w:p>
          <w:p w14:paraId="7D111A26" w14:textId="77777777" w:rsidR="00DC579F" w:rsidRDefault="00DC579F">
            <w:pPr>
              <w:pStyle w:val="TableParagraph"/>
              <w:spacing w:before="8"/>
              <w:rPr>
                <w:rFonts w:asciiTheme="minorEastAsia" w:eastAsiaTheme="minorEastAsia" w:hAnsiTheme="minorEastAsia" w:cstheme="minorEastAsia" w:hint="eastAsia"/>
                <w:sz w:val="20"/>
                <w:szCs w:val="20"/>
              </w:rPr>
            </w:pPr>
          </w:p>
          <w:p w14:paraId="1A2CA9BB" w14:textId="77777777" w:rsidR="00DC579F" w:rsidRDefault="00000000">
            <w:pPr>
              <w:pStyle w:val="TableParagraph"/>
              <w:ind w:left="107"/>
              <w:rPr>
                <w:rFonts w:asciiTheme="minorEastAsia" w:eastAsiaTheme="minorEastAsia" w:hAnsiTheme="minorEastAsia" w:cstheme="minorEastAsia" w:hint="eastAsia"/>
                <w:sz w:val="20"/>
                <w:szCs w:val="20"/>
              </w:rPr>
            </w:pPr>
            <w:sdt>
              <w:sdtPr>
                <w:rPr>
                  <w:rFonts w:asciiTheme="minorEastAsia" w:eastAsiaTheme="minorEastAsia" w:hAnsiTheme="minorEastAsia" w:cstheme="minorEastAsia" w:hint="eastAsia"/>
                  <w:sz w:val="20"/>
                  <w:szCs w:val="20"/>
                </w:rPr>
                <w:id w:val="968606142"/>
                <w14:checkbox>
                  <w14:checked w14:val="0"/>
                  <w14:checkedState w14:val="0052" w14:font="Wingdings 2"/>
                  <w14:uncheckedState w14:val="2610" w14:font="MS Gothic"/>
                </w14:checkbox>
              </w:sdtPr>
              <w:sdtContent>
                <w:r>
                  <w:rPr>
                    <w:rFonts w:asciiTheme="minorEastAsia" w:eastAsiaTheme="minorEastAsia" w:hAnsiTheme="minorEastAsia" w:cstheme="minorEastAsia" w:hint="eastAsia"/>
                    <w:sz w:val="20"/>
                    <w:szCs w:val="20"/>
                  </w:rPr>
                  <w:t>☐</w:t>
                </w:r>
              </w:sdtContent>
            </w:sdt>
            <w:r>
              <w:rPr>
                <w:rFonts w:asciiTheme="minorEastAsia" w:eastAsiaTheme="minorEastAsia" w:hAnsiTheme="minorEastAsia" w:cstheme="minorEastAsia" w:hint="eastAsia"/>
                <w:sz w:val="20"/>
                <w:szCs w:val="20"/>
              </w:rPr>
              <w:t>现场参观</w:t>
            </w:r>
          </w:p>
          <w:p w14:paraId="5F2A4D34" w14:textId="77777777" w:rsidR="00DC579F" w:rsidRDefault="00DC579F">
            <w:pPr>
              <w:pStyle w:val="TableParagraph"/>
              <w:spacing w:before="11"/>
              <w:rPr>
                <w:rFonts w:asciiTheme="minorEastAsia" w:eastAsiaTheme="minorEastAsia" w:hAnsiTheme="minorEastAsia" w:cstheme="minorEastAsia" w:hint="eastAsia"/>
                <w:sz w:val="20"/>
                <w:szCs w:val="20"/>
              </w:rPr>
            </w:pPr>
          </w:p>
          <w:p w14:paraId="061AE42B" w14:textId="77777777" w:rsidR="00DC579F" w:rsidRDefault="00000000">
            <w:pPr>
              <w:pStyle w:val="TableParagraph"/>
              <w:ind w:left="107"/>
              <w:rPr>
                <w:rFonts w:asciiTheme="minorEastAsia" w:eastAsiaTheme="minorEastAsia" w:hAnsiTheme="minorEastAsia" w:cstheme="minorEastAsia" w:hint="eastAsia"/>
                <w:sz w:val="20"/>
                <w:szCs w:val="20"/>
              </w:rPr>
            </w:pPr>
            <w:sdt>
              <w:sdtPr>
                <w:rPr>
                  <w:rFonts w:asciiTheme="minorEastAsia" w:eastAsiaTheme="minorEastAsia" w:hAnsiTheme="minorEastAsia" w:cstheme="minorEastAsia" w:hint="eastAsia"/>
                  <w:sz w:val="20"/>
                  <w:szCs w:val="20"/>
                </w:rPr>
                <w:id w:val="400885218"/>
                <w14:checkbox>
                  <w14:checked w14:val="0"/>
                  <w14:checkedState w14:val="0052" w14:font="Wingdings 2"/>
                  <w14:uncheckedState w14:val="2610" w14:font="MS Gothic"/>
                </w14:checkbox>
              </w:sdtPr>
              <w:sdtContent>
                <w:r>
                  <w:rPr>
                    <w:rFonts w:asciiTheme="minorEastAsia" w:eastAsiaTheme="minorEastAsia" w:hAnsiTheme="minorEastAsia" w:cstheme="minorEastAsia" w:hint="eastAsia"/>
                    <w:sz w:val="20"/>
                    <w:szCs w:val="20"/>
                  </w:rPr>
                  <w:t>☐</w:t>
                </w:r>
              </w:sdtContent>
            </w:sdt>
            <w:r>
              <w:rPr>
                <w:rFonts w:asciiTheme="minorEastAsia" w:eastAsiaTheme="minorEastAsia" w:hAnsiTheme="minorEastAsia" w:cstheme="minorEastAsia" w:hint="eastAsia"/>
                <w:sz w:val="20"/>
                <w:szCs w:val="20"/>
              </w:rPr>
              <w:t>其他（</w:t>
            </w:r>
            <w:r>
              <w:rPr>
                <w:rFonts w:asciiTheme="minorEastAsia" w:eastAsiaTheme="minorEastAsia" w:hAnsiTheme="minorEastAsia" w:cstheme="minorEastAsia" w:hint="eastAsia"/>
                <w:sz w:val="20"/>
                <w:szCs w:val="20"/>
                <w:u w:val="single"/>
              </w:rPr>
              <w:t>请文字说明其他活动内容）</w:t>
            </w:r>
          </w:p>
        </w:tc>
      </w:tr>
      <w:tr w:rsidR="00DC579F" w14:paraId="362D679C" w14:textId="77777777">
        <w:trPr>
          <w:trHeight w:val="4340"/>
          <w:jc w:val="center"/>
        </w:trPr>
        <w:tc>
          <w:tcPr>
            <w:tcW w:w="2580" w:type="dxa"/>
            <w:vAlign w:val="center"/>
          </w:tcPr>
          <w:p w14:paraId="4146AFB0" w14:textId="77777777" w:rsidR="00DC579F" w:rsidRDefault="00000000">
            <w:pPr>
              <w:pStyle w:val="TableParagraph"/>
              <w:spacing w:line="560" w:lineRule="exact"/>
              <w:ind w:leftChars="18" w:left="40"/>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t>参与单位名称及人员姓名</w:t>
            </w:r>
          </w:p>
        </w:tc>
        <w:tc>
          <w:tcPr>
            <w:tcW w:w="5945" w:type="dxa"/>
            <w:vAlign w:val="center"/>
          </w:tcPr>
          <w:p w14:paraId="0B1E99FA" w14:textId="77777777" w:rsidR="00DC579F" w:rsidRDefault="00000000">
            <w:pPr>
              <w:pStyle w:val="TableParagraph"/>
              <w:numPr>
                <w:ilvl w:val="0"/>
                <w:numId w:val="1"/>
              </w:numPr>
              <w:spacing w:beforeLines="50" w:before="120"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中国人寿养老保险股份有限公司         裴勇</w:t>
            </w:r>
          </w:p>
          <w:p w14:paraId="7CE1901A"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浙商证券研究所                       钱洁磊</w:t>
            </w:r>
          </w:p>
          <w:p w14:paraId="273B5445"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浙商证券研究所                       詹陆雨</w:t>
            </w:r>
          </w:p>
          <w:p w14:paraId="2545DE31"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天治基金管理有限公司                 王娟</w:t>
            </w:r>
          </w:p>
          <w:p w14:paraId="3A9E2C92"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长城基金管理有限公司                 余欢</w:t>
            </w:r>
          </w:p>
          <w:p w14:paraId="36EEBF22"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嘉实基金</w:t>
            </w:r>
            <w:r>
              <w:rPr>
                <w:rFonts w:asciiTheme="minorEastAsia" w:eastAsiaTheme="minorEastAsia" w:hAnsiTheme="minorEastAsia" w:cstheme="minorEastAsia" w:hint="eastAsia"/>
                <w:sz w:val="20"/>
                <w:szCs w:val="20"/>
                <w:lang w:val="en-US"/>
              </w:rPr>
              <w:t>管理有限公司</w:t>
            </w:r>
            <w:r>
              <w:rPr>
                <w:rFonts w:asciiTheme="minorEastAsia" w:eastAsiaTheme="minorEastAsia" w:hAnsiTheme="minorEastAsia" w:cstheme="minorEastAsia"/>
                <w:sz w:val="20"/>
                <w:szCs w:val="20"/>
                <w:lang w:val="en-US"/>
              </w:rPr>
              <w:t xml:space="preserve">                 沈玉梁</w:t>
            </w:r>
          </w:p>
          <w:p w14:paraId="2B86BC52"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华</w:t>
            </w:r>
            <w:r>
              <w:rPr>
                <w:rFonts w:asciiTheme="minorEastAsia" w:eastAsiaTheme="minorEastAsia" w:hAnsiTheme="minorEastAsia" w:cstheme="minorEastAsia" w:hint="eastAsia"/>
                <w:sz w:val="20"/>
                <w:szCs w:val="20"/>
                <w:lang w:val="en-US"/>
              </w:rPr>
              <w:t>金</w:t>
            </w:r>
            <w:r>
              <w:rPr>
                <w:rFonts w:asciiTheme="minorEastAsia" w:eastAsiaTheme="minorEastAsia" w:hAnsiTheme="minorEastAsia" w:cstheme="minorEastAsia"/>
                <w:sz w:val="20"/>
                <w:szCs w:val="20"/>
                <w:lang w:val="en-US"/>
              </w:rPr>
              <w:t>证券</w:t>
            </w:r>
            <w:r>
              <w:rPr>
                <w:rFonts w:asciiTheme="minorEastAsia" w:eastAsiaTheme="minorEastAsia" w:hAnsiTheme="minorEastAsia" w:cstheme="minorEastAsia" w:hint="eastAsia"/>
                <w:sz w:val="20"/>
                <w:szCs w:val="20"/>
                <w:lang w:val="en-US"/>
              </w:rPr>
              <w:t>股份有限公司                 黄程保</w:t>
            </w:r>
          </w:p>
          <w:p w14:paraId="089B03B4"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银河基金管理有限公司</w:t>
            </w:r>
            <w:r>
              <w:rPr>
                <w:rFonts w:asciiTheme="minorEastAsia" w:eastAsiaTheme="minorEastAsia" w:hAnsiTheme="minorEastAsia" w:cstheme="minorEastAsia" w:hint="eastAsia"/>
                <w:sz w:val="20"/>
                <w:szCs w:val="20"/>
                <w:lang w:val="en-US"/>
              </w:rPr>
              <w:t xml:space="preserve">                 于嘉馨</w:t>
            </w:r>
          </w:p>
          <w:p w14:paraId="5FC44218" w14:textId="77777777" w:rsidR="00DC579F" w:rsidRDefault="00000000">
            <w:pPr>
              <w:pStyle w:val="TableParagraph"/>
              <w:numPr>
                <w:ilvl w:val="0"/>
                <w:numId w:val="1"/>
              </w:numPr>
              <w:spacing w:line="360" w:lineRule="auto"/>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sz w:val="20"/>
                <w:szCs w:val="20"/>
                <w:lang w:val="en-US"/>
              </w:rPr>
              <w:t>华宝基金管理有限公司</w:t>
            </w:r>
            <w:r>
              <w:rPr>
                <w:rFonts w:asciiTheme="minorEastAsia" w:eastAsiaTheme="minorEastAsia" w:hAnsiTheme="minorEastAsia" w:cstheme="minorEastAsia" w:hint="eastAsia"/>
                <w:sz w:val="20"/>
                <w:szCs w:val="20"/>
                <w:lang w:val="en-US"/>
              </w:rPr>
              <w:t xml:space="preserve">                 毛文博</w:t>
            </w:r>
          </w:p>
        </w:tc>
      </w:tr>
      <w:tr w:rsidR="00DC579F" w14:paraId="08FE5381" w14:textId="77777777">
        <w:trPr>
          <w:trHeight w:val="816"/>
          <w:jc w:val="center"/>
        </w:trPr>
        <w:tc>
          <w:tcPr>
            <w:tcW w:w="2580" w:type="dxa"/>
            <w:vAlign w:val="center"/>
          </w:tcPr>
          <w:p w14:paraId="4E2388D8" w14:textId="77777777" w:rsidR="00DC579F" w:rsidRDefault="00000000">
            <w:pPr>
              <w:pStyle w:val="TableParagraph"/>
              <w:ind w:leftChars="18" w:left="40"/>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t>时间</w:t>
            </w:r>
          </w:p>
        </w:tc>
        <w:tc>
          <w:tcPr>
            <w:tcW w:w="5945" w:type="dxa"/>
            <w:vAlign w:val="center"/>
          </w:tcPr>
          <w:p w14:paraId="09EA13ED" w14:textId="77777777" w:rsidR="00DC579F" w:rsidRDefault="00000000">
            <w:pPr>
              <w:pStyle w:val="TableParagraph"/>
              <w:spacing w:beforeLines="50" w:before="120" w:afterLines="50" w:after="120"/>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hint="eastAsia"/>
                <w:sz w:val="20"/>
                <w:szCs w:val="20"/>
                <w:lang w:val="en-US"/>
              </w:rPr>
              <w:t>2026年08月31日（周一）</w:t>
            </w:r>
            <w:r>
              <w:rPr>
                <w:rFonts w:asciiTheme="minorEastAsia" w:eastAsiaTheme="minorEastAsia" w:hAnsiTheme="minorEastAsia" w:cstheme="minorEastAsia"/>
                <w:sz w:val="20"/>
                <w:szCs w:val="20"/>
                <w:lang w:val="en-US"/>
              </w:rPr>
              <w:t>15:30-16:</w:t>
            </w:r>
            <w:r>
              <w:rPr>
                <w:rFonts w:asciiTheme="minorEastAsia" w:eastAsiaTheme="minorEastAsia" w:hAnsiTheme="minorEastAsia" w:cstheme="minorEastAsia" w:hint="eastAsia"/>
                <w:sz w:val="20"/>
                <w:szCs w:val="20"/>
                <w:lang w:val="en-US"/>
              </w:rPr>
              <w:t>30</w:t>
            </w:r>
          </w:p>
        </w:tc>
      </w:tr>
      <w:tr w:rsidR="00DC579F" w14:paraId="6EDD77C1" w14:textId="77777777">
        <w:trPr>
          <w:trHeight w:val="738"/>
          <w:jc w:val="center"/>
        </w:trPr>
        <w:tc>
          <w:tcPr>
            <w:tcW w:w="2580" w:type="dxa"/>
            <w:vAlign w:val="center"/>
          </w:tcPr>
          <w:p w14:paraId="6DC75FDB" w14:textId="77777777" w:rsidR="00DC579F" w:rsidRDefault="00000000">
            <w:pPr>
              <w:pStyle w:val="TableParagraph"/>
              <w:ind w:leftChars="18" w:left="40"/>
              <w:jc w:val="both"/>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t>地点</w:t>
            </w:r>
          </w:p>
        </w:tc>
        <w:tc>
          <w:tcPr>
            <w:tcW w:w="5945" w:type="dxa"/>
            <w:vAlign w:val="center"/>
          </w:tcPr>
          <w:p w14:paraId="369F1B93" w14:textId="77777777" w:rsidR="00DC579F" w:rsidRDefault="00000000">
            <w:pPr>
              <w:pStyle w:val="TableParagraph"/>
              <w:spacing w:beforeLines="50" w:before="120" w:afterLines="50" w:after="120"/>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hint="eastAsia"/>
                <w:sz w:val="20"/>
                <w:szCs w:val="20"/>
                <w:lang w:val="en-US"/>
              </w:rPr>
              <w:t>线上</w:t>
            </w:r>
          </w:p>
        </w:tc>
      </w:tr>
      <w:tr w:rsidR="00DC579F" w14:paraId="7884A7B4" w14:textId="77777777">
        <w:trPr>
          <w:trHeight w:val="1355"/>
          <w:jc w:val="center"/>
        </w:trPr>
        <w:tc>
          <w:tcPr>
            <w:tcW w:w="2580" w:type="dxa"/>
            <w:vAlign w:val="center"/>
          </w:tcPr>
          <w:p w14:paraId="5EB2EB44" w14:textId="77777777" w:rsidR="00DC579F" w:rsidRDefault="00000000">
            <w:pPr>
              <w:pStyle w:val="TableParagraph"/>
              <w:spacing w:before="1"/>
              <w:ind w:leftChars="18" w:left="40"/>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t>上市公司接待人员姓名</w:t>
            </w:r>
          </w:p>
        </w:tc>
        <w:tc>
          <w:tcPr>
            <w:tcW w:w="5945" w:type="dxa"/>
            <w:vAlign w:val="center"/>
          </w:tcPr>
          <w:p w14:paraId="2CE0893B" w14:textId="77777777" w:rsidR="00DC579F" w:rsidRDefault="00000000">
            <w:pPr>
              <w:pStyle w:val="TableParagraph"/>
              <w:spacing w:line="360" w:lineRule="auto"/>
              <w:jc w:val="both"/>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hint="eastAsia"/>
                <w:sz w:val="20"/>
                <w:szCs w:val="20"/>
                <w:lang w:val="en-US"/>
              </w:rPr>
              <w:t>董事、</w:t>
            </w:r>
            <w:proofErr w:type="gramStart"/>
            <w:r>
              <w:rPr>
                <w:rFonts w:asciiTheme="minorEastAsia" w:eastAsiaTheme="minorEastAsia" w:hAnsiTheme="minorEastAsia" w:cstheme="minorEastAsia" w:hint="eastAsia"/>
                <w:sz w:val="20"/>
                <w:szCs w:val="20"/>
                <w:lang w:val="en-US"/>
              </w:rPr>
              <w:t>董事会秘书  陈磊</w:t>
            </w:r>
            <w:proofErr w:type="gramEnd"/>
          </w:p>
          <w:p w14:paraId="312846A6" w14:textId="77777777" w:rsidR="00DC579F" w:rsidRDefault="00000000">
            <w:pPr>
              <w:pStyle w:val="TableParagraph"/>
              <w:spacing w:line="360" w:lineRule="auto"/>
              <w:jc w:val="both"/>
              <w:rPr>
                <w:rFonts w:asciiTheme="minorEastAsia" w:eastAsiaTheme="minorEastAsia" w:hAnsiTheme="minorEastAsia" w:cstheme="minorEastAsia" w:hint="eastAsia"/>
                <w:sz w:val="20"/>
                <w:szCs w:val="20"/>
                <w:lang w:val="en-US"/>
              </w:rPr>
            </w:pPr>
            <w:proofErr w:type="gramStart"/>
            <w:r>
              <w:rPr>
                <w:rFonts w:asciiTheme="minorEastAsia" w:eastAsiaTheme="minorEastAsia" w:hAnsiTheme="minorEastAsia" w:cstheme="minorEastAsia" w:hint="eastAsia"/>
                <w:sz w:val="20"/>
                <w:szCs w:val="20"/>
                <w:lang w:val="en-US"/>
              </w:rPr>
              <w:t>投资部部长  黄志远</w:t>
            </w:r>
            <w:proofErr w:type="gramEnd"/>
          </w:p>
        </w:tc>
      </w:tr>
      <w:tr w:rsidR="00DC579F" w14:paraId="11ECD954" w14:textId="77777777">
        <w:trPr>
          <w:trHeight w:val="2518"/>
          <w:jc w:val="center"/>
        </w:trPr>
        <w:tc>
          <w:tcPr>
            <w:tcW w:w="2580" w:type="dxa"/>
          </w:tcPr>
          <w:p w14:paraId="6249B2FA" w14:textId="77777777" w:rsidR="00DC579F" w:rsidRDefault="00000000">
            <w:pPr>
              <w:pStyle w:val="TableParagraph"/>
              <w:spacing w:beforeLines="100" w:before="240" w:line="500" w:lineRule="auto"/>
              <w:ind w:leftChars="18" w:left="40"/>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lastRenderedPageBreak/>
              <w:t>调研的主要问题及回答情况</w:t>
            </w:r>
          </w:p>
        </w:tc>
        <w:tc>
          <w:tcPr>
            <w:tcW w:w="5945" w:type="dxa"/>
            <w:vAlign w:val="center"/>
          </w:tcPr>
          <w:p w14:paraId="4205AA7E" w14:textId="77777777" w:rsidR="00DC579F" w:rsidRDefault="00000000">
            <w:pPr>
              <w:autoSpaceDE/>
              <w:autoSpaceDN/>
              <w:adjustRightInd w:val="0"/>
              <w:snapToGrid w:val="0"/>
              <w:spacing w:beforeLines="100" w:before="240" w:line="360" w:lineRule="auto"/>
              <w:jc w:val="both"/>
              <w:rPr>
                <w:rFonts w:ascii="宋体" w:eastAsia="宋体" w:hAnsi="宋体" w:cs="宋体" w:hint="eastAsia"/>
                <w:b/>
                <w:bCs/>
                <w:sz w:val="20"/>
                <w:szCs w:val="20"/>
              </w:rPr>
            </w:pPr>
            <w:r>
              <w:rPr>
                <w:rFonts w:ascii="宋体" w:eastAsia="宋体" w:hAnsi="宋体" w:cs="宋体" w:hint="eastAsia"/>
                <w:b/>
                <w:bCs/>
                <w:sz w:val="20"/>
                <w:szCs w:val="20"/>
              </w:rPr>
              <w:t>风</w:t>
            </w:r>
            <w:r>
              <w:rPr>
                <w:rFonts w:ascii="宋体" w:eastAsia="宋体" w:hAnsi="宋体" w:cs="宋体"/>
                <w:b/>
                <w:bCs/>
                <w:sz w:val="20"/>
                <w:szCs w:val="20"/>
              </w:rPr>
              <w:t>险提示：</w:t>
            </w:r>
          </w:p>
          <w:p w14:paraId="4BFCCEE7" w14:textId="77777777" w:rsidR="00DC579F" w:rsidRDefault="00000000">
            <w:pPr>
              <w:autoSpaceDE/>
              <w:autoSpaceDN/>
              <w:adjustRightInd w:val="0"/>
              <w:snapToGrid w:val="0"/>
              <w:spacing w:line="360" w:lineRule="auto"/>
              <w:ind w:firstLineChars="200" w:firstLine="402"/>
              <w:jc w:val="both"/>
              <w:rPr>
                <w:rFonts w:ascii="宋体" w:eastAsia="宋体" w:hAnsi="宋体" w:cs="宋体" w:hint="eastAsia"/>
                <w:b/>
                <w:bCs/>
                <w:sz w:val="20"/>
                <w:szCs w:val="20"/>
                <w:lang w:val="en-US"/>
              </w:rPr>
            </w:pPr>
            <w:r>
              <w:rPr>
                <w:rFonts w:ascii="宋体" w:eastAsia="宋体" w:hAnsi="宋体" w:cs="宋体" w:hint="eastAsia"/>
                <w:b/>
                <w:bCs/>
                <w:sz w:val="20"/>
                <w:szCs w:val="20"/>
                <w:lang w:val="en-US"/>
              </w:rPr>
              <w:t>本次</w:t>
            </w:r>
            <w:r>
              <w:rPr>
                <w:rFonts w:ascii="宋体" w:eastAsia="宋体" w:hAnsi="宋体" w:cs="宋体"/>
                <w:b/>
                <w:bCs/>
                <w:sz w:val="20"/>
                <w:szCs w:val="20"/>
              </w:rPr>
              <w:t>投资者</w:t>
            </w:r>
            <w:r>
              <w:rPr>
                <w:rFonts w:ascii="宋体" w:eastAsia="宋体" w:hAnsi="宋体" w:cs="宋体" w:hint="eastAsia"/>
                <w:b/>
                <w:bCs/>
                <w:sz w:val="20"/>
                <w:szCs w:val="20"/>
                <w:lang w:val="en-US"/>
              </w:rPr>
              <w:t>关系</w:t>
            </w:r>
            <w:r>
              <w:rPr>
                <w:rFonts w:ascii="宋体" w:eastAsia="宋体" w:hAnsi="宋体" w:cs="宋体"/>
                <w:b/>
                <w:bCs/>
                <w:sz w:val="20"/>
                <w:szCs w:val="20"/>
              </w:rPr>
              <w:t>活动不涉及应当披露而未披露的重大信息。</w:t>
            </w:r>
            <w:r>
              <w:rPr>
                <w:rFonts w:ascii="宋体" w:eastAsia="宋体" w:hAnsi="宋体" w:cs="宋体" w:hint="eastAsia"/>
                <w:b/>
                <w:bCs/>
                <w:sz w:val="20"/>
                <w:szCs w:val="20"/>
                <w:lang w:val="en-US"/>
              </w:rPr>
              <w:t>本次</w:t>
            </w:r>
            <w:r>
              <w:rPr>
                <w:rFonts w:ascii="宋体" w:eastAsia="宋体" w:hAnsi="宋体" w:cs="宋体"/>
                <w:b/>
                <w:bCs/>
                <w:sz w:val="20"/>
                <w:szCs w:val="20"/>
              </w:rPr>
              <w:t>投资者</w:t>
            </w:r>
            <w:r>
              <w:rPr>
                <w:rFonts w:ascii="宋体" w:eastAsia="宋体" w:hAnsi="宋体" w:cs="宋体" w:hint="eastAsia"/>
                <w:b/>
                <w:bCs/>
                <w:sz w:val="20"/>
                <w:szCs w:val="20"/>
                <w:lang w:val="en-US"/>
              </w:rPr>
              <w:t>关系</w:t>
            </w:r>
            <w:r>
              <w:rPr>
                <w:rFonts w:ascii="宋体" w:eastAsia="宋体" w:hAnsi="宋体" w:cs="宋体"/>
                <w:b/>
                <w:bCs/>
                <w:sz w:val="20"/>
                <w:szCs w:val="20"/>
              </w:rPr>
              <w:t>活动所涉及的经营目标、</w:t>
            </w:r>
            <w:r>
              <w:rPr>
                <w:rFonts w:ascii="宋体" w:eastAsia="宋体" w:hAnsi="宋体" w:cs="宋体" w:hint="eastAsia"/>
                <w:b/>
                <w:bCs/>
                <w:sz w:val="20"/>
                <w:szCs w:val="20"/>
                <w:lang w:val="en-US"/>
              </w:rPr>
              <w:t>战略规划</w:t>
            </w:r>
            <w:r>
              <w:rPr>
                <w:rFonts w:ascii="宋体" w:eastAsia="宋体" w:hAnsi="宋体" w:cs="宋体"/>
                <w:b/>
                <w:bCs/>
                <w:sz w:val="20"/>
                <w:szCs w:val="20"/>
              </w:rPr>
              <w:t>、</w:t>
            </w:r>
            <w:r>
              <w:rPr>
                <w:rFonts w:ascii="宋体" w:eastAsia="宋体" w:hAnsi="宋体" w:cs="宋体" w:hint="eastAsia"/>
                <w:b/>
                <w:bCs/>
                <w:sz w:val="20"/>
                <w:szCs w:val="20"/>
                <w:lang w:val="en-US"/>
              </w:rPr>
              <w:t>盈利</w:t>
            </w:r>
            <w:r>
              <w:rPr>
                <w:rFonts w:ascii="宋体" w:eastAsia="宋体" w:hAnsi="宋体" w:cs="宋体"/>
                <w:b/>
                <w:bCs/>
                <w:sz w:val="20"/>
                <w:szCs w:val="20"/>
              </w:rPr>
              <w:t>预测等前瞻性陈述</w:t>
            </w:r>
            <w:r>
              <w:rPr>
                <w:rFonts w:ascii="宋体" w:eastAsia="宋体" w:hAnsi="宋体" w:cs="宋体" w:hint="eastAsia"/>
                <w:b/>
                <w:bCs/>
                <w:sz w:val="20"/>
                <w:szCs w:val="20"/>
                <w:lang w:val="en-US"/>
              </w:rPr>
              <w:t>均</w:t>
            </w:r>
            <w:r>
              <w:rPr>
                <w:rFonts w:ascii="宋体" w:eastAsia="宋体" w:hAnsi="宋体" w:cs="宋体"/>
                <w:b/>
                <w:bCs/>
                <w:sz w:val="20"/>
                <w:szCs w:val="20"/>
              </w:rPr>
              <w:t>不构成公司</w:t>
            </w:r>
            <w:r>
              <w:rPr>
                <w:rFonts w:ascii="宋体" w:eastAsia="宋体" w:hAnsi="宋体" w:cs="宋体" w:hint="eastAsia"/>
                <w:b/>
                <w:bCs/>
                <w:sz w:val="20"/>
                <w:szCs w:val="20"/>
                <w:lang w:val="en-US"/>
              </w:rPr>
              <w:t>或公司管理层</w:t>
            </w:r>
            <w:r>
              <w:rPr>
                <w:rFonts w:ascii="宋体" w:eastAsia="宋体" w:hAnsi="宋体" w:cs="宋体"/>
                <w:b/>
                <w:bCs/>
                <w:sz w:val="20"/>
                <w:szCs w:val="20"/>
              </w:rPr>
              <w:t>对投资者的实质承诺</w:t>
            </w:r>
            <w:r>
              <w:rPr>
                <w:rFonts w:ascii="宋体" w:eastAsia="宋体" w:hAnsi="宋体" w:cs="宋体" w:hint="eastAsia"/>
                <w:b/>
                <w:bCs/>
                <w:sz w:val="20"/>
                <w:szCs w:val="20"/>
                <w:lang w:val="en-US"/>
              </w:rPr>
              <w:t>和保证。</w:t>
            </w:r>
          </w:p>
          <w:p w14:paraId="1C0D598E" w14:textId="77777777" w:rsidR="00DC579F" w:rsidRDefault="00000000">
            <w:pPr>
              <w:spacing w:line="360" w:lineRule="auto"/>
              <w:ind w:firstLineChars="200" w:firstLine="402"/>
              <w:jc w:val="both"/>
              <w:rPr>
                <w:rFonts w:ascii="宋体" w:eastAsia="宋体" w:hAnsi="宋体" w:cs="宋体" w:hint="eastAsia"/>
                <w:b/>
                <w:bCs/>
                <w:sz w:val="20"/>
                <w:szCs w:val="20"/>
                <w:lang w:val="en-US"/>
              </w:rPr>
            </w:pPr>
            <w:r>
              <w:rPr>
                <w:rFonts w:ascii="宋体" w:eastAsia="宋体" w:hAnsi="宋体" w:cs="宋体" w:hint="eastAsia"/>
                <w:b/>
                <w:bCs/>
                <w:sz w:val="20"/>
                <w:szCs w:val="20"/>
                <w:lang w:val="en-US"/>
              </w:rPr>
              <w:t>公司于超高分子聚乙烯、卫星制造等新兴产业领域均为参股投资，持股比例较低且未向相关企业派驻董事，不参与被投企业的经营管理。</w:t>
            </w:r>
            <w:r>
              <w:rPr>
                <w:rFonts w:ascii="宋体" w:eastAsia="宋体" w:hAnsi="宋体" w:cs="宋体" w:hint="eastAsia"/>
                <w:b/>
                <w:sz w:val="20"/>
                <w:lang w:val="en-US"/>
              </w:rPr>
              <w:t>公司将其分类为以公允价值计量且其变动计入当期损益的金融资产，在其他非流动金融资产科目核算。</w:t>
            </w:r>
            <w:r>
              <w:rPr>
                <w:rFonts w:ascii="宋体" w:eastAsia="宋体" w:hAnsi="宋体" w:cs="宋体" w:hint="eastAsia"/>
                <w:b/>
                <w:bCs/>
                <w:sz w:val="20"/>
                <w:szCs w:val="20"/>
                <w:lang w:val="en-US"/>
              </w:rPr>
              <w:t>目前前述被投企业业务处于起步阶段，利润规模较小，</w:t>
            </w:r>
            <w:r>
              <w:rPr>
                <w:rFonts w:ascii="宋体" w:eastAsia="宋体" w:hAnsi="宋体" w:cs="宋体" w:hint="eastAsia"/>
                <w:b/>
                <w:sz w:val="20"/>
                <w:lang w:val="en-US"/>
              </w:rPr>
              <w:t>未来发展具有不确定性，</w:t>
            </w:r>
            <w:r>
              <w:rPr>
                <w:rFonts w:ascii="宋体" w:eastAsia="宋体" w:hAnsi="宋体" w:cs="宋体" w:hint="eastAsia"/>
                <w:b/>
                <w:bCs/>
                <w:sz w:val="20"/>
                <w:szCs w:val="20"/>
                <w:lang w:val="en-US"/>
              </w:rPr>
              <w:t>若被投企业经营发展不及预期，将导致该项资产公允价值下降，进而带来价值损失的风险。</w:t>
            </w:r>
          </w:p>
          <w:p w14:paraId="7543AC12" w14:textId="77777777" w:rsidR="00DC579F" w:rsidRDefault="00000000">
            <w:pPr>
              <w:spacing w:line="360" w:lineRule="auto"/>
              <w:ind w:firstLineChars="200" w:firstLine="402"/>
              <w:jc w:val="both"/>
              <w:rPr>
                <w:rFonts w:ascii="宋体" w:eastAsia="宋体" w:hAnsi="宋体" w:cs="宋体" w:hint="eastAsia"/>
                <w:b/>
                <w:bCs/>
                <w:sz w:val="20"/>
                <w:szCs w:val="20"/>
              </w:rPr>
            </w:pPr>
            <w:r>
              <w:rPr>
                <w:rFonts w:ascii="宋体" w:eastAsia="宋体" w:hAnsi="宋体" w:cs="宋体"/>
                <w:b/>
                <w:bCs/>
                <w:sz w:val="20"/>
                <w:szCs w:val="20"/>
              </w:rPr>
              <w:t>特此提醒广大投资者注意投资风险。</w:t>
            </w:r>
          </w:p>
          <w:p w14:paraId="38E38AA0" w14:textId="77777777" w:rsidR="00DC579F" w:rsidRDefault="00000000">
            <w:pPr>
              <w:spacing w:beforeLines="100" w:before="240" w:afterLines="100" w:after="240" w:line="360" w:lineRule="auto"/>
              <w:ind w:firstLineChars="200" w:firstLine="402"/>
              <w:rPr>
                <w:rFonts w:ascii="宋体" w:eastAsia="宋体" w:hAnsi="宋体" w:cs="宋体" w:hint="eastAsia"/>
                <w:b/>
                <w:bCs/>
                <w:sz w:val="20"/>
                <w:szCs w:val="20"/>
                <w:lang w:val="en-US"/>
              </w:rPr>
            </w:pPr>
            <w:r>
              <w:rPr>
                <w:rFonts w:ascii="宋体" w:eastAsia="宋体" w:hAnsi="宋体" w:cs="宋体" w:hint="eastAsia"/>
                <w:b/>
                <w:bCs/>
                <w:sz w:val="20"/>
                <w:szCs w:val="20"/>
                <w:lang w:val="en-US"/>
              </w:rPr>
              <w:t>一、公司情况介绍</w:t>
            </w:r>
          </w:p>
          <w:p w14:paraId="3D25334E" w14:textId="77777777" w:rsidR="00DC579F" w:rsidRDefault="00000000">
            <w:pPr>
              <w:autoSpaceDE/>
              <w:autoSpaceDN/>
              <w:adjustRightInd w:val="0"/>
              <w:snapToGrid w:val="0"/>
              <w:spacing w:line="360" w:lineRule="auto"/>
              <w:ind w:firstLineChars="200" w:firstLine="400"/>
              <w:jc w:val="both"/>
              <w:rPr>
                <w:rFonts w:ascii="宋体" w:eastAsia="宋体" w:hAnsi="宋体" w:cs="宋体" w:hint="eastAsia"/>
                <w:sz w:val="20"/>
                <w:szCs w:val="20"/>
                <w:lang w:val="en-US"/>
              </w:rPr>
            </w:pPr>
            <w:bookmarkStart w:id="2" w:name="_Hlk204624072"/>
            <w:bookmarkStart w:id="3" w:name="_Hlk122211297"/>
            <w:r>
              <w:rPr>
                <w:rFonts w:ascii="宋体" w:eastAsia="宋体" w:hAnsi="宋体" w:cs="宋体" w:hint="eastAsia"/>
                <w:sz w:val="20"/>
                <w:szCs w:val="20"/>
                <w:lang w:val="en-US"/>
              </w:rPr>
              <w:t>云中马是</w:t>
            </w:r>
            <w:r>
              <w:rPr>
                <w:rFonts w:ascii="宋体" w:eastAsia="宋体" w:hAnsi="宋体" w:cs="宋体" w:hint="eastAsia"/>
                <w:sz w:val="20"/>
                <w:szCs w:val="20"/>
              </w:rPr>
              <w:t>国内</w:t>
            </w:r>
            <w:r>
              <w:rPr>
                <w:rFonts w:ascii="宋体" w:eastAsia="宋体" w:hAnsi="宋体" w:cs="宋体" w:hint="eastAsia"/>
                <w:sz w:val="20"/>
                <w:szCs w:val="20"/>
                <w:lang w:val="en-US"/>
              </w:rPr>
              <w:t>针织革基布的龙头企业，专注于人造革合成革基层材料——革基布的研发、生产和销售。公司革基布产品主要销往人造革合成革生产商，最终应用于鞋、箱包、家具、装饰材料等消费品</w:t>
            </w:r>
            <w:bookmarkEnd w:id="2"/>
            <w:r>
              <w:rPr>
                <w:rFonts w:ascii="宋体" w:eastAsia="宋体" w:hAnsi="宋体" w:cs="宋体" w:hint="eastAsia"/>
                <w:sz w:val="20"/>
                <w:szCs w:val="20"/>
                <w:lang w:val="en-US"/>
              </w:rPr>
              <w:t>。</w:t>
            </w:r>
          </w:p>
          <w:p w14:paraId="0B54773C" w14:textId="77777777" w:rsidR="00DC579F" w:rsidRDefault="00000000">
            <w:pPr>
              <w:autoSpaceDE/>
              <w:autoSpaceDN/>
              <w:adjustRightInd w:val="0"/>
              <w:snapToGrid w:val="0"/>
              <w:spacing w:line="360" w:lineRule="auto"/>
              <w:ind w:firstLineChars="200" w:firstLine="400"/>
              <w:jc w:val="both"/>
              <w:rPr>
                <w:rFonts w:ascii="宋体" w:eastAsia="宋体" w:hAnsi="宋体" w:cs="宋体" w:hint="eastAsia"/>
                <w:sz w:val="20"/>
                <w:szCs w:val="20"/>
                <w:lang w:val="en-US"/>
              </w:rPr>
            </w:pPr>
            <w:r>
              <w:rPr>
                <w:rFonts w:ascii="宋体" w:eastAsia="宋体" w:hAnsi="宋体" w:cs="宋体" w:hint="eastAsia"/>
                <w:sz w:val="20"/>
                <w:szCs w:val="20"/>
                <w:lang w:val="en-US"/>
              </w:rPr>
              <w:t>自</w:t>
            </w:r>
            <w:r>
              <w:rPr>
                <w:rFonts w:ascii="宋体" w:eastAsia="宋体" w:hAnsi="宋体" w:cs="宋体" w:hint="eastAsia"/>
                <w:sz w:val="20"/>
                <w:szCs w:val="20"/>
              </w:rPr>
              <w:t>公司</w:t>
            </w:r>
            <w:r>
              <w:rPr>
                <w:rFonts w:ascii="宋体" w:eastAsia="宋体" w:hAnsi="宋体" w:cs="宋体" w:hint="eastAsia"/>
                <w:sz w:val="20"/>
                <w:szCs w:val="20"/>
                <w:lang w:val="en-US"/>
              </w:rPr>
              <w:t>2022年上市以来，我们一直</w:t>
            </w:r>
            <w:r>
              <w:rPr>
                <w:rFonts w:ascii="宋体" w:eastAsia="宋体" w:hAnsi="宋体" w:cs="宋体" w:hint="eastAsia"/>
                <w:sz w:val="20"/>
                <w:szCs w:val="20"/>
              </w:rPr>
              <w:t>坚持聚焦主业，精益管理，不断巩固公司在国内外革基布行业的龙头地位，</w:t>
            </w:r>
            <w:r>
              <w:rPr>
                <w:rFonts w:ascii="宋体" w:eastAsia="宋体" w:hAnsi="宋体" w:cs="宋体" w:hint="eastAsia"/>
                <w:sz w:val="20"/>
                <w:szCs w:val="20"/>
                <w:lang w:val="en-US"/>
              </w:rPr>
              <w:t>整体运行情况稳健，规模不断扩大，2025年公司针织革基布销量为24.96万吨，市场占有率为37.42%，居行业第一，展现出显著的规模领先优势，同时</w:t>
            </w:r>
            <w:r>
              <w:rPr>
                <w:rFonts w:ascii="宋体" w:eastAsia="宋体" w:hAnsi="宋体" w:cs="宋体" w:hint="eastAsia"/>
                <w:sz w:val="20"/>
                <w:szCs w:val="20"/>
              </w:rPr>
              <w:t>公司以客户需求为导向，“云中马”牌革基布已获取行业内的广泛认可，形成了自身品牌影响力。</w:t>
            </w:r>
          </w:p>
          <w:p w14:paraId="3CE2C112" w14:textId="77777777" w:rsidR="00DC579F" w:rsidRDefault="00000000">
            <w:pPr>
              <w:autoSpaceDE/>
              <w:autoSpaceDN/>
              <w:adjustRightInd w:val="0"/>
              <w:snapToGrid w:val="0"/>
              <w:spacing w:line="360" w:lineRule="auto"/>
              <w:ind w:firstLineChars="200" w:firstLine="400"/>
              <w:jc w:val="both"/>
              <w:rPr>
                <w:rFonts w:ascii="宋体" w:eastAsia="宋体" w:hAnsi="宋体" w:cs="宋体" w:hint="eastAsia"/>
                <w:sz w:val="20"/>
                <w:szCs w:val="20"/>
                <w:lang w:val="en-US"/>
              </w:rPr>
            </w:pPr>
            <w:r>
              <w:rPr>
                <w:rFonts w:ascii="宋体" w:eastAsia="宋体" w:hAnsi="宋体" w:cs="宋体" w:hint="eastAsia"/>
                <w:color w:val="000000"/>
                <w:sz w:val="20"/>
                <w:szCs w:val="20"/>
              </w:rPr>
              <w:t>公司一直致力于革基布传统工艺技术的改良，并积极响应国家绿色低碳循环发展的战略，坚持绿色制造和节能环保的生产模式，不断降低单位能耗，形成可持续发展。公司是中国产业用纺织品行业协会</w:t>
            </w:r>
            <w:r>
              <w:rPr>
                <w:rFonts w:ascii="宋体" w:eastAsia="宋体" w:hAnsi="宋体" w:cs="宋体" w:hint="eastAsia"/>
                <w:color w:val="000000"/>
                <w:sz w:val="20"/>
                <w:szCs w:val="20"/>
                <w:lang w:val="en-US"/>
              </w:rPr>
              <w:t>常务</w:t>
            </w:r>
            <w:r>
              <w:rPr>
                <w:rFonts w:ascii="宋体" w:eastAsia="宋体" w:hAnsi="宋体" w:cs="宋体" w:hint="eastAsia"/>
                <w:color w:val="000000"/>
                <w:sz w:val="20"/>
                <w:szCs w:val="20"/>
              </w:rPr>
              <w:t>理事单位，</w:t>
            </w:r>
            <w:r>
              <w:rPr>
                <w:rFonts w:ascii="宋体" w:eastAsia="宋体" w:hAnsi="宋体" w:cs="宋体" w:hint="eastAsia"/>
                <w:color w:val="000000"/>
                <w:sz w:val="20"/>
                <w:szCs w:val="20"/>
                <w:lang w:val="en-US"/>
              </w:rPr>
              <w:t>荣获</w:t>
            </w:r>
            <w:r>
              <w:rPr>
                <w:rFonts w:ascii="宋体" w:eastAsia="宋体" w:hAnsi="宋体" w:cs="宋体" w:hint="eastAsia"/>
                <w:color w:val="000000"/>
                <w:sz w:val="20"/>
                <w:szCs w:val="20"/>
              </w:rPr>
              <w:t>中国产业用纺织品行业“十三五”高质量发展企业、中国革基布十强企业、</w:t>
            </w:r>
            <w:r>
              <w:rPr>
                <w:rFonts w:ascii="宋体" w:eastAsia="宋体" w:hAnsi="宋体" w:cs="宋体" w:hint="eastAsia"/>
                <w:color w:val="000000"/>
                <w:sz w:val="20"/>
                <w:szCs w:val="20"/>
                <w:lang w:val="en-US"/>
              </w:rPr>
              <w:t>全国纺织工业先进集体、国家级绿色低碳工厂、省级高新技术企业研究开发中心、浙江省制造业单项冠军企业等多项荣誉。</w:t>
            </w:r>
          </w:p>
          <w:bookmarkEnd w:id="3"/>
          <w:p w14:paraId="7D84C1C9" w14:textId="77777777" w:rsidR="00DC579F" w:rsidRDefault="00000000">
            <w:pPr>
              <w:spacing w:beforeLines="100" w:before="240" w:afterLines="100" w:after="240" w:line="360" w:lineRule="auto"/>
              <w:ind w:firstLineChars="200" w:firstLine="402"/>
              <w:jc w:val="both"/>
              <w:rPr>
                <w:rFonts w:ascii="宋体" w:eastAsia="宋体" w:hAnsi="宋体" w:cs="宋体" w:hint="eastAsia"/>
                <w:b/>
                <w:bCs/>
                <w:sz w:val="20"/>
                <w:szCs w:val="20"/>
                <w:lang w:val="en-US"/>
              </w:rPr>
            </w:pPr>
            <w:r>
              <w:rPr>
                <w:rFonts w:ascii="宋体" w:eastAsia="宋体" w:hAnsi="宋体" w:cs="宋体" w:hint="eastAsia"/>
                <w:b/>
                <w:bCs/>
                <w:sz w:val="20"/>
                <w:szCs w:val="20"/>
                <w:lang w:val="en-US"/>
              </w:rPr>
              <w:t>二、互动交流</w:t>
            </w:r>
          </w:p>
          <w:p w14:paraId="7A360D40" w14:textId="77777777" w:rsidR="00DC579F" w:rsidRDefault="00000000">
            <w:pPr>
              <w:pStyle w:val="HTML"/>
              <w:snapToGrid w:val="0"/>
              <w:spacing w:beforeLines="50" w:before="120" w:afterLines="150" w:after="360" w:line="360" w:lineRule="auto"/>
              <w:ind w:firstLineChars="200" w:firstLine="402"/>
              <w:contextualSpacing/>
              <w:jc w:val="both"/>
              <w:rPr>
                <w:rFonts w:hint="eastAsia"/>
                <w:b/>
                <w:sz w:val="20"/>
              </w:rPr>
            </w:pPr>
            <w:bookmarkStart w:id="4" w:name="_Toc138776350"/>
            <w:bookmarkStart w:id="5" w:name="_Toc531783058"/>
            <w:bookmarkStart w:id="6" w:name="_Toc383070559"/>
            <w:bookmarkStart w:id="7" w:name="_Toc383212951"/>
            <w:bookmarkStart w:id="8" w:name="_Toc383212908"/>
            <w:bookmarkStart w:id="9" w:name="_Toc295807235"/>
            <w:r>
              <w:rPr>
                <w:rFonts w:hint="eastAsia"/>
                <w:b/>
                <w:sz w:val="20"/>
              </w:rPr>
              <w:t>1、公司产品定价模式是怎么的？上半年国际油价变动对公司是否有影响？</w:t>
            </w:r>
          </w:p>
          <w:p w14:paraId="581681CC" w14:textId="77777777" w:rsidR="00DC579F" w:rsidRDefault="00000000">
            <w:pPr>
              <w:pStyle w:val="HTML"/>
              <w:snapToGrid w:val="0"/>
              <w:spacing w:afterLines="150" w:after="360" w:line="360" w:lineRule="auto"/>
              <w:ind w:firstLineChars="200" w:firstLine="400"/>
              <w:jc w:val="both"/>
              <w:rPr>
                <w:rFonts w:hint="eastAsia"/>
                <w:bCs/>
                <w:sz w:val="20"/>
              </w:rPr>
            </w:pPr>
            <w:r>
              <w:rPr>
                <w:rFonts w:hint="eastAsia"/>
                <w:bCs/>
                <w:sz w:val="20"/>
              </w:rPr>
              <w:lastRenderedPageBreak/>
              <w:t>公司采用原料价+加工费的定价模式，原材料价格波动，加工费价格相对稳定，所以公司产品定价会根据涤纶长丝价格调整。而涤纶长丝的核心原料为PET源自石油化工产业链，因此国际油价波动会逐级传导，进而影响公司原材料成本与产品售价。同时因为公司终端上游的涤纶长丝属于纺织大宗，价格较为公开透明；因此国际油价变动导致的上游原材料价格波动，也能较为顺畅的传导至公司下游客户。</w:t>
            </w:r>
          </w:p>
          <w:p w14:paraId="0C24B23C" w14:textId="77777777" w:rsidR="00DC579F" w:rsidRDefault="00000000">
            <w:pPr>
              <w:spacing w:line="360" w:lineRule="auto"/>
              <w:ind w:firstLineChars="200" w:firstLine="402"/>
              <w:jc w:val="both"/>
              <w:rPr>
                <w:rFonts w:ascii="宋体" w:eastAsia="宋体" w:hAnsi="宋体" w:cs="宋体" w:hint="eastAsia"/>
                <w:b/>
                <w:sz w:val="20"/>
                <w:szCs w:val="24"/>
                <w:lang w:val="en-US" w:bidi="ar-SA"/>
              </w:rPr>
            </w:pPr>
            <w:r>
              <w:rPr>
                <w:rFonts w:ascii="宋体" w:eastAsia="宋体" w:hAnsi="宋体" w:cs="宋体" w:hint="eastAsia"/>
                <w:b/>
                <w:sz w:val="20"/>
                <w:szCs w:val="24"/>
                <w:lang w:val="en-US" w:bidi="ar-SA"/>
              </w:rPr>
              <w:t>2、近年来公司营业收入持续稳健增长，但是净利润维持在1亿元左右，呈现“增收不增利”的状态，请问主要是什么原因，请问核心驱动因素是原材料价格波动、行业竞争加剧还是产品结构问题？现在是否得到了改善，后续公司会采取哪些措施增加净利润？</w:t>
            </w:r>
          </w:p>
          <w:p w14:paraId="31EC8691"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行业方面，近年以来革基布行业内主要头部企业扩大的产能得到释放，超过了下游合成革市场需求的扩张，短期行业内陷入内卷式竞争。经营策略方面，公司根据市场形势，同时也为了提高自身市场占有率，调低了革基布产品价格，造成近几年“增收不增利”的状态。</w:t>
            </w:r>
          </w:p>
          <w:p w14:paraId="7F9D13E8"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自2025年以来，革基布行业下游领域存量库存加速去化，供需关系回归平衡，革基布行业整体逐步回暖；叠加公司节能降本等精细化管理措施，2026年上半年公司革基布产品的盈利空间得到显著提升。同时公司调整了经营策略，以提升产品毛利率为核心，在2025年第四季度推出高附加值产品麂皮绒，该产品市场需求旺盛，毛利率水平较高，2026年上半年达33.44%，今年以来公司持续推进麂皮绒产能扩张布局，该品类已成为公司利润增长的新支撑点。根据公司披露的2026年半年报，公司2026年上半年扣非后净利润达4,272.89万元，同比增长58.70%，综合毛利率达9.42%，相较于去年同期上升1.2个百分点，主营产品盈利能力显著修复。</w:t>
            </w:r>
          </w:p>
          <w:p w14:paraId="1955BFE4" w14:textId="77777777" w:rsidR="00DC579F" w:rsidRDefault="00000000">
            <w:pPr>
              <w:pStyle w:val="HTML"/>
              <w:snapToGrid w:val="0"/>
              <w:spacing w:afterLines="150" w:after="360" w:line="360" w:lineRule="auto"/>
              <w:ind w:firstLineChars="200" w:firstLine="400"/>
              <w:jc w:val="both"/>
              <w:rPr>
                <w:rFonts w:hint="eastAsia"/>
                <w:bCs/>
                <w:sz w:val="20"/>
              </w:rPr>
            </w:pPr>
            <w:r>
              <w:rPr>
                <w:rFonts w:hint="eastAsia"/>
                <w:bCs/>
                <w:sz w:val="20"/>
              </w:rPr>
              <w:t>此外，公司正加速推进再融资项“年产13.5万吨DTY丝及12万吨高性能革基布坯布项目”的建设，预计明年建成达产。该项目建成后将加大产业链上游原材料端的自供能力，以进一步降低生产成本和提升产品综合竞争力。通过上述从原料端到产品端的全产业链布局，公司能有效应对短期的市场变化，进一步提升自身盈利能力和竞争优势。</w:t>
            </w:r>
          </w:p>
          <w:p w14:paraId="771870B9" w14:textId="77777777" w:rsidR="00DC579F" w:rsidRDefault="00000000">
            <w:pPr>
              <w:pStyle w:val="HTML"/>
              <w:snapToGrid w:val="0"/>
              <w:spacing w:beforeLines="50" w:before="120" w:afterLines="150" w:after="360" w:line="360" w:lineRule="auto"/>
              <w:ind w:firstLineChars="200" w:firstLine="402"/>
              <w:contextualSpacing/>
              <w:jc w:val="both"/>
              <w:rPr>
                <w:rFonts w:hint="eastAsia"/>
                <w:b/>
                <w:sz w:val="20"/>
              </w:rPr>
            </w:pPr>
            <w:r>
              <w:rPr>
                <w:rFonts w:hint="eastAsia"/>
                <w:b/>
                <w:sz w:val="20"/>
              </w:rPr>
              <w:t>3、公司相较于同行业公司有哪些优势？</w:t>
            </w:r>
          </w:p>
          <w:p w14:paraId="0D30CC57"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lastRenderedPageBreak/>
              <w:t>云中马系针织革基布行业内的唯一境内上市公司，具备如下竞争</w:t>
            </w:r>
            <w:proofErr w:type="gramStart"/>
            <w:r>
              <w:rPr>
                <w:rFonts w:hint="eastAsia"/>
                <w:bCs/>
                <w:sz w:val="20"/>
              </w:rPr>
              <w:t>优势:</w:t>
            </w:r>
            <w:proofErr w:type="gramEnd"/>
          </w:p>
          <w:p w14:paraId="4E758FED"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（1）规模领先和品牌优势</w:t>
            </w:r>
          </w:p>
          <w:p w14:paraId="06704B75"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公司是国内针织革基布行业龙头企业，近年来行业集中度不断提高，部分中小企业逐步出清，公司市场占有率逐年提升，2025年公司针织革基布销量占国内市场规模的37.42%，市场占有率居针织革基布行业第一，规模效应带来了成本经济优势。公司“云中马”品牌口碑领跑行业，通过ISO9001质量管理体系认证，品控体系完备，依托稳定品质，公司产品热销多地“云中马”品牌优势明显。</w:t>
            </w:r>
          </w:p>
          <w:p w14:paraId="4FB2FCAE"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（2）工艺技术优势</w:t>
            </w:r>
          </w:p>
          <w:p w14:paraId="642A8FAC"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公司作为国家级高新技术企业、省级专精特新企业及省级高新技术研究开发中心，尤其重视技术工艺的研发。公司在行业内自主开创湿拉毛革基布工艺，取消了预定型环节，使得单台定型机产能翻倍，突破了传统工艺流程的效率瓶颈。此外，公司还开发了低温染色、大盘头经编织布等核心生产工艺，构筑了坚实的技术壁垒。</w:t>
            </w:r>
          </w:p>
          <w:p w14:paraId="0411D186"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（3）产业链布局优势</w:t>
            </w:r>
          </w:p>
          <w:p w14:paraId="6F0BCE2D" w14:textId="77777777" w:rsidR="00DC579F" w:rsidRDefault="00000000">
            <w:pPr>
              <w:pStyle w:val="HTML"/>
              <w:snapToGrid w:val="0"/>
              <w:spacing w:afterLines="150" w:after="360" w:line="360" w:lineRule="auto"/>
              <w:ind w:firstLineChars="200" w:firstLine="400"/>
              <w:jc w:val="both"/>
              <w:rPr>
                <w:rFonts w:hint="eastAsia"/>
                <w:bCs/>
                <w:sz w:val="20"/>
              </w:rPr>
            </w:pPr>
            <w:r>
              <w:rPr>
                <w:rFonts w:hint="eastAsia"/>
                <w:bCs/>
                <w:sz w:val="20"/>
              </w:rPr>
              <w:t>公司作为行业内唯一的上市公司，具备产业链布局能力，公司通过IPO和再融资募投项目投入上游坯布织造环节的产能建设，实现了产业链的自主可控，既能压降采购成本、从源头把控品质，也可深化全流程研发、加速新品落地，同时对涤纶丝供应商直接形成议价能力，强化资源整合能力，是区别其他竞争对手的核心战略优势。</w:t>
            </w:r>
          </w:p>
          <w:p w14:paraId="2EFA78AE" w14:textId="77777777" w:rsidR="00DC579F" w:rsidRDefault="00000000">
            <w:pPr>
              <w:pStyle w:val="HTML"/>
              <w:snapToGrid w:val="0"/>
              <w:spacing w:line="360" w:lineRule="auto"/>
              <w:ind w:firstLineChars="200" w:firstLine="402"/>
              <w:contextualSpacing/>
              <w:jc w:val="both"/>
              <w:rPr>
                <w:rFonts w:hint="eastAsia"/>
                <w:b/>
                <w:sz w:val="20"/>
              </w:rPr>
            </w:pPr>
            <w:r>
              <w:rPr>
                <w:rFonts w:hint="eastAsia"/>
                <w:b/>
                <w:sz w:val="20"/>
              </w:rPr>
              <w:t>4、公司拟定增5.3亿元建设年产13.5万吨DTY丝及12万吨坯布项目，达产后坯布自给率将从30%提升至80%，请问该项目目前建设进度是否符合预期？预计何时能实现满产？对生产成本的下降幅度有何量化测算？</w:t>
            </w:r>
          </w:p>
          <w:p w14:paraId="415571EA" w14:textId="77777777" w:rsidR="00DC579F" w:rsidRDefault="00000000">
            <w:pPr>
              <w:pStyle w:val="HTML"/>
              <w:snapToGrid w:val="0"/>
              <w:spacing w:line="360" w:lineRule="auto"/>
              <w:ind w:firstLineChars="200" w:firstLine="400"/>
              <w:jc w:val="both"/>
              <w:rPr>
                <w:rFonts w:hint="eastAsia"/>
                <w:bCs/>
                <w:sz w:val="20"/>
              </w:rPr>
            </w:pPr>
            <w:r>
              <w:rPr>
                <w:rFonts w:hint="eastAsia"/>
                <w:bCs/>
                <w:sz w:val="20"/>
              </w:rPr>
              <w:t>答：公司年产13.5万吨DTY丝及12万吨坯布项目目前正在进行厂房等基础设施建设和设备安装，建设进度符合预期。根据项目建设周期规划，项目建设期36个月，第2年开始正式投产；第3年产能释放90%以上。目前公司正在全力推进项目建设，争取明年能够提前达产。</w:t>
            </w:r>
          </w:p>
          <w:p w14:paraId="5E78A1C2" w14:textId="77777777" w:rsidR="00DC579F" w:rsidRDefault="00000000">
            <w:pPr>
              <w:pStyle w:val="HTML"/>
              <w:snapToGrid w:val="0"/>
              <w:spacing w:afterLines="150" w:after="360" w:line="360" w:lineRule="auto"/>
              <w:ind w:firstLineChars="200" w:firstLine="400"/>
              <w:jc w:val="both"/>
              <w:rPr>
                <w:rFonts w:hint="eastAsia"/>
                <w:bCs/>
                <w:sz w:val="20"/>
              </w:rPr>
            </w:pPr>
            <w:r>
              <w:rPr>
                <w:rFonts w:hint="eastAsia"/>
                <w:bCs/>
                <w:sz w:val="20"/>
              </w:rPr>
              <w:t>本项目DTY丝达产产能为13.5万吨，其中9.6万吨将直接用于生产革基布坯布，其节约成本将在革基布坯布中体现，预计能够节省</w:t>
            </w:r>
            <w:r>
              <w:rPr>
                <w:rFonts w:hint="eastAsia"/>
                <w:bCs/>
                <w:sz w:val="20"/>
              </w:rPr>
              <w:lastRenderedPageBreak/>
              <w:t>550-600元/吨的成本，此外还有3.9万吨DTY丝对外销售，将为公司带来额外的收益。</w:t>
            </w:r>
          </w:p>
          <w:p w14:paraId="4D262BAC" w14:textId="77777777" w:rsidR="00DC579F" w:rsidRDefault="00000000">
            <w:pPr>
              <w:pStyle w:val="HTML"/>
              <w:snapToGrid w:val="0"/>
              <w:spacing w:line="360" w:lineRule="auto"/>
              <w:ind w:firstLineChars="200" w:firstLine="402"/>
              <w:contextualSpacing/>
              <w:jc w:val="both"/>
              <w:rPr>
                <w:rFonts w:hint="eastAsia"/>
                <w:b/>
                <w:sz w:val="20"/>
              </w:rPr>
            </w:pPr>
            <w:r>
              <w:rPr>
                <w:rFonts w:hint="eastAsia"/>
                <w:b/>
                <w:sz w:val="20"/>
              </w:rPr>
              <w:t>5、公司本次再融资投向“年产13.5万吨DTY丝及12万吨坯布项目”，项目投资总额达10.47亿元，公司是出于什么考量选择该项目？</w:t>
            </w:r>
          </w:p>
          <w:p w14:paraId="155E326A"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本次再融资项目是经过公司充分论证，同时也是公司重构产业链布局的重要战略举措。公司现阶段外采原材料仍以坯布为主，现有坯布自给率仅30%，存在品控、交期不稳定等风险。</w:t>
            </w:r>
          </w:p>
          <w:p w14:paraId="55F09329" w14:textId="77777777" w:rsidR="00DC579F" w:rsidRDefault="00000000">
            <w:pPr>
              <w:pStyle w:val="HTML"/>
              <w:snapToGrid w:val="0"/>
              <w:spacing w:afterLines="150" w:after="360" w:line="360" w:lineRule="auto"/>
              <w:ind w:firstLineChars="200" w:firstLine="400"/>
              <w:jc w:val="both"/>
              <w:rPr>
                <w:rFonts w:hint="eastAsia"/>
                <w:bCs/>
                <w:sz w:val="20"/>
              </w:rPr>
            </w:pPr>
            <w:r>
              <w:rPr>
                <w:rFonts w:hint="eastAsia"/>
                <w:bCs/>
                <w:sz w:val="20"/>
              </w:rPr>
              <w:t>本次定增募投项目落地后，公司坯布自给率将提升至约80%，产业链上的延伸打破了公司原来革基布加工环节单一模式，对公司的重要意义如下：一是能保障供应链安全和产品品质稳定，通过对于坯布原材料源头的把控，有效降低外采坯布带来的质量和交期波动风险；二是提升直接盈利空间，自产坯布每吨可降本550-600元，年合计降本0.66-0.72亿元；3.9万吨外销DTY丝每年可新增净利润0.12亿元，能够显著提升公司盈利水平；第三也是最重要的是，重构公司采购模式，公司采购重心从小规模的坯布厂采购坯布转向从大型化纤厂采购涤纶丝，近20万吨的集采规模优势凸显，公司供应链的商业谈判能力进一步增强，在降低原材料成本的同时，减少原材料波动风险，提高行业淡季的时候公司革基布产能利用率。</w:t>
            </w:r>
          </w:p>
          <w:p w14:paraId="660DE124" w14:textId="77777777" w:rsidR="00DC579F" w:rsidRDefault="00000000">
            <w:pPr>
              <w:pStyle w:val="HTML"/>
              <w:snapToGrid w:val="0"/>
              <w:spacing w:line="360" w:lineRule="auto"/>
              <w:ind w:firstLineChars="200" w:firstLine="402"/>
              <w:contextualSpacing/>
              <w:jc w:val="both"/>
              <w:rPr>
                <w:rFonts w:hint="eastAsia"/>
                <w:b/>
                <w:sz w:val="20"/>
              </w:rPr>
            </w:pPr>
            <w:bookmarkStart w:id="10" w:name="_Toc531783059"/>
            <w:bookmarkEnd w:id="4"/>
            <w:bookmarkEnd w:id="5"/>
            <w:r>
              <w:rPr>
                <w:rFonts w:hint="eastAsia"/>
                <w:b/>
                <w:sz w:val="20"/>
              </w:rPr>
              <w:t>6、公司本次再融资投向“年产13.5万吨DTY丝及12万吨坯布项目”，是否具有产能消化方面的风险，人员、技术方面是否具备可行性？其中3.9万吨DTY 对外销售是否已经具备订单或者潜在客户？</w:t>
            </w:r>
          </w:p>
          <w:p w14:paraId="1A4D68E8"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首先，产能消化具备可行性。目前公司革基布坯布自给率仅30%，项目新增12万吨坯布产能可全部实现内部自用。项目达产后，内部生产需求可消化70%的新增DTY丝产能，剩余产能可依托成熟供应链合作资源、长期积累的品牌渠道完成外销。</w:t>
            </w:r>
          </w:p>
          <w:p w14:paraId="6D982DEA"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第二，项目技术落地可行性充足，公司具备完善的技术与人才储备。依托过往IPO募投的坯布产线投产积累的成熟生产技术、实操经验与专业团队，搭配完善的新人培养机制，可有效保障项目顺利建设、稳定投产运营。</w:t>
            </w:r>
          </w:p>
          <w:p w14:paraId="43BC813A"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第三，下游应用需求稳定增长。公司产品下游应用覆盖箱包、鞋服等刚需领域，基本盘营收稳固、抗风险能力极强，也包括高端家居</w:t>
            </w:r>
            <w:r>
              <w:rPr>
                <w:rFonts w:ascii="宋体" w:eastAsia="宋体" w:hAnsi="宋体" w:cs="宋体" w:hint="eastAsia"/>
                <w:bCs/>
                <w:sz w:val="20"/>
                <w:lang w:val="en-US"/>
              </w:rPr>
              <w:lastRenderedPageBreak/>
              <w:t>装饰、电子包装、户外用品等高速增长赛道。公司产品终端需求稳定扩容，为项目长期稳定运营提供核心市场保障。</w:t>
            </w:r>
          </w:p>
          <w:p w14:paraId="203FB959" w14:textId="77777777" w:rsidR="00DC579F" w:rsidRDefault="00000000">
            <w:pPr>
              <w:pStyle w:val="HTML"/>
              <w:snapToGrid w:val="0"/>
              <w:spacing w:afterLines="150" w:after="360" w:line="360" w:lineRule="auto"/>
              <w:ind w:firstLineChars="200" w:firstLine="400"/>
              <w:jc w:val="both"/>
              <w:rPr>
                <w:rFonts w:hint="eastAsia"/>
                <w:bCs/>
                <w:sz w:val="20"/>
              </w:rPr>
            </w:pPr>
            <w:r>
              <w:rPr>
                <w:rFonts w:hint="eastAsia"/>
                <w:bCs/>
                <w:sz w:val="20"/>
              </w:rPr>
              <w:t>公司DTY丝产品已有一定数量在手订单且客户处于持续拓展阶段，市场开拓情况良好。目前已有合作或合作意向的客户包括海宁亨利达、海盐荣华、海宁超逸等坯布厂商。</w:t>
            </w:r>
          </w:p>
          <w:bookmarkEnd w:id="6"/>
          <w:bookmarkEnd w:id="7"/>
          <w:bookmarkEnd w:id="8"/>
          <w:bookmarkEnd w:id="10"/>
          <w:p w14:paraId="41B351DE" w14:textId="77777777" w:rsidR="00DC579F" w:rsidRDefault="00000000">
            <w:pPr>
              <w:pStyle w:val="HTML"/>
              <w:snapToGrid w:val="0"/>
              <w:spacing w:line="360" w:lineRule="auto"/>
              <w:ind w:firstLineChars="200" w:firstLine="402"/>
              <w:contextualSpacing/>
              <w:jc w:val="both"/>
              <w:rPr>
                <w:rFonts w:hint="eastAsia"/>
                <w:b/>
                <w:sz w:val="20"/>
              </w:rPr>
            </w:pPr>
            <w:r>
              <w:rPr>
                <w:rFonts w:hint="eastAsia"/>
                <w:b/>
                <w:sz w:val="20"/>
              </w:rPr>
              <w:t>7、请介绍一下公司对外直接投资的主要情况？</w:t>
            </w:r>
          </w:p>
          <w:p w14:paraId="4861A362"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公司自上市以来即成立了专门的战略投资部，公司直接对外投资主要是聚焦两个类型的企业，一个是新材料企业，另一个是技术壁垒高、赛道空间大，成长性突出的新质生产力企业。截至目前，公司已经通过直接参股投资方式布局了超高分子聚乙烯、卫星制造等新质生产力赛</w:t>
            </w:r>
            <w:proofErr w:type="gramStart"/>
            <w:r>
              <w:rPr>
                <w:rFonts w:ascii="宋体" w:eastAsia="宋体" w:hAnsi="宋体" w:cs="宋体" w:hint="eastAsia"/>
                <w:bCs/>
                <w:sz w:val="20"/>
                <w:lang w:val="en-US"/>
              </w:rPr>
              <w:t>道,</w:t>
            </w:r>
            <w:proofErr w:type="gramEnd"/>
            <w:r>
              <w:rPr>
                <w:rFonts w:ascii="宋体" w:eastAsia="宋体" w:hAnsi="宋体" w:cs="宋体" w:hint="eastAsia"/>
                <w:bCs/>
                <w:sz w:val="20"/>
                <w:lang w:val="en-US"/>
              </w:rPr>
              <w:t>并以此为契机逐步积累新兴产业资源。</w:t>
            </w:r>
            <w:bookmarkEnd w:id="9"/>
          </w:p>
          <w:p w14:paraId="686858B2" w14:textId="77777777" w:rsidR="00DC579F" w:rsidRDefault="00000000">
            <w:pPr>
              <w:spacing w:line="360" w:lineRule="auto"/>
              <w:ind w:firstLineChars="200" w:firstLine="400"/>
              <w:jc w:val="both"/>
              <w:rPr>
                <w:rFonts w:ascii="宋体" w:eastAsia="宋体" w:hAnsi="宋体" w:cs="宋体" w:hint="eastAsia"/>
                <w:b/>
                <w:sz w:val="20"/>
                <w:lang w:val="en-US"/>
              </w:rPr>
            </w:pPr>
            <w:r>
              <w:rPr>
                <w:rFonts w:ascii="宋体" w:eastAsia="宋体" w:hAnsi="宋体" w:cs="宋体" w:hint="eastAsia"/>
                <w:bCs/>
                <w:sz w:val="20"/>
                <w:lang w:val="en-US"/>
              </w:rPr>
              <w:t>在超高分子聚乙烯领域，公司自2023年开始持续加码对中玺新材料（安徽）有限公司的投资，截至目前已经持有其15.29%的股份，成为其第三大股东。中玺新材料是国内少数掌握中高端超高分子量聚乙烯连续化生产技术的企业，其研发连续化淤浆法聚合工艺产出的产品分子量分布方差小、稳定性好，可覆盖100万-1050万全分子量区间。目前具备1.25万吨的产能，新增的3万吨产能已经建设完毕即将投入生产。</w:t>
            </w:r>
            <w:r>
              <w:rPr>
                <w:rFonts w:ascii="宋体" w:eastAsia="宋体" w:hAnsi="宋体" w:cs="宋体" w:hint="eastAsia"/>
                <w:b/>
                <w:sz w:val="20"/>
                <w:lang w:val="en-US"/>
              </w:rPr>
              <w:t>公司对中玺新材料参股比例不足20%且未派驻董事，不构成重大影响，公司将其分类为以公允价值计量且其变动计入当期损益的金融资产在其他非流动金融资产科目核算。目前中玺新材料利润规模较小，未来发展具有不确定性，</w:t>
            </w:r>
            <w:r>
              <w:rPr>
                <w:rFonts w:ascii="宋体" w:eastAsia="宋体" w:hAnsi="宋体" w:cs="宋体" w:hint="eastAsia"/>
                <w:b/>
                <w:bCs/>
                <w:sz w:val="20"/>
                <w:szCs w:val="20"/>
                <w:lang w:val="en-US"/>
              </w:rPr>
              <w:t>若其经营发展不及预期，将导致该项资产公允价值下降，进而带来价值损失的风险。</w:t>
            </w:r>
          </w:p>
          <w:p w14:paraId="3458EF21" w14:textId="77777777" w:rsidR="00DC579F" w:rsidRDefault="00000000">
            <w:pPr>
              <w:spacing w:line="360" w:lineRule="auto"/>
              <w:ind w:firstLineChars="200" w:firstLine="400"/>
              <w:jc w:val="both"/>
              <w:rPr>
                <w:rFonts w:ascii="宋体" w:eastAsia="宋体" w:hAnsi="宋体" w:cs="宋体" w:hint="eastAsia"/>
                <w:b/>
                <w:sz w:val="20"/>
                <w:lang w:val="en-US"/>
              </w:rPr>
            </w:pPr>
            <w:r>
              <w:rPr>
                <w:rFonts w:ascii="宋体" w:eastAsia="宋体" w:hAnsi="宋体" w:cs="宋体" w:hint="eastAsia"/>
                <w:bCs/>
                <w:sz w:val="20"/>
                <w:lang w:val="en-US"/>
              </w:rPr>
              <w:t>在卫星制造领域，公司于2026年2月投资了湖南航升卫星科技有限公司，目前持有其4.85%的股份。航升卫星专注于工业级微小卫星技术为核心的卫星系统研制，具备完整的卫星总体设计以及全链路工程实践经验。</w:t>
            </w:r>
            <w:r>
              <w:rPr>
                <w:rFonts w:ascii="宋体" w:eastAsia="宋体" w:hAnsi="宋体" w:cs="宋体" w:hint="eastAsia"/>
                <w:b/>
                <w:sz w:val="20"/>
                <w:lang w:val="en-US"/>
              </w:rPr>
              <w:t>目前航升卫星出于起步阶段，整体产能和收入规模仍然较小，产品以试验卫星为主，尚未实现批产卫星的生产销售，未来发展具有不确定性，云中马持有航升卫星股权比例相对较低，对上市公司业绩无重大影响。</w:t>
            </w:r>
          </w:p>
          <w:p w14:paraId="7DCD1C52" w14:textId="77777777" w:rsidR="00DC579F" w:rsidRDefault="00DC579F">
            <w:pPr>
              <w:pStyle w:val="HTML"/>
              <w:snapToGrid w:val="0"/>
              <w:spacing w:line="360" w:lineRule="auto"/>
              <w:ind w:firstLineChars="200" w:firstLine="402"/>
              <w:contextualSpacing/>
              <w:jc w:val="both"/>
              <w:rPr>
                <w:rFonts w:hint="eastAsia"/>
                <w:b/>
                <w:sz w:val="20"/>
              </w:rPr>
            </w:pPr>
          </w:p>
          <w:p w14:paraId="416296E5" w14:textId="77777777" w:rsidR="00DC579F" w:rsidRDefault="00000000">
            <w:pPr>
              <w:pStyle w:val="HTML"/>
              <w:snapToGrid w:val="0"/>
              <w:spacing w:line="360" w:lineRule="auto"/>
              <w:ind w:firstLineChars="200" w:firstLine="402"/>
              <w:contextualSpacing/>
              <w:jc w:val="both"/>
              <w:rPr>
                <w:rFonts w:hint="eastAsia"/>
                <w:b/>
                <w:sz w:val="20"/>
              </w:rPr>
            </w:pPr>
            <w:r>
              <w:rPr>
                <w:rFonts w:hint="eastAsia"/>
                <w:b/>
                <w:sz w:val="20"/>
              </w:rPr>
              <w:t>8、请介绍下公司未来的发展规划和业务布局？</w:t>
            </w:r>
          </w:p>
          <w:p w14:paraId="3114F5DD"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未来战略布局方面，公司整体围绕产业链整合、产品结构升级、节能降碳、研发合作、新兴产业投资五大方向稳步发展，持续夯实行业龙头地位。</w:t>
            </w:r>
          </w:p>
          <w:p w14:paraId="77560E66"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lastRenderedPageBreak/>
              <w:t>第一，聚力产业链纵向整合，打通核心价值环节。公司通过IPO和本次再融资募投，布局上游DTY丝、坯布等核心原料产能，推动采购重心从零散的坯布厂采购坯布转向从大型化纤厂采购涤纶丝，近20万吨的涤纶丝集采规模优势凸显，公司供应链的商业谈判能力进一步增强，并能有效提升淡季产能利用率。从源头实施品质管控，保障供应链安全稳定，坯布自给率也将大幅提升，有利于进一步节约采购成本，增强公司整体盈利弹性与抗风险能力，为长期可持续发展提供有力支撑。</w:t>
            </w:r>
          </w:p>
          <w:p w14:paraId="0A6805E0"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第二，优化产品结构，发力高毛利新品。2025年四季度推出高毛利产品经编麂皮绒系列，市场反响积极，订单需求旺盛。2026年上半年，公司实现经编麂皮绒销售5,270.34万元，目前公司正加快相关产能扩张布局，加速产品结构向高附加值方向迭代升级，该品类已成为公司利润增长的新支撑点。</w:t>
            </w:r>
          </w:p>
          <w:p w14:paraId="234A842C"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第三，推进生产线节能降碳改造，实现提质增效。能耗成本是公司生产成本的重要组成，2026年上半年公司参股德联重科，该企业专注于研发闭环定型融合机、气水换热、气气换热、废热回收等热能回收装备，通过能耗优化、减排降耗，压降公司能耗成本，持续夯实环保与成本双重优势。</w:t>
            </w:r>
          </w:p>
          <w:p w14:paraId="437A7846" w14:textId="77777777" w:rsidR="00DC579F" w:rsidRDefault="00000000">
            <w:pPr>
              <w:spacing w:line="360" w:lineRule="auto"/>
              <w:ind w:firstLineChars="200" w:firstLine="400"/>
              <w:jc w:val="both"/>
              <w:rPr>
                <w:rFonts w:ascii="宋体" w:eastAsia="宋体" w:hAnsi="宋体" w:cs="宋体" w:hint="eastAsia"/>
                <w:bCs/>
                <w:sz w:val="20"/>
                <w:lang w:val="en-US"/>
              </w:rPr>
            </w:pPr>
            <w:r>
              <w:rPr>
                <w:rFonts w:ascii="宋体" w:eastAsia="宋体" w:hAnsi="宋体" w:cs="宋体" w:hint="eastAsia"/>
                <w:bCs/>
                <w:sz w:val="20"/>
                <w:lang w:val="en-US"/>
              </w:rPr>
              <w:t>第四，加强研发合作，推进绿色产品创新。公司持续深化与四川大学等院校及行业技术团队的合作，积极布局绿色产品设计与开发，聚焦生物基材料及可回收丝相关产品和工艺开发，夯实细分领域技术壁垒，顺应绿色循环发展趋势，为中长期竞争力提升与可持续发展注入持续动力。</w:t>
            </w:r>
          </w:p>
          <w:p w14:paraId="0E3AD9A5" w14:textId="77777777" w:rsidR="00DC579F" w:rsidRDefault="00000000">
            <w:pPr>
              <w:pStyle w:val="HTML"/>
              <w:snapToGrid w:val="0"/>
              <w:spacing w:afterLines="150" w:after="360" w:line="360" w:lineRule="auto"/>
              <w:ind w:firstLineChars="200" w:firstLine="400"/>
              <w:jc w:val="both"/>
              <w:rPr>
                <w:rFonts w:asciiTheme="minorEastAsia" w:eastAsiaTheme="minorEastAsia" w:hAnsiTheme="minorEastAsia" w:cstheme="minorEastAsia" w:hint="eastAsia"/>
                <w:bCs/>
                <w:sz w:val="20"/>
              </w:rPr>
            </w:pPr>
            <w:r>
              <w:rPr>
                <w:rFonts w:hint="eastAsia"/>
                <w:bCs/>
                <w:sz w:val="20"/>
              </w:rPr>
              <w:t>第五，外延布局新兴赛道，积累产业资源。公司以主业为基，同时积极开展对外投资布局，持续关注新质生产力领域。现已通过直接股权投资了超高分子聚乙烯纤维、卫星制造等新质生产力领域，为公司中长期发展积累和储备新兴产业资源，探索相关产业机会。</w:t>
            </w:r>
          </w:p>
        </w:tc>
      </w:tr>
      <w:tr w:rsidR="00DC579F" w14:paraId="7956048D" w14:textId="77777777">
        <w:trPr>
          <w:trHeight w:val="561"/>
          <w:jc w:val="center"/>
        </w:trPr>
        <w:tc>
          <w:tcPr>
            <w:tcW w:w="2580" w:type="dxa"/>
            <w:vAlign w:val="center"/>
          </w:tcPr>
          <w:p w14:paraId="03F036B4" w14:textId="77777777" w:rsidR="00DC579F" w:rsidRDefault="00000000">
            <w:pPr>
              <w:pStyle w:val="TableParagraph"/>
              <w:spacing w:before="1"/>
              <w:ind w:leftChars="18" w:left="40"/>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lastRenderedPageBreak/>
              <w:t>附件清单（如有）</w:t>
            </w:r>
          </w:p>
        </w:tc>
        <w:tc>
          <w:tcPr>
            <w:tcW w:w="5945" w:type="dxa"/>
            <w:vAlign w:val="center"/>
          </w:tcPr>
          <w:p w14:paraId="7D9DE721" w14:textId="77777777" w:rsidR="00DC579F" w:rsidRDefault="00000000">
            <w:pPr>
              <w:pStyle w:val="TableParagraph"/>
              <w:spacing w:before="100" w:beforeAutospacing="1" w:line="360" w:lineRule="auto"/>
              <w:rPr>
                <w:rFonts w:asciiTheme="minorEastAsia" w:eastAsiaTheme="minorEastAsia" w:hAnsiTheme="minorEastAsia" w:cstheme="minorEastAsia" w:hint="eastAsia"/>
                <w:sz w:val="20"/>
                <w:szCs w:val="20"/>
              </w:rPr>
            </w:pPr>
            <w:r>
              <w:rPr>
                <w:rFonts w:asciiTheme="minorEastAsia" w:eastAsiaTheme="minorEastAsia" w:hAnsiTheme="minorEastAsia" w:cstheme="minorEastAsia" w:hint="eastAsia"/>
                <w:sz w:val="20"/>
                <w:szCs w:val="20"/>
              </w:rPr>
              <w:t>无</w:t>
            </w:r>
          </w:p>
        </w:tc>
      </w:tr>
      <w:tr w:rsidR="00DC579F" w14:paraId="77034988" w14:textId="77777777">
        <w:trPr>
          <w:trHeight w:val="558"/>
          <w:jc w:val="center"/>
        </w:trPr>
        <w:tc>
          <w:tcPr>
            <w:tcW w:w="2580" w:type="dxa"/>
            <w:vAlign w:val="center"/>
          </w:tcPr>
          <w:p w14:paraId="36EEB5A3" w14:textId="77777777" w:rsidR="00DC579F" w:rsidRDefault="00000000">
            <w:pPr>
              <w:pStyle w:val="TableParagraph"/>
              <w:spacing w:before="1"/>
              <w:ind w:leftChars="18" w:left="40"/>
              <w:rPr>
                <w:rFonts w:asciiTheme="minorEastAsia" w:eastAsiaTheme="minorEastAsia" w:hAnsiTheme="minorEastAsia" w:cstheme="minorEastAsia" w:hint="eastAsia"/>
                <w:b/>
                <w:bCs/>
                <w:sz w:val="20"/>
                <w:szCs w:val="20"/>
              </w:rPr>
            </w:pPr>
            <w:r>
              <w:rPr>
                <w:rFonts w:asciiTheme="minorEastAsia" w:eastAsiaTheme="minorEastAsia" w:hAnsiTheme="minorEastAsia" w:cstheme="minorEastAsia" w:hint="eastAsia"/>
                <w:b/>
                <w:bCs/>
                <w:sz w:val="20"/>
                <w:szCs w:val="20"/>
              </w:rPr>
              <w:t>日期</w:t>
            </w:r>
          </w:p>
        </w:tc>
        <w:tc>
          <w:tcPr>
            <w:tcW w:w="5945" w:type="dxa"/>
            <w:vAlign w:val="center"/>
          </w:tcPr>
          <w:p w14:paraId="02DBD7EC" w14:textId="77777777" w:rsidR="00DC579F" w:rsidRDefault="00000000">
            <w:pPr>
              <w:pStyle w:val="TableParagraph"/>
              <w:spacing w:before="100" w:beforeAutospacing="1"/>
              <w:rPr>
                <w:rFonts w:asciiTheme="minorEastAsia" w:eastAsiaTheme="minorEastAsia" w:hAnsiTheme="minorEastAsia" w:cstheme="minorEastAsia" w:hint="eastAsia"/>
                <w:sz w:val="20"/>
                <w:szCs w:val="20"/>
                <w:lang w:val="en-US"/>
              </w:rPr>
            </w:pPr>
            <w:r>
              <w:rPr>
                <w:rFonts w:asciiTheme="minorEastAsia" w:eastAsiaTheme="minorEastAsia" w:hAnsiTheme="minorEastAsia" w:cstheme="minorEastAsia" w:hint="eastAsia"/>
                <w:sz w:val="20"/>
                <w:szCs w:val="20"/>
                <w:lang w:val="en-US"/>
              </w:rPr>
              <w:t>2026年08月31日</w:t>
            </w:r>
          </w:p>
        </w:tc>
      </w:tr>
    </w:tbl>
    <w:p w14:paraId="1401547E" w14:textId="77777777" w:rsidR="00DC579F" w:rsidRDefault="00DC579F">
      <w:pPr>
        <w:rPr>
          <w:rFonts w:ascii="宋体" w:eastAsia="宋体" w:hAnsi="宋体" w:cs="宋体" w:hint="eastAsia"/>
          <w:sz w:val="28"/>
          <w:szCs w:val="36"/>
        </w:rPr>
      </w:pPr>
    </w:p>
    <w:sectPr w:rsidR="00DC579F">
      <w:type w:val="continuous"/>
      <w:pgSz w:w="11910" w:h="16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default"/>
    <w:sig w:usb0="00000000" w:usb1="0000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46BD0"/>
    <w:multiLevelType w:val="singleLevel"/>
    <w:tmpl w:val="47F46BD0"/>
    <w:lvl w:ilvl="0">
      <w:start w:val="1"/>
      <w:numFmt w:val="decimal"/>
      <w:lvlText w:val="%1."/>
      <w:lvlJc w:val="left"/>
      <w:pPr>
        <w:tabs>
          <w:tab w:val="left" w:pos="312"/>
        </w:tabs>
      </w:pPr>
    </w:lvl>
  </w:abstractNum>
  <w:num w:numId="1" w16cid:durableId="249050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A4MmIxZjVjNDk4YjA5YmMwNTdhYjM4NWQ5MDBlNGUifQ=="/>
    <w:docVar w:name="KSO_WPS_MARK_KEY" w:val="020bb16b-909f-4408-8db5-30282c2b0f20"/>
  </w:docVars>
  <w:rsids>
    <w:rsidRoot w:val="00301D32"/>
    <w:rsid w:val="000038D2"/>
    <w:rsid w:val="00026CC3"/>
    <w:rsid w:val="00036089"/>
    <w:rsid w:val="00036F1B"/>
    <w:rsid w:val="000464C8"/>
    <w:rsid w:val="00053CFA"/>
    <w:rsid w:val="000633EC"/>
    <w:rsid w:val="00063804"/>
    <w:rsid w:val="00064C78"/>
    <w:rsid w:val="000665A2"/>
    <w:rsid w:val="000730D1"/>
    <w:rsid w:val="000774B1"/>
    <w:rsid w:val="0008207F"/>
    <w:rsid w:val="000877AB"/>
    <w:rsid w:val="000B7C08"/>
    <w:rsid w:val="000D12CF"/>
    <w:rsid w:val="000D2D88"/>
    <w:rsid w:val="000E4B20"/>
    <w:rsid w:val="000E4D2D"/>
    <w:rsid w:val="00111B43"/>
    <w:rsid w:val="0011418F"/>
    <w:rsid w:val="00145F59"/>
    <w:rsid w:val="0015307B"/>
    <w:rsid w:val="00172C24"/>
    <w:rsid w:val="0019073D"/>
    <w:rsid w:val="001D718E"/>
    <w:rsid w:val="001E59D1"/>
    <w:rsid w:val="001E5EA4"/>
    <w:rsid w:val="002042A7"/>
    <w:rsid w:val="00205911"/>
    <w:rsid w:val="002140B7"/>
    <w:rsid w:val="002146AD"/>
    <w:rsid w:val="002319F4"/>
    <w:rsid w:val="0023555B"/>
    <w:rsid w:val="002438F3"/>
    <w:rsid w:val="00275CB6"/>
    <w:rsid w:val="002800B5"/>
    <w:rsid w:val="0028625E"/>
    <w:rsid w:val="00295B29"/>
    <w:rsid w:val="002B7796"/>
    <w:rsid w:val="002D4073"/>
    <w:rsid w:val="002E6493"/>
    <w:rsid w:val="002E7098"/>
    <w:rsid w:val="00301D32"/>
    <w:rsid w:val="00366FAD"/>
    <w:rsid w:val="0037105B"/>
    <w:rsid w:val="003975BA"/>
    <w:rsid w:val="003A74E6"/>
    <w:rsid w:val="003B73DD"/>
    <w:rsid w:val="003D011C"/>
    <w:rsid w:val="004108C7"/>
    <w:rsid w:val="00412DC2"/>
    <w:rsid w:val="00415A4B"/>
    <w:rsid w:val="00432E00"/>
    <w:rsid w:val="00440041"/>
    <w:rsid w:val="00451268"/>
    <w:rsid w:val="004515AD"/>
    <w:rsid w:val="00451857"/>
    <w:rsid w:val="00453516"/>
    <w:rsid w:val="00457548"/>
    <w:rsid w:val="00470DB2"/>
    <w:rsid w:val="004925E7"/>
    <w:rsid w:val="004950CF"/>
    <w:rsid w:val="00495B11"/>
    <w:rsid w:val="004F6FF3"/>
    <w:rsid w:val="00520EE5"/>
    <w:rsid w:val="00544FDA"/>
    <w:rsid w:val="00550F8D"/>
    <w:rsid w:val="00552871"/>
    <w:rsid w:val="00571B49"/>
    <w:rsid w:val="005743AE"/>
    <w:rsid w:val="005947B0"/>
    <w:rsid w:val="005A178A"/>
    <w:rsid w:val="005D3CFA"/>
    <w:rsid w:val="005D64CA"/>
    <w:rsid w:val="005E5717"/>
    <w:rsid w:val="005E6DB2"/>
    <w:rsid w:val="0061433E"/>
    <w:rsid w:val="0061597B"/>
    <w:rsid w:val="0062751D"/>
    <w:rsid w:val="006354AA"/>
    <w:rsid w:val="00661AFA"/>
    <w:rsid w:val="00663313"/>
    <w:rsid w:val="006726BF"/>
    <w:rsid w:val="00677B77"/>
    <w:rsid w:val="0068718A"/>
    <w:rsid w:val="006A2739"/>
    <w:rsid w:val="006B5C95"/>
    <w:rsid w:val="006C3A39"/>
    <w:rsid w:val="006C3FB7"/>
    <w:rsid w:val="006E14B0"/>
    <w:rsid w:val="006F0108"/>
    <w:rsid w:val="00704AE6"/>
    <w:rsid w:val="00706FF0"/>
    <w:rsid w:val="007153A2"/>
    <w:rsid w:val="00724A68"/>
    <w:rsid w:val="007271BF"/>
    <w:rsid w:val="00730DD3"/>
    <w:rsid w:val="00733224"/>
    <w:rsid w:val="00742A49"/>
    <w:rsid w:val="00743589"/>
    <w:rsid w:val="00746CA3"/>
    <w:rsid w:val="00764128"/>
    <w:rsid w:val="007824B8"/>
    <w:rsid w:val="007910DD"/>
    <w:rsid w:val="007A3EC1"/>
    <w:rsid w:val="007A5FC0"/>
    <w:rsid w:val="007B3368"/>
    <w:rsid w:val="007C0FC6"/>
    <w:rsid w:val="007D0A69"/>
    <w:rsid w:val="007D6DC4"/>
    <w:rsid w:val="00805C1B"/>
    <w:rsid w:val="00823244"/>
    <w:rsid w:val="00847BE4"/>
    <w:rsid w:val="00853463"/>
    <w:rsid w:val="008632F6"/>
    <w:rsid w:val="00893F25"/>
    <w:rsid w:val="00895035"/>
    <w:rsid w:val="008B2B14"/>
    <w:rsid w:val="008C6AED"/>
    <w:rsid w:val="008C7604"/>
    <w:rsid w:val="008E1B27"/>
    <w:rsid w:val="00903379"/>
    <w:rsid w:val="00906975"/>
    <w:rsid w:val="00917F0B"/>
    <w:rsid w:val="00917F8B"/>
    <w:rsid w:val="00950C0C"/>
    <w:rsid w:val="00960964"/>
    <w:rsid w:val="00965E4D"/>
    <w:rsid w:val="009B1D5C"/>
    <w:rsid w:val="009C2E31"/>
    <w:rsid w:val="009E1955"/>
    <w:rsid w:val="00A0359F"/>
    <w:rsid w:val="00A27639"/>
    <w:rsid w:val="00A527AA"/>
    <w:rsid w:val="00A53CD1"/>
    <w:rsid w:val="00A554AF"/>
    <w:rsid w:val="00A5684D"/>
    <w:rsid w:val="00A75C61"/>
    <w:rsid w:val="00A9601B"/>
    <w:rsid w:val="00AD100E"/>
    <w:rsid w:val="00AD5056"/>
    <w:rsid w:val="00AE1E36"/>
    <w:rsid w:val="00AE2401"/>
    <w:rsid w:val="00AF74AA"/>
    <w:rsid w:val="00B03C2F"/>
    <w:rsid w:val="00B15064"/>
    <w:rsid w:val="00B340A3"/>
    <w:rsid w:val="00B410F5"/>
    <w:rsid w:val="00B41EFC"/>
    <w:rsid w:val="00B6280C"/>
    <w:rsid w:val="00B671A4"/>
    <w:rsid w:val="00B72CD4"/>
    <w:rsid w:val="00B85B00"/>
    <w:rsid w:val="00BA4D8B"/>
    <w:rsid w:val="00BB3FDD"/>
    <w:rsid w:val="00BF132F"/>
    <w:rsid w:val="00BF52BB"/>
    <w:rsid w:val="00C020BC"/>
    <w:rsid w:val="00C13878"/>
    <w:rsid w:val="00C31334"/>
    <w:rsid w:val="00C427E2"/>
    <w:rsid w:val="00C666E6"/>
    <w:rsid w:val="00CA1705"/>
    <w:rsid w:val="00CE1A54"/>
    <w:rsid w:val="00CF5FB6"/>
    <w:rsid w:val="00D02518"/>
    <w:rsid w:val="00D17454"/>
    <w:rsid w:val="00D33FBC"/>
    <w:rsid w:val="00D7535C"/>
    <w:rsid w:val="00D76302"/>
    <w:rsid w:val="00D86BC6"/>
    <w:rsid w:val="00DA5CE2"/>
    <w:rsid w:val="00DC579F"/>
    <w:rsid w:val="00DE10E8"/>
    <w:rsid w:val="00DF2EE0"/>
    <w:rsid w:val="00E16FDA"/>
    <w:rsid w:val="00E35F58"/>
    <w:rsid w:val="00E429BA"/>
    <w:rsid w:val="00E45BD9"/>
    <w:rsid w:val="00E66FFC"/>
    <w:rsid w:val="00E759D6"/>
    <w:rsid w:val="00E84A8C"/>
    <w:rsid w:val="00E91690"/>
    <w:rsid w:val="00E976DE"/>
    <w:rsid w:val="00EA13E1"/>
    <w:rsid w:val="00EB6379"/>
    <w:rsid w:val="00EC0F83"/>
    <w:rsid w:val="00EC682C"/>
    <w:rsid w:val="00EC7A1C"/>
    <w:rsid w:val="00ED2DD0"/>
    <w:rsid w:val="00EE3187"/>
    <w:rsid w:val="00EF499B"/>
    <w:rsid w:val="00F10593"/>
    <w:rsid w:val="00F14977"/>
    <w:rsid w:val="00F275F0"/>
    <w:rsid w:val="00F37A67"/>
    <w:rsid w:val="00F608DA"/>
    <w:rsid w:val="00F70D5C"/>
    <w:rsid w:val="00FB4A08"/>
    <w:rsid w:val="00FC0C2A"/>
    <w:rsid w:val="00FD7F8E"/>
    <w:rsid w:val="00FF11E4"/>
    <w:rsid w:val="00FF4B2F"/>
    <w:rsid w:val="016357C8"/>
    <w:rsid w:val="02C37754"/>
    <w:rsid w:val="03801AD0"/>
    <w:rsid w:val="03D66BA6"/>
    <w:rsid w:val="04B072D4"/>
    <w:rsid w:val="05076E2F"/>
    <w:rsid w:val="057C552B"/>
    <w:rsid w:val="05F575D4"/>
    <w:rsid w:val="063D6D7E"/>
    <w:rsid w:val="064249C6"/>
    <w:rsid w:val="06F04422"/>
    <w:rsid w:val="07EC1869"/>
    <w:rsid w:val="08641132"/>
    <w:rsid w:val="08A94889"/>
    <w:rsid w:val="09186774"/>
    <w:rsid w:val="09440A55"/>
    <w:rsid w:val="0945438F"/>
    <w:rsid w:val="0A474359"/>
    <w:rsid w:val="0A71587A"/>
    <w:rsid w:val="0A747118"/>
    <w:rsid w:val="0B792C38"/>
    <w:rsid w:val="0BCF6E4F"/>
    <w:rsid w:val="0BEF4305"/>
    <w:rsid w:val="0C28640C"/>
    <w:rsid w:val="0C750C8F"/>
    <w:rsid w:val="0D295F98"/>
    <w:rsid w:val="0DC86E4D"/>
    <w:rsid w:val="0DE3083D"/>
    <w:rsid w:val="0E90599A"/>
    <w:rsid w:val="0ED720CD"/>
    <w:rsid w:val="0ED9579C"/>
    <w:rsid w:val="0F5512C6"/>
    <w:rsid w:val="104B04BC"/>
    <w:rsid w:val="1125139B"/>
    <w:rsid w:val="12070CAE"/>
    <w:rsid w:val="141F72AA"/>
    <w:rsid w:val="145F688C"/>
    <w:rsid w:val="15B213C9"/>
    <w:rsid w:val="15DD2205"/>
    <w:rsid w:val="17072842"/>
    <w:rsid w:val="17A67110"/>
    <w:rsid w:val="1864189B"/>
    <w:rsid w:val="18D73A7D"/>
    <w:rsid w:val="19557370"/>
    <w:rsid w:val="19D61256"/>
    <w:rsid w:val="1A380BC7"/>
    <w:rsid w:val="1BD06B6A"/>
    <w:rsid w:val="1D864D41"/>
    <w:rsid w:val="1E805C34"/>
    <w:rsid w:val="1F170346"/>
    <w:rsid w:val="1F235418"/>
    <w:rsid w:val="1F782BDE"/>
    <w:rsid w:val="204A6A53"/>
    <w:rsid w:val="20F0631E"/>
    <w:rsid w:val="21645399"/>
    <w:rsid w:val="222F1E4B"/>
    <w:rsid w:val="22F0399A"/>
    <w:rsid w:val="23317869"/>
    <w:rsid w:val="238B4BF0"/>
    <w:rsid w:val="23F219B5"/>
    <w:rsid w:val="25650CAE"/>
    <w:rsid w:val="25E22BC3"/>
    <w:rsid w:val="26406598"/>
    <w:rsid w:val="273534BD"/>
    <w:rsid w:val="28080056"/>
    <w:rsid w:val="28734C1A"/>
    <w:rsid w:val="28C72DDD"/>
    <w:rsid w:val="28E60D8A"/>
    <w:rsid w:val="29EE0E64"/>
    <w:rsid w:val="29F51284"/>
    <w:rsid w:val="2ABE1361"/>
    <w:rsid w:val="2B6F4CE5"/>
    <w:rsid w:val="2BC4020A"/>
    <w:rsid w:val="2CFB12A7"/>
    <w:rsid w:val="2D340B63"/>
    <w:rsid w:val="2D947A21"/>
    <w:rsid w:val="2E767BD7"/>
    <w:rsid w:val="2EF90F16"/>
    <w:rsid w:val="2F125C63"/>
    <w:rsid w:val="2FDB0F1C"/>
    <w:rsid w:val="302C3D0A"/>
    <w:rsid w:val="3104598F"/>
    <w:rsid w:val="31BC0566"/>
    <w:rsid w:val="31E367AE"/>
    <w:rsid w:val="32762D47"/>
    <w:rsid w:val="33596D28"/>
    <w:rsid w:val="33B80693"/>
    <w:rsid w:val="33DE31BB"/>
    <w:rsid w:val="34605E94"/>
    <w:rsid w:val="34CB7A66"/>
    <w:rsid w:val="34D4418C"/>
    <w:rsid w:val="354B444E"/>
    <w:rsid w:val="3575771D"/>
    <w:rsid w:val="362E2E8E"/>
    <w:rsid w:val="363B1AF5"/>
    <w:rsid w:val="365F76A0"/>
    <w:rsid w:val="37E47653"/>
    <w:rsid w:val="389C49C0"/>
    <w:rsid w:val="39391637"/>
    <w:rsid w:val="39BC78F4"/>
    <w:rsid w:val="39CE564E"/>
    <w:rsid w:val="3A7D116A"/>
    <w:rsid w:val="3ACF78CF"/>
    <w:rsid w:val="3B35486F"/>
    <w:rsid w:val="3B483C15"/>
    <w:rsid w:val="3C7050E2"/>
    <w:rsid w:val="3DBA03C3"/>
    <w:rsid w:val="3E240B44"/>
    <w:rsid w:val="3EF1250A"/>
    <w:rsid w:val="3EFC04CE"/>
    <w:rsid w:val="3FC574F3"/>
    <w:rsid w:val="40567DB0"/>
    <w:rsid w:val="40FF5CD2"/>
    <w:rsid w:val="417B2918"/>
    <w:rsid w:val="41C732FD"/>
    <w:rsid w:val="41CE3A06"/>
    <w:rsid w:val="42DB40B0"/>
    <w:rsid w:val="43AA2C88"/>
    <w:rsid w:val="43B71B0A"/>
    <w:rsid w:val="44663053"/>
    <w:rsid w:val="449B0822"/>
    <w:rsid w:val="44FA0589"/>
    <w:rsid w:val="45147D46"/>
    <w:rsid w:val="45A663E3"/>
    <w:rsid w:val="45EA380F"/>
    <w:rsid w:val="469F09AF"/>
    <w:rsid w:val="46EB616B"/>
    <w:rsid w:val="47240FA3"/>
    <w:rsid w:val="473E3456"/>
    <w:rsid w:val="474653BD"/>
    <w:rsid w:val="47BF0BA1"/>
    <w:rsid w:val="49521DF7"/>
    <w:rsid w:val="4A7700FB"/>
    <w:rsid w:val="4A91694F"/>
    <w:rsid w:val="4B756271"/>
    <w:rsid w:val="4C8E1CA8"/>
    <w:rsid w:val="4C9646F1"/>
    <w:rsid w:val="4D6D36A4"/>
    <w:rsid w:val="4FF37764"/>
    <w:rsid w:val="510903EF"/>
    <w:rsid w:val="523C1897"/>
    <w:rsid w:val="52864D26"/>
    <w:rsid w:val="52BB0A0D"/>
    <w:rsid w:val="530E4637"/>
    <w:rsid w:val="53E218EE"/>
    <w:rsid w:val="53F137F4"/>
    <w:rsid w:val="53FA7313"/>
    <w:rsid w:val="53FB1A53"/>
    <w:rsid w:val="543A6906"/>
    <w:rsid w:val="54790B80"/>
    <w:rsid w:val="54A004A0"/>
    <w:rsid w:val="56850CBB"/>
    <w:rsid w:val="568D26C1"/>
    <w:rsid w:val="56AC16BA"/>
    <w:rsid w:val="573D3B7D"/>
    <w:rsid w:val="574F5BC8"/>
    <w:rsid w:val="57D91936"/>
    <w:rsid w:val="57E04A72"/>
    <w:rsid w:val="57E44562"/>
    <w:rsid w:val="588E42F2"/>
    <w:rsid w:val="5980650D"/>
    <w:rsid w:val="59D8738A"/>
    <w:rsid w:val="5A144EA7"/>
    <w:rsid w:val="5A666D76"/>
    <w:rsid w:val="5A6C4B9A"/>
    <w:rsid w:val="5ADE798F"/>
    <w:rsid w:val="5B1F58B2"/>
    <w:rsid w:val="5B2253C2"/>
    <w:rsid w:val="5B6D486F"/>
    <w:rsid w:val="5C3A6E47"/>
    <w:rsid w:val="5CF02E0F"/>
    <w:rsid w:val="5E073486"/>
    <w:rsid w:val="5E734876"/>
    <w:rsid w:val="5E875C48"/>
    <w:rsid w:val="5E920D21"/>
    <w:rsid w:val="603269D2"/>
    <w:rsid w:val="61693D2A"/>
    <w:rsid w:val="61A52BCA"/>
    <w:rsid w:val="623264D8"/>
    <w:rsid w:val="62646A26"/>
    <w:rsid w:val="62E75CD9"/>
    <w:rsid w:val="62FF30F3"/>
    <w:rsid w:val="63A14619"/>
    <w:rsid w:val="649C451E"/>
    <w:rsid w:val="67095496"/>
    <w:rsid w:val="67ED7463"/>
    <w:rsid w:val="680B1697"/>
    <w:rsid w:val="681A546A"/>
    <w:rsid w:val="69AA4EE0"/>
    <w:rsid w:val="69CB37D4"/>
    <w:rsid w:val="6A0D5B9B"/>
    <w:rsid w:val="6A11195E"/>
    <w:rsid w:val="6A3B23B1"/>
    <w:rsid w:val="6AEA32DC"/>
    <w:rsid w:val="6B166CD1"/>
    <w:rsid w:val="6C733CAF"/>
    <w:rsid w:val="6CC24AB5"/>
    <w:rsid w:val="6CF02C66"/>
    <w:rsid w:val="6D9271B2"/>
    <w:rsid w:val="6F134790"/>
    <w:rsid w:val="6FE81F5F"/>
    <w:rsid w:val="6FFD6D35"/>
    <w:rsid w:val="70EB4D0A"/>
    <w:rsid w:val="71FA5914"/>
    <w:rsid w:val="72446028"/>
    <w:rsid w:val="727E1BD2"/>
    <w:rsid w:val="72A2709C"/>
    <w:rsid w:val="73076EC0"/>
    <w:rsid w:val="73CE542D"/>
    <w:rsid w:val="73D15EDF"/>
    <w:rsid w:val="74210CA6"/>
    <w:rsid w:val="745F3497"/>
    <w:rsid w:val="746F4E76"/>
    <w:rsid w:val="74D91286"/>
    <w:rsid w:val="754C531D"/>
    <w:rsid w:val="75A0131A"/>
    <w:rsid w:val="75EE7637"/>
    <w:rsid w:val="76E61891"/>
    <w:rsid w:val="76F93003"/>
    <w:rsid w:val="77FC0FFD"/>
    <w:rsid w:val="788C25F5"/>
    <w:rsid w:val="79F51FB6"/>
    <w:rsid w:val="79F72AA9"/>
    <w:rsid w:val="7A144529"/>
    <w:rsid w:val="7B7F7F7B"/>
    <w:rsid w:val="7DD37FAE"/>
    <w:rsid w:val="7F7E7009"/>
    <w:rsid w:val="7FD9A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D8B5ED6-5FBF-43FB-9D11-A25DC364B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仿宋" w:eastAsia="仿宋" w:hAnsi="仿宋" w:cs="仿宋"/>
      <w:sz w:val="22"/>
      <w:szCs w:val="22"/>
      <w:lang w:val="zh-CN" w:bidi="zh-CN"/>
    </w:rPr>
  </w:style>
  <w:style w:type="paragraph" w:styleId="1">
    <w:name w:val="heading 1"/>
    <w:basedOn w:val="a"/>
    <w:next w:val="a"/>
    <w:uiPriority w:val="1"/>
    <w:qFormat/>
    <w:pPr>
      <w:outlineLvl w:val="0"/>
    </w:pPr>
    <w:rPr>
      <w:rFonts w:ascii="PMingLiU" w:eastAsia="PMingLiU" w:hAnsi="PMingLiU" w:cs="PMingLiU"/>
      <w:sz w:val="44"/>
      <w:szCs w:val="44"/>
    </w:rPr>
  </w:style>
  <w:style w:type="paragraph" w:styleId="2">
    <w:name w:val="heading 2"/>
    <w:basedOn w:val="a"/>
    <w:next w:val="a"/>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uiPriority w:val="1"/>
    <w:qFormat/>
    <w:pPr>
      <w:ind w:left="220"/>
    </w:pPr>
    <w:rPr>
      <w:sz w:val="32"/>
      <w:szCs w:val="32"/>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宋体" w:eastAsia="宋体" w:hAnsi="宋体" w:cs="宋体"/>
      <w:sz w:val="24"/>
      <w:szCs w:val="24"/>
      <w:lang w:val="en-US" w:bidi="ar-SA"/>
    </w:rPr>
  </w:style>
  <w:style w:type="paragraph" w:styleId="ac">
    <w:name w:val="annotation subject"/>
    <w:basedOn w:val="a3"/>
    <w:next w:val="a3"/>
    <w:link w:val="ad"/>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qFormat/>
    <w:rPr>
      <w:sz w:val="21"/>
      <w:szCs w:val="21"/>
    </w:rPr>
  </w:style>
  <w:style w:type="paragraph" w:customStyle="1" w:styleId="TableParagraph">
    <w:name w:val="Table Paragraph"/>
    <w:basedOn w:val="a"/>
    <w:uiPriority w:val="1"/>
    <w:qFormat/>
  </w:style>
  <w:style w:type="character" w:customStyle="1" w:styleId="ab">
    <w:name w:val="页眉 字符"/>
    <w:basedOn w:val="a0"/>
    <w:link w:val="aa"/>
    <w:qFormat/>
    <w:rPr>
      <w:rFonts w:ascii="仿宋" w:eastAsia="仿宋" w:hAnsi="仿宋" w:cs="仿宋"/>
      <w:sz w:val="18"/>
      <w:szCs w:val="18"/>
      <w:lang w:val="zh-CN" w:bidi="zh-CN"/>
    </w:rPr>
  </w:style>
  <w:style w:type="character" w:customStyle="1" w:styleId="a9">
    <w:name w:val="页脚 字符"/>
    <w:basedOn w:val="a0"/>
    <w:link w:val="a8"/>
    <w:qFormat/>
    <w:rPr>
      <w:rFonts w:ascii="仿宋" w:eastAsia="仿宋" w:hAnsi="仿宋" w:cs="仿宋"/>
      <w:sz w:val="18"/>
      <w:szCs w:val="18"/>
      <w:lang w:val="zh-CN" w:bidi="zh-CN"/>
    </w:rPr>
  </w:style>
  <w:style w:type="character" w:customStyle="1" w:styleId="a4">
    <w:name w:val="批注文字 字符"/>
    <w:basedOn w:val="a0"/>
    <w:link w:val="a3"/>
    <w:qFormat/>
    <w:rPr>
      <w:rFonts w:ascii="仿宋" w:eastAsia="仿宋" w:hAnsi="仿宋" w:cs="仿宋"/>
      <w:sz w:val="22"/>
      <w:szCs w:val="22"/>
      <w:lang w:val="zh-CN" w:bidi="zh-CN"/>
    </w:rPr>
  </w:style>
  <w:style w:type="character" w:customStyle="1" w:styleId="ad">
    <w:name w:val="批注主题 字符"/>
    <w:basedOn w:val="a4"/>
    <w:link w:val="ac"/>
    <w:qFormat/>
    <w:rPr>
      <w:rFonts w:ascii="仿宋" w:eastAsia="仿宋" w:hAnsi="仿宋" w:cs="仿宋"/>
      <w:b/>
      <w:bCs/>
      <w:sz w:val="22"/>
      <w:szCs w:val="22"/>
      <w:lang w:val="zh-CN" w:bidi="zh-CN"/>
    </w:rPr>
  </w:style>
  <w:style w:type="character" w:customStyle="1" w:styleId="a7">
    <w:name w:val="批注框文本 字符"/>
    <w:basedOn w:val="a0"/>
    <w:link w:val="a6"/>
    <w:qFormat/>
    <w:rPr>
      <w:rFonts w:ascii="仿宋" w:eastAsia="仿宋" w:hAnsi="仿宋" w:cs="仿宋"/>
      <w:sz w:val="18"/>
      <w:szCs w:val="18"/>
      <w:lang w:val="zh-CN" w:bidi="zh-CN"/>
    </w:rPr>
  </w:style>
  <w:style w:type="character" w:customStyle="1" w:styleId="HTML0">
    <w:name w:val="HTML 预设格式 字符"/>
    <w:basedOn w:val="a0"/>
    <w:link w:val="HTML"/>
    <w:uiPriority w:val="99"/>
    <w:qFormat/>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2416454-D52C-4974-A468-5D02FFFC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838</Words>
  <Characters>4783</Characters>
  <Application>Microsoft Office Word</Application>
  <DocSecurity>0</DocSecurity>
  <Lines>39</Lines>
  <Paragraphs>11</Paragraphs>
  <ScaleCrop>false</ScaleCrop>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jie.huang</dc:creator>
  <cp:lastModifiedBy>yl g</cp:lastModifiedBy>
  <cp:revision>71</cp:revision>
  <cp:lastPrinted>2025-02-14T14:47:00Z</cp:lastPrinted>
  <dcterms:created xsi:type="dcterms:W3CDTF">2023-05-04T16:25:00Z</dcterms:created>
  <dcterms:modified xsi:type="dcterms:W3CDTF">2026-09-01T09:50:00Z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57D148DF2F764966BF4E1C38A6255FA2</vt:lpwstr>
  </property>
  <property fmtid="{D5CDD505-2E9C-101B-9397-08002B2CF9AE}" pid="4" name="KSOTemplateDocerSaveRecord">
    <vt:lpwstr>eyJoZGlkIjoiMGZkNGIwZGM2NTkxMGM2NjkzMDFjMTZjNzMzNmMyNjgiLCJ1c2VySWQiOiIzMTk5MTI5NTQifQ==</vt:lpwstr>
  </property>
</Properties>
</file>