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EF9B5" w14:textId="0FE5F927" w:rsidR="0052604A" w:rsidRDefault="00000000">
      <w:pPr>
        <w:spacing w:beforeLines="50" w:before="156" w:afterLines="50" w:after="156" w:line="400" w:lineRule="exact"/>
        <w:rPr>
          <w:rFonts w:ascii="宋体" w:hAnsi="宋体" w:hint="eastAsia"/>
          <w:b/>
          <w:iCs/>
          <w:color w:val="000000"/>
          <w:sz w:val="20"/>
          <w:szCs w:val="20"/>
        </w:rPr>
      </w:pPr>
      <w:r>
        <w:rPr>
          <w:rFonts w:hAnsi="宋体"/>
          <w:b/>
          <w:iCs/>
          <w:color w:val="000000"/>
          <w:sz w:val="24"/>
        </w:rPr>
        <w:t>证券代码：</w:t>
      </w:r>
      <w:r>
        <w:rPr>
          <w:b/>
          <w:color w:val="000000"/>
          <w:sz w:val="24"/>
        </w:rPr>
        <w:t xml:space="preserve">688646                                  </w:t>
      </w:r>
      <w:r>
        <w:rPr>
          <w:rFonts w:hAnsi="宋体"/>
          <w:b/>
          <w:iCs/>
          <w:color w:val="000000"/>
          <w:sz w:val="24"/>
        </w:rPr>
        <w:t>证券简称：</w:t>
      </w:r>
      <w:r>
        <w:rPr>
          <w:b/>
          <w:color w:val="000000"/>
          <w:sz w:val="24"/>
        </w:rPr>
        <w:t>逸飞</w:t>
      </w:r>
      <w:r>
        <w:rPr>
          <w:rFonts w:hint="eastAsia"/>
          <w:b/>
          <w:color w:val="000000"/>
          <w:sz w:val="24"/>
        </w:rPr>
        <w:t>激光</w:t>
      </w:r>
    </w:p>
    <w:p w14:paraId="5A0E96AE" w14:textId="77777777" w:rsidR="0052604A" w:rsidRDefault="0052604A">
      <w:pPr>
        <w:spacing w:beforeLines="50" w:before="156" w:afterLines="50" w:after="156" w:line="400" w:lineRule="exact"/>
        <w:jc w:val="center"/>
        <w:rPr>
          <w:rFonts w:ascii="宋体" w:hAnsi="宋体" w:hint="eastAsia"/>
          <w:b/>
          <w:bCs/>
          <w:iCs/>
          <w:color w:val="000000"/>
          <w:sz w:val="32"/>
          <w:szCs w:val="32"/>
        </w:rPr>
      </w:pPr>
    </w:p>
    <w:p w14:paraId="7CB769D9" w14:textId="77777777" w:rsidR="0052604A" w:rsidRDefault="00000000">
      <w:pPr>
        <w:spacing w:beforeLines="50" w:before="156" w:afterLines="50" w:after="156" w:line="400" w:lineRule="exact"/>
        <w:jc w:val="center"/>
        <w:rPr>
          <w:rFonts w:ascii="宋体" w:hAnsi="宋体" w:hint="eastAsia"/>
          <w:b/>
          <w:bCs/>
          <w:iCs/>
          <w:color w:val="000000"/>
          <w:sz w:val="32"/>
          <w:szCs w:val="32"/>
        </w:rPr>
      </w:pPr>
      <w:r>
        <w:rPr>
          <w:rFonts w:ascii="宋体" w:hAnsi="宋体"/>
          <w:b/>
          <w:bCs/>
          <w:iCs/>
          <w:color w:val="000000"/>
          <w:sz w:val="32"/>
          <w:szCs w:val="32"/>
        </w:rPr>
        <w:t>武汉逸飞激光股份有限公司</w:t>
      </w:r>
    </w:p>
    <w:p w14:paraId="2364A577" w14:textId="77777777" w:rsidR="0052604A" w:rsidRDefault="00000000">
      <w:pPr>
        <w:spacing w:beforeLines="50" w:before="156" w:afterLines="50" w:after="156" w:line="400" w:lineRule="exact"/>
        <w:jc w:val="center"/>
        <w:rPr>
          <w:rFonts w:ascii="宋体" w:hAnsi="宋体" w:hint="eastAsia"/>
          <w:b/>
          <w:bCs/>
          <w:iCs/>
          <w:color w:val="000000"/>
          <w:sz w:val="32"/>
          <w:szCs w:val="32"/>
        </w:rPr>
      </w:pPr>
      <w:r>
        <w:rPr>
          <w:rFonts w:ascii="宋体" w:hAnsi="宋体" w:hint="eastAsia"/>
          <w:b/>
          <w:bCs/>
          <w:iCs/>
          <w:color w:val="000000"/>
          <w:sz w:val="32"/>
          <w:szCs w:val="32"/>
        </w:rPr>
        <w:t>投资者关系活动记录表</w:t>
      </w:r>
    </w:p>
    <w:p w14:paraId="672C94FA" w14:textId="77777777" w:rsidR="0052604A" w:rsidRDefault="00000000">
      <w:pPr>
        <w:spacing w:beforeLines="50" w:before="156" w:afterLines="50" w:after="156" w:line="400" w:lineRule="exact"/>
        <w:jc w:val="right"/>
        <w:rPr>
          <w:rFonts w:ascii="宋体" w:hAnsi="宋体" w:hint="eastAsia"/>
          <w:b/>
          <w:bCs/>
          <w:iCs/>
          <w:color w:val="000000"/>
          <w:sz w:val="32"/>
          <w:szCs w:val="32"/>
        </w:rPr>
      </w:pPr>
      <w:r>
        <w:rPr>
          <w:rFonts w:ascii="宋体" w:hAnsi="宋体" w:cs="宋体"/>
          <w:b/>
          <w:bCs/>
          <w:sz w:val="24"/>
        </w:rPr>
        <w:t>编号：202</w:t>
      </w:r>
      <w:r>
        <w:rPr>
          <w:rFonts w:ascii="宋体" w:hAnsi="宋体" w:cs="宋体" w:hint="eastAsia"/>
          <w:b/>
          <w:bCs/>
          <w:sz w:val="24"/>
        </w:rPr>
        <w:t>6</w:t>
      </w:r>
      <w:r>
        <w:rPr>
          <w:rFonts w:ascii="宋体" w:hAnsi="宋体" w:cs="宋体"/>
          <w:b/>
          <w:bCs/>
          <w:sz w:val="24"/>
        </w:rPr>
        <w:t>-00</w:t>
      </w:r>
      <w:r>
        <w:rPr>
          <w:rFonts w:ascii="宋体" w:hAnsi="宋体" w:cs="宋体" w:hint="eastAsia"/>
          <w:b/>
          <w:bCs/>
          <w:sz w:val="24"/>
        </w:rPr>
        <w:t>5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8"/>
        <w:gridCol w:w="6847"/>
      </w:tblGrid>
      <w:tr w:rsidR="0052604A" w14:paraId="36B7C5AB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C375A" w14:textId="77777777" w:rsidR="0052604A" w:rsidRDefault="00000000">
            <w:pPr>
              <w:spacing w:line="40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 xml:space="preserve">                                                     </w:t>
            </w: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投资者关系活动类别</w:t>
            </w:r>
          </w:p>
          <w:p w14:paraId="50C44D30" w14:textId="77777777" w:rsidR="0052604A" w:rsidRDefault="0052604A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20DF2" w14:textId="77777777" w:rsidR="0052604A" w:rsidRDefault="00000000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特定对象调研</w:t>
            </w:r>
            <w:r>
              <w:rPr>
                <w:kern w:val="0"/>
                <w:sz w:val="24"/>
              </w:rPr>
              <w:t xml:space="preserve">       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分析师会议</w:t>
            </w:r>
          </w:p>
          <w:p w14:paraId="366DB8C8" w14:textId="77777777" w:rsidR="0052604A" w:rsidRDefault="00000000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媒体采访</w:t>
            </w:r>
            <w:r>
              <w:rPr>
                <w:kern w:val="0"/>
                <w:sz w:val="24"/>
              </w:rPr>
              <w:t xml:space="preserve">            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业绩说明会</w:t>
            </w:r>
          </w:p>
          <w:p w14:paraId="2A56AF84" w14:textId="77777777" w:rsidR="0052604A" w:rsidRDefault="00000000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新闻发布会</w:t>
            </w:r>
            <w:r>
              <w:rPr>
                <w:kern w:val="0"/>
                <w:sz w:val="24"/>
              </w:rPr>
              <w:t xml:space="preserve">          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路演活动</w:t>
            </w:r>
          </w:p>
          <w:p w14:paraId="5A983324" w14:textId="77777777" w:rsidR="0052604A" w:rsidRDefault="00000000">
            <w:pPr>
              <w:tabs>
                <w:tab w:val="left" w:pos="3045"/>
                <w:tab w:val="center" w:pos="3199"/>
              </w:tabs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现场参观</w:t>
            </w:r>
            <w:r>
              <w:rPr>
                <w:rFonts w:hAnsi="宋体" w:hint="eastAsia"/>
                <w:kern w:val="0"/>
                <w:sz w:val="24"/>
              </w:rPr>
              <w:t xml:space="preserve">            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>☑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 w:hint="eastAsia"/>
                <w:kern w:val="0"/>
                <w:sz w:val="24"/>
              </w:rPr>
              <w:t>电话会议</w:t>
            </w:r>
          </w:p>
          <w:p w14:paraId="1BEEE444" w14:textId="77777777" w:rsidR="0052604A" w:rsidRDefault="00000000">
            <w:pPr>
              <w:tabs>
                <w:tab w:val="center" w:pos="3199"/>
              </w:tabs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其他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（请文字说明其他活动内容）</w:t>
            </w:r>
          </w:p>
        </w:tc>
      </w:tr>
      <w:tr w:rsidR="0052604A" w14:paraId="373A28FF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6F71B" w14:textId="77777777" w:rsidR="0052604A" w:rsidRDefault="00000000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参与单位名称及人员姓名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2934F" w14:textId="0EAAC7D0" w:rsidR="0052604A" w:rsidRDefault="00D536D5" w:rsidP="00F0153F">
            <w:pPr>
              <w:spacing w:line="420" w:lineRule="exact"/>
              <w:jc w:val="left"/>
              <w:rPr>
                <w:bCs/>
                <w:iCs/>
                <w:color w:val="000000"/>
                <w:sz w:val="24"/>
              </w:rPr>
            </w:pPr>
            <w:r w:rsidRPr="00D536D5">
              <w:rPr>
                <w:rFonts w:hint="eastAsia"/>
                <w:bCs/>
                <w:iCs/>
                <w:color w:val="000000"/>
                <w:sz w:val="24"/>
              </w:rPr>
              <w:t>华夏基金、汇添富基金、诺安基金、建信基金、鹏华基金、德邦基金、中信保诚基金、国泰基金、光大保德信基金、民生加银基金、众盈基金、同泰基金、中国人寿、建信人寿等超</w:t>
            </w:r>
            <w:r w:rsidRPr="00D536D5">
              <w:rPr>
                <w:rFonts w:hint="eastAsia"/>
                <w:bCs/>
                <w:iCs/>
                <w:color w:val="000000"/>
                <w:sz w:val="24"/>
              </w:rPr>
              <w:t>70</w:t>
            </w:r>
            <w:r w:rsidRPr="00D536D5">
              <w:rPr>
                <w:rFonts w:hint="eastAsia"/>
                <w:bCs/>
                <w:iCs/>
                <w:color w:val="000000"/>
                <w:sz w:val="24"/>
              </w:rPr>
              <w:t>家机构</w:t>
            </w:r>
          </w:p>
        </w:tc>
      </w:tr>
      <w:tr w:rsidR="0052604A" w14:paraId="2BE6808B" w14:textId="77777777">
        <w:trPr>
          <w:trHeight w:val="90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39CAC" w14:textId="77777777" w:rsidR="0052604A" w:rsidRDefault="00000000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时间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E4AC0" w14:textId="77777777" w:rsidR="0052604A" w:rsidRDefault="00000000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sz w:val="24"/>
              </w:rPr>
              <w:t>2026</w:t>
            </w:r>
            <w:r>
              <w:rPr>
                <w:bCs/>
                <w:iCs/>
                <w:color w:val="000000"/>
                <w:sz w:val="24"/>
              </w:rPr>
              <w:t>年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>8</w:t>
            </w:r>
            <w:r>
              <w:rPr>
                <w:bCs/>
                <w:iCs/>
                <w:color w:val="000000"/>
                <w:sz w:val="24"/>
              </w:rPr>
              <w:t>月</w:t>
            </w:r>
          </w:p>
        </w:tc>
      </w:tr>
      <w:tr w:rsidR="0052604A" w14:paraId="7C3458B5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E1157" w14:textId="77777777" w:rsidR="0052604A" w:rsidRDefault="00000000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地点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BFCF7" w14:textId="77777777" w:rsidR="0052604A" w:rsidRDefault="00000000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rFonts w:hint="eastAsia"/>
                <w:bCs/>
                <w:iCs/>
                <w:color w:val="000000"/>
                <w:sz w:val="24"/>
              </w:rPr>
              <w:t>线上电话会议</w:t>
            </w:r>
          </w:p>
        </w:tc>
      </w:tr>
      <w:tr w:rsidR="0052604A" w14:paraId="7A56D54F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C14CE" w14:textId="77777777" w:rsidR="0052604A" w:rsidRDefault="00000000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上市公司接待人员姓名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7292F" w14:textId="77777777" w:rsidR="0052604A" w:rsidRDefault="00000000">
            <w:pPr>
              <w:spacing w:line="420" w:lineRule="exact"/>
              <w:rPr>
                <w:rFonts w:ascii="宋体" w:hAnsi="宋体" w:hint="eastAsia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副总经理、董事会秘书：曹卫斌</w:t>
            </w:r>
          </w:p>
          <w:p w14:paraId="2AF3BDC7" w14:textId="77777777" w:rsidR="0052604A" w:rsidRDefault="00000000">
            <w:pPr>
              <w:spacing w:line="420" w:lineRule="exact"/>
              <w:rPr>
                <w:rFonts w:ascii="宋体" w:hAnsi="宋体" w:hint="eastAsia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董事长助理、投关总监</w:t>
            </w:r>
            <w:r>
              <w:rPr>
                <w:rFonts w:ascii="宋体" w:hAnsi="宋体"/>
                <w:bCs/>
                <w:sz w:val="24"/>
              </w:rPr>
              <w:t>：</w:t>
            </w:r>
            <w:r>
              <w:rPr>
                <w:rFonts w:ascii="宋体" w:hAnsi="宋体" w:hint="eastAsia"/>
                <w:bCs/>
                <w:sz w:val="24"/>
              </w:rPr>
              <w:t>宋烜</w:t>
            </w:r>
          </w:p>
          <w:p w14:paraId="63C43CA1" w14:textId="77777777" w:rsidR="0052604A" w:rsidRDefault="00000000">
            <w:pPr>
              <w:spacing w:line="420" w:lineRule="exact"/>
              <w:rPr>
                <w:rFonts w:ascii="宋体" w:hAnsi="宋体" w:hint="eastAsia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投资者关系主管：吴佳芮</w:t>
            </w:r>
          </w:p>
        </w:tc>
      </w:tr>
      <w:tr w:rsidR="0052604A" w14:paraId="48DD02FD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23C52" w14:textId="77777777" w:rsidR="0052604A" w:rsidRDefault="00000000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投资者关系活动主要内容介绍</w:t>
            </w:r>
          </w:p>
          <w:p w14:paraId="3811031C" w14:textId="77777777" w:rsidR="0052604A" w:rsidRDefault="0052604A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1239B" w14:textId="77777777" w:rsidR="0052604A" w:rsidRDefault="00000000">
            <w:pPr>
              <w:pStyle w:val="Style6"/>
              <w:spacing w:line="460" w:lineRule="exact"/>
              <w:ind w:firstLine="480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公司本</w:t>
            </w:r>
            <w:r>
              <w:rPr>
                <w:rFonts w:ascii="宋体" w:hAnsi="宋体" w:hint="eastAsia"/>
                <w:sz w:val="24"/>
                <w:szCs w:val="24"/>
              </w:rPr>
              <w:t>月投资者交流活动</w:t>
            </w:r>
            <w:r>
              <w:rPr>
                <w:rFonts w:ascii="宋体" w:hAnsi="宋体"/>
                <w:sz w:val="24"/>
                <w:szCs w:val="24"/>
              </w:rPr>
              <w:t>在遵守信息披露相关规定的前提下回复投资者提问，回复内容不涉及未披露的重大信息。现将本</w:t>
            </w:r>
            <w:r>
              <w:rPr>
                <w:rFonts w:ascii="宋体" w:hAnsi="宋体" w:hint="eastAsia"/>
                <w:sz w:val="24"/>
                <w:szCs w:val="24"/>
              </w:rPr>
              <w:t>月投资者交流活动中</w:t>
            </w:r>
            <w:r>
              <w:rPr>
                <w:rFonts w:ascii="宋体" w:hAnsi="宋体"/>
                <w:sz w:val="24"/>
                <w:szCs w:val="24"/>
              </w:rPr>
              <w:t>投资者提出的问题及公司答复情况整理如下：</w:t>
            </w:r>
          </w:p>
          <w:p w14:paraId="49AFFABA" w14:textId="77777777" w:rsidR="0052604A" w:rsidRDefault="00000000">
            <w:pPr>
              <w:pStyle w:val="Style6"/>
              <w:numPr>
                <w:ilvl w:val="0"/>
                <w:numId w:val="1"/>
              </w:numPr>
              <w:spacing w:line="460" w:lineRule="exact"/>
              <w:ind w:firstLineChars="0"/>
              <w:rPr>
                <w:rFonts w:ascii="宋体" w:hAnsi="宋体" w:hint="eastAsia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公司第二季度虽然扭亏为盈但毛利率未明显提升，</w:t>
            </w:r>
            <w:r>
              <w:rPr>
                <w:rFonts w:ascii="Segoe UI" w:eastAsia="Segoe UI" w:hAnsi="Segoe UI" w:cs="Segoe UI"/>
                <w:b/>
                <w:bCs/>
                <w:color w:val="0F1115"/>
                <w:sz w:val="24"/>
                <w:szCs w:val="24"/>
                <w:shd w:val="clear" w:color="auto" w:fill="FFFFFF"/>
              </w:rPr>
              <w:t>对</w:t>
            </w:r>
            <w:r>
              <w:rPr>
                <w:rFonts w:ascii="Segoe UI" w:hAnsi="Segoe UI" w:cs="Segoe UI" w:hint="eastAsia"/>
                <w:b/>
                <w:bCs/>
                <w:color w:val="0F1115"/>
                <w:sz w:val="24"/>
                <w:szCs w:val="24"/>
                <w:shd w:val="clear" w:color="auto" w:fill="FFFFFF"/>
              </w:rPr>
              <w:t>未来</w:t>
            </w:r>
            <w:r>
              <w:rPr>
                <w:rFonts w:ascii="Segoe UI" w:eastAsia="Segoe UI" w:hAnsi="Segoe UI" w:cs="Segoe UI"/>
                <w:b/>
                <w:bCs/>
                <w:color w:val="0F1115"/>
                <w:sz w:val="24"/>
                <w:szCs w:val="24"/>
                <w:shd w:val="clear" w:color="auto" w:fill="FFFFFF"/>
              </w:rPr>
              <w:t>毛利率趋势如何展望？</w:t>
            </w:r>
          </w:p>
          <w:p w14:paraId="7F329080" w14:textId="77777777" w:rsidR="0052604A" w:rsidRDefault="00000000">
            <w:pPr>
              <w:adjustRightInd w:val="0"/>
              <w:snapToGrid w:val="0"/>
              <w:spacing w:line="500" w:lineRule="exact"/>
              <w:ind w:firstLineChars="200" w:firstLine="482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iCs/>
                <w:color w:val="000000"/>
                <w:sz w:val="24"/>
              </w:rPr>
              <w:t>回答：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2026年上半年公司毛利率为19.78%，较今年一季度略有提升。公司将通过不断加强技术与产品创新，持续提升产品竞争力，并通过规模化、精细化管理强化成本与费用控制，建立健全生产管理监控体系，提升交付效率和运营管理效率，进一步提升公司盈利能力。</w:t>
            </w:r>
          </w:p>
          <w:p w14:paraId="51DE8405" w14:textId="77777777" w:rsidR="0052604A" w:rsidRDefault="0052604A">
            <w:pPr>
              <w:adjustRightInd w:val="0"/>
              <w:snapToGrid w:val="0"/>
              <w:spacing w:line="500" w:lineRule="exact"/>
              <w:ind w:firstLineChars="200" w:firstLine="480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</w:p>
          <w:p w14:paraId="607BA807" w14:textId="77777777" w:rsidR="0052604A" w:rsidRDefault="00000000">
            <w:pPr>
              <w:pStyle w:val="Style6"/>
              <w:numPr>
                <w:ilvl w:val="0"/>
                <w:numId w:val="1"/>
              </w:numPr>
              <w:spacing w:line="460" w:lineRule="exact"/>
              <w:ind w:firstLineChars="0"/>
              <w:rPr>
                <w:rFonts w:ascii="宋体" w:hAnsi="宋体" w:hint="eastAsia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公司这几年订单保持高速增长趋势，请问公司订单转化具体节奏是怎样的？</w:t>
            </w:r>
          </w:p>
          <w:p w14:paraId="02EA0A2F" w14:textId="77777777" w:rsidR="0052604A" w:rsidRDefault="00000000">
            <w:pPr>
              <w:pStyle w:val="Style6"/>
              <w:spacing w:line="460" w:lineRule="exact"/>
              <w:ind w:leftChars="-1" w:left="-2" w:firstLine="480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回答：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截至2025年末，公司在手订单达到21.11亿元，较上年期末增长59.12%，今年以来，公司也陆续披露了与多家客户的大额订单，整体订单充裕。公司的主要产品为精密激光加工智能装备和智慧物流装备与系统等，具有非标准、定制化特性，从订单到确认收入需要经过产品设计、物料采购、组装调试、客户现场的安装调试、试运行、验收等多个环节，整体转化周期较长，根据设备与订单差异转化周期通常为3-20个月不等。不同客户转化周期也会存在差异，敬请注意投资风险。</w:t>
            </w:r>
          </w:p>
          <w:p w14:paraId="6795674B" w14:textId="77777777" w:rsidR="0052604A" w:rsidRDefault="0052604A">
            <w:pPr>
              <w:pStyle w:val="Style6"/>
              <w:numPr>
                <w:ilvl w:val="255"/>
                <w:numId w:val="0"/>
              </w:numPr>
              <w:spacing w:line="460" w:lineRule="exact"/>
              <w:rPr>
                <w:rFonts w:ascii="宋体" w:hAnsi="宋体" w:hint="eastAsia"/>
                <w:b/>
                <w:bCs/>
                <w:sz w:val="24"/>
                <w:szCs w:val="24"/>
              </w:rPr>
            </w:pPr>
          </w:p>
          <w:p w14:paraId="69A88741" w14:textId="77777777" w:rsidR="0052604A" w:rsidRDefault="00000000">
            <w:pPr>
              <w:pStyle w:val="Style6"/>
              <w:numPr>
                <w:ilvl w:val="0"/>
                <w:numId w:val="1"/>
              </w:numPr>
              <w:spacing w:line="460" w:lineRule="exact"/>
              <w:ind w:firstLineChars="0"/>
              <w:rPr>
                <w:rFonts w:ascii="宋体" w:hAnsi="宋体" w:hint="eastAsia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全极耳圆柱电池在不同下游应用领域的需求景气度如何？相关装备订单明年增速预期如何？</w:t>
            </w:r>
          </w:p>
          <w:p w14:paraId="0159C5BF" w14:textId="77777777" w:rsidR="0052604A" w:rsidRDefault="00000000">
            <w:pPr>
              <w:pStyle w:val="Style6"/>
              <w:spacing w:line="460" w:lineRule="exact"/>
              <w:ind w:firstLine="480"/>
              <w:rPr>
                <w:rFonts w:ascii="Times New Roman" w:hAnsi="Times New Roman"/>
                <w:spacing w:val="4"/>
                <w:sz w:val="24"/>
                <w:szCs w:val="24"/>
                <w:shd w:val="clear" w:color="auto" w:fill="FFFFFF"/>
              </w:rPr>
            </w:pPr>
            <w:r>
              <w:rPr>
                <w:rFonts w:ascii="宋体" w:hAnsi="宋体"/>
                <w:sz w:val="24"/>
                <w:szCs w:val="24"/>
              </w:rPr>
              <w:t>回答：</w:t>
            </w:r>
            <w:r>
              <w:rPr>
                <w:rFonts w:ascii="宋体" w:hAnsi="宋体" w:hint="eastAsia"/>
                <w:sz w:val="24"/>
                <w:szCs w:val="24"/>
              </w:rPr>
              <w:t>圆柱全极耳电池基于高安全、低内阻、高倍率、高一致性、宽温域等性能及制造优势，应用场景呈</w:t>
            </w:r>
            <w:r>
              <w:rPr>
                <w:rFonts w:ascii="Times New Roman" w:hAnsi="Times New Roman"/>
                <w:spacing w:val="4"/>
                <w:sz w:val="24"/>
                <w:szCs w:val="24"/>
                <w:shd w:val="clear" w:color="auto" w:fill="FFFFFF"/>
              </w:rPr>
              <w:t>多元化</w:t>
            </w:r>
            <w:r>
              <w:rPr>
                <w:rFonts w:ascii="Times New Roman" w:hAnsi="Times New Roman" w:hint="eastAsia"/>
                <w:spacing w:val="4"/>
                <w:sz w:val="24"/>
                <w:szCs w:val="24"/>
                <w:shd w:val="clear" w:color="auto" w:fill="FFFFFF"/>
              </w:rPr>
              <w:t>拓展态势，且不断向新兴领域延伸，下游需求景气度较高，据</w:t>
            </w:r>
            <w:r>
              <w:rPr>
                <w:rFonts w:ascii="Times New Roman" w:hAnsi="Times New Roman" w:hint="eastAsia"/>
                <w:spacing w:val="4"/>
                <w:sz w:val="24"/>
                <w:szCs w:val="24"/>
                <w:shd w:val="clear" w:color="auto" w:fill="FFFFFF"/>
              </w:rPr>
              <w:t>SPIR</w:t>
            </w:r>
            <w:r>
              <w:rPr>
                <w:rFonts w:ascii="Times New Roman" w:hAnsi="Times New Roman" w:hint="eastAsia"/>
                <w:spacing w:val="4"/>
                <w:sz w:val="24"/>
                <w:szCs w:val="24"/>
                <w:shd w:val="clear" w:color="auto" w:fill="FFFFFF"/>
              </w:rPr>
              <w:t>数据显示，</w:t>
            </w:r>
            <w:r>
              <w:rPr>
                <w:rFonts w:ascii="Times New Roman" w:hAnsi="Times New Roman" w:hint="eastAsia"/>
                <w:spacing w:val="4"/>
                <w:sz w:val="24"/>
                <w:szCs w:val="24"/>
                <w:shd w:val="clear" w:color="auto" w:fill="FFFFFF"/>
              </w:rPr>
              <w:t>2026</w:t>
            </w:r>
            <w:r>
              <w:rPr>
                <w:rFonts w:ascii="Times New Roman" w:hAnsi="Times New Roman" w:hint="eastAsia"/>
                <w:spacing w:val="4"/>
                <w:sz w:val="24"/>
                <w:szCs w:val="24"/>
                <w:shd w:val="clear" w:color="auto" w:fill="FFFFFF"/>
              </w:rPr>
              <w:t>年</w:t>
            </w:r>
            <w:r>
              <w:rPr>
                <w:rFonts w:ascii="Times New Roman" w:hAnsi="Times New Roman" w:hint="eastAsia"/>
                <w:spacing w:val="4"/>
                <w:sz w:val="24"/>
                <w:szCs w:val="24"/>
                <w:shd w:val="clear" w:color="auto" w:fill="FFFFFF"/>
              </w:rPr>
              <w:t>H1</w:t>
            </w:r>
            <w:r>
              <w:rPr>
                <w:rFonts w:ascii="Times New Roman" w:hAnsi="Times New Roman" w:hint="eastAsia"/>
                <w:spacing w:val="4"/>
                <w:sz w:val="24"/>
                <w:szCs w:val="24"/>
                <w:shd w:val="clear" w:color="auto" w:fill="FFFFFF"/>
              </w:rPr>
              <w:t>，国内大圆柱电池出货量超</w:t>
            </w:r>
            <w:r>
              <w:rPr>
                <w:rFonts w:ascii="Times New Roman" w:hAnsi="Times New Roman" w:hint="eastAsia"/>
                <w:spacing w:val="4"/>
                <w:sz w:val="24"/>
                <w:szCs w:val="24"/>
                <w:shd w:val="clear" w:color="auto" w:fill="FFFFFF"/>
              </w:rPr>
              <w:t>8</w:t>
            </w:r>
            <w:r>
              <w:rPr>
                <w:rFonts w:ascii="Times New Roman" w:hAnsi="Times New Roman" w:hint="eastAsia"/>
                <w:spacing w:val="4"/>
                <w:sz w:val="24"/>
                <w:szCs w:val="24"/>
                <w:shd w:val="clear" w:color="auto" w:fill="FFFFFF"/>
              </w:rPr>
              <w:t>亿支，同比增速超</w:t>
            </w:r>
            <w:r>
              <w:rPr>
                <w:rFonts w:ascii="Times New Roman" w:hAnsi="Times New Roman" w:hint="eastAsia"/>
                <w:spacing w:val="4"/>
                <w:sz w:val="24"/>
                <w:szCs w:val="24"/>
                <w:shd w:val="clear" w:color="auto" w:fill="FFFFFF"/>
              </w:rPr>
              <w:t>110%</w:t>
            </w:r>
            <w:r>
              <w:rPr>
                <w:rFonts w:ascii="Times New Roman" w:hAnsi="Times New Roman" w:hint="eastAsia"/>
                <w:spacing w:val="4"/>
                <w:sz w:val="24"/>
                <w:szCs w:val="24"/>
                <w:shd w:val="clear" w:color="auto" w:fill="FFFFFF"/>
              </w:rPr>
              <w:t>。公司高速圆柱电芯设备可覆盖</w:t>
            </w:r>
            <w:r>
              <w:rPr>
                <w:rFonts w:ascii="Times New Roman" w:hAnsi="Times New Roman" w:hint="eastAsia"/>
                <w:spacing w:val="4"/>
                <w:sz w:val="24"/>
                <w:szCs w:val="24"/>
                <w:shd w:val="clear" w:color="auto" w:fill="FFFFFF"/>
              </w:rPr>
              <w:t>18</w:t>
            </w:r>
            <w:r>
              <w:rPr>
                <w:rFonts w:ascii="Times New Roman" w:hAnsi="Times New Roman" w:hint="eastAsia"/>
                <w:spacing w:val="4"/>
                <w:sz w:val="24"/>
                <w:szCs w:val="24"/>
                <w:shd w:val="clear" w:color="auto" w:fill="FFFFFF"/>
              </w:rPr>
              <w:t>系、</w:t>
            </w:r>
            <w:r>
              <w:rPr>
                <w:rFonts w:ascii="Times New Roman" w:hAnsi="Times New Roman" w:hint="eastAsia"/>
                <w:spacing w:val="4"/>
                <w:sz w:val="24"/>
                <w:szCs w:val="24"/>
                <w:shd w:val="clear" w:color="auto" w:fill="FFFFFF"/>
              </w:rPr>
              <w:t>21</w:t>
            </w:r>
            <w:r>
              <w:rPr>
                <w:rFonts w:ascii="Times New Roman" w:hAnsi="Times New Roman" w:hint="eastAsia"/>
                <w:spacing w:val="4"/>
                <w:sz w:val="24"/>
                <w:szCs w:val="24"/>
                <w:shd w:val="clear" w:color="auto" w:fill="FFFFFF"/>
              </w:rPr>
              <w:t>系、</w:t>
            </w:r>
            <w:r>
              <w:rPr>
                <w:rFonts w:ascii="Times New Roman" w:hAnsi="Times New Roman" w:hint="eastAsia"/>
                <w:spacing w:val="4"/>
                <w:sz w:val="24"/>
                <w:szCs w:val="24"/>
                <w:shd w:val="clear" w:color="auto" w:fill="FFFFFF"/>
              </w:rPr>
              <w:t>26</w:t>
            </w:r>
            <w:r>
              <w:rPr>
                <w:rFonts w:ascii="Times New Roman" w:hAnsi="Times New Roman" w:hint="eastAsia"/>
                <w:spacing w:val="4"/>
                <w:sz w:val="24"/>
                <w:szCs w:val="24"/>
                <w:shd w:val="clear" w:color="auto" w:fill="FFFFFF"/>
              </w:rPr>
              <w:t>系小圆柱全极耳电池以及</w:t>
            </w:r>
            <w:r>
              <w:rPr>
                <w:rFonts w:ascii="Times New Roman" w:hAnsi="Times New Roman" w:hint="eastAsia"/>
                <w:spacing w:val="4"/>
                <w:sz w:val="24"/>
                <w:szCs w:val="24"/>
                <w:shd w:val="clear" w:color="auto" w:fill="FFFFFF"/>
              </w:rPr>
              <w:t>32</w:t>
            </w:r>
            <w:r>
              <w:rPr>
                <w:rFonts w:ascii="Times New Roman" w:hAnsi="Times New Roman" w:hint="eastAsia"/>
                <w:spacing w:val="4"/>
                <w:sz w:val="24"/>
                <w:szCs w:val="24"/>
                <w:shd w:val="clear" w:color="auto" w:fill="FFFFFF"/>
              </w:rPr>
              <w:t>系至</w:t>
            </w:r>
            <w:r>
              <w:rPr>
                <w:rFonts w:ascii="Times New Roman" w:hAnsi="Times New Roman" w:hint="eastAsia"/>
                <w:spacing w:val="4"/>
                <w:sz w:val="24"/>
                <w:szCs w:val="24"/>
                <w:shd w:val="clear" w:color="auto" w:fill="FFFFFF"/>
              </w:rPr>
              <w:t>60</w:t>
            </w:r>
            <w:r>
              <w:rPr>
                <w:rFonts w:ascii="Times New Roman" w:hAnsi="Times New Roman" w:hint="eastAsia"/>
                <w:spacing w:val="4"/>
                <w:sz w:val="24"/>
                <w:szCs w:val="24"/>
                <w:shd w:val="clear" w:color="auto" w:fill="FFFFFF"/>
              </w:rPr>
              <w:t>系等多规格大圆柱全极耳电池的生产，目前已实现各系列批量交付。随着大圆柱电池量产加速以及小圆柱电池全极耳化趋势加速，公司作为行业领先的圆柱全极耳电池智能装备企业将率先受益。</w:t>
            </w:r>
          </w:p>
          <w:p w14:paraId="6C03F0E6" w14:textId="77777777" w:rsidR="0052604A" w:rsidRDefault="0052604A">
            <w:pPr>
              <w:pStyle w:val="Style6"/>
              <w:spacing w:line="460" w:lineRule="exact"/>
              <w:ind w:firstLine="480"/>
              <w:rPr>
                <w:rFonts w:ascii="宋体" w:hAnsi="宋体" w:cs="宋体" w:hint="eastAsia"/>
                <w:sz w:val="24"/>
                <w:szCs w:val="24"/>
              </w:rPr>
            </w:pPr>
          </w:p>
          <w:p w14:paraId="6E3D9074" w14:textId="77777777" w:rsidR="0052604A" w:rsidRDefault="00000000">
            <w:pPr>
              <w:pStyle w:val="Style6"/>
              <w:numPr>
                <w:ilvl w:val="0"/>
                <w:numId w:val="1"/>
              </w:numPr>
              <w:spacing w:line="460" w:lineRule="exact"/>
              <w:ind w:firstLineChars="0"/>
              <w:rPr>
                <w:rFonts w:ascii="宋体" w:hAnsi="宋体" w:hint="eastAsia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请问</w:t>
            </w:r>
            <w:r>
              <w:rPr>
                <w:rFonts w:ascii="宋体" w:hAnsi="宋体"/>
                <w:b/>
                <w:bCs/>
                <w:sz w:val="24"/>
                <w:szCs w:val="24"/>
              </w:rPr>
              <w:t>电力储能及AIDC相关的大容量方形电芯产线产品进展如何？订单获取节奏怎样？</w:t>
            </w:r>
          </w:p>
          <w:p w14:paraId="4ADBA2E8" w14:textId="77777777" w:rsidR="0052604A" w:rsidRDefault="00000000">
            <w:pPr>
              <w:pStyle w:val="Style6"/>
              <w:spacing w:line="460" w:lineRule="exact"/>
              <w:ind w:firstLine="480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回答：面向储能多场景应用需求，公司构建了电芯、高速模组PACK、大型储能系统等的全链条智造解决方案，覆盖各类单机、工作站、量产线及智能工厂解决方案等，能够针对家用储能、工商业储能、大型电力储能及AIDC数据中心储能等多个场景提</w:t>
            </w:r>
            <w:r>
              <w:rPr>
                <w:rFonts w:ascii="宋体" w:hAnsi="宋体"/>
                <w:sz w:val="24"/>
                <w:szCs w:val="24"/>
              </w:rPr>
              <w:lastRenderedPageBreak/>
              <w:t>供最适配的储能系统智造方案。其中，公司家用储能和工商业储能装备产品已实现对欧洲客户的整线交付，并获得客户认可；公司针对大型电力</w:t>
            </w:r>
            <w:r>
              <w:rPr>
                <w:rFonts w:ascii="宋体" w:hAnsi="宋体" w:hint="eastAsia"/>
                <w:sz w:val="24"/>
                <w:szCs w:val="24"/>
              </w:rPr>
              <w:t>储</w:t>
            </w:r>
            <w:r>
              <w:rPr>
                <w:rFonts w:ascii="宋体" w:hAnsi="宋体"/>
                <w:sz w:val="24"/>
                <w:szCs w:val="24"/>
              </w:rPr>
              <w:t>能和AIDC数据中心储能推出了新一代储能大容量方形电芯智能产线，可兼容280~1000Ah+产品规格，单线效率达30PPM以上，已实现行业客户的批量交付</w:t>
            </w:r>
            <w:r>
              <w:rPr>
                <w:rFonts w:ascii="宋体" w:hAnsi="宋体" w:hint="eastAsia"/>
                <w:sz w:val="24"/>
                <w:szCs w:val="24"/>
              </w:rPr>
              <w:t>。整体来看，公司储能订单保持持续增长态势</w:t>
            </w:r>
            <w:r>
              <w:rPr>
                <w:rFonts w:ascii="宋体" w:hAnsi="宋体"/>
                <w:sz w:val="24"/>
                <w:szCs w:val="24"/>
              </w:rPr>
              <w:t>。</w:t>
            </w:r>
          </w:p>
          <w:p w14:paraId="6705865B" w14:textId="77777777" w:rsidR="0052604A" w:rsidRDefault="0052604A">
            <w:pPr>
              <w:pStyle w:val="Style6"/>
              <w:spacing w:line="460" w:lineRule="exact"/>
              <w:ind w:firstLineChars="0" w:firstLine="0"/>
              <w:rPr>
                <w:rFonts w:ascii="宋体" w:hAnsi="宋体" w:hint="eastAsia"/>
                <w:sz w:val="24"/>
                <w:szCs w:val="24"/>
              </w:rPr>
            </w:pPr>
          </w:p>
          <w:p w14:paraId="5A00365C" w14:textId="77777777" w:rsidR="0052604A" w:rsidRDefault="00000000">
            <w:pPr>
              <w:pStyle w:val="Style6"/>
              <w:numPr>
                <w:ilvl w:val="0"/>
                <w:numId w:val="1"/>
              </w:numPr>
              <w:spacing w:line="460" w:lineRule="exact"/>
              <w:ind w:firstLineChars="0"/>
              <w:rPr>
                <w:rFonts w:ascii="宋体" w:hAnsi="宋体" w:hint="eastAsia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请问贵公司今年在海外市场的开拓情况如何？</w:t>
            </w:r>
          </w:p>
          <w:p w14:paraId="55325770" w14:textId="77777777" w:rsidR="0052604A" w:rsidRDefault="00000000">
            <w:pPr>
              <w:pStyle w:val="Style6"/>
              <w:spacing w:line="460" w:lineRule="exact"/>
              <w:ind w:leftChars="-1" w:left="-2" w:firstLine="480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回答：公司持续深化全球化战略布局，加速推进海外市场拓展，公司圆柱电芯设备、方形电芯设备、储能系统实现了日韩、欧洲、东南亚等国家及地区的交付，海外订单大幅增长，单个订单规模也创新高。未来，公司将加大重点海外市场拓展力度，进一步提升海外业务占比。</w:t>
            </w:r>
          </w:p>
          <w:p w14:paraId="075152BC" w14:textId="77777777" w:rsidR="0052604A" w:rsidRDefault="0052604A">
            <w:pPr>
              <w:pStyle w:val="Style6"/>
              <w:spacing w:line="460" w:lineRule="exact"/>
              <w:ind w:firstLine="480"/>
              <w:rPr>
                <w:rFonts w:ascii="宋体" w:hAnsi="宋体" w:hint="eastAsia"/>
                <w:sz w:val="24"/>
                <w:szCs w:val="24"/>
              </w:rPr>
            </w:pPr>
          </w:p>
          <w:p w14:paraId="55DFB11D" w14:textId="77777777" w:rsidR="0052604A" w:rsidRDefault="00000000">
            <w:pPr>
              <w:pStyle w:val="Style6"/>
              <w:numPr>
                <w:ilvl w:val="0"/>
                <w:numId w:val="1"/>
              </w:numPr>
              <w:spacing w:line="460" w:lineRule="exact"/>
              <w:ind w:firstLineChars="0"/>
              <w:rPr>
                <w:rFonts w:ascii="宋体" w:hAnsi="宋体" w:hint="eastAsia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近年来，高倍率小圆柱电池在BBU场景的需求呈现爆发式增长，请问公司在BBU领域业务进展如何？</w:t>
            </w:r>
          </w:p>
          <w:p w14:paraId="019A95EF" w14:textId="77777777" w:rsidR="0052604A" w:rsidRDefault="00000000">
            <w:pPr>
              <w:pStyle w:val="Style6"/>
              <w:spacing w:line="460" w:lineRule="exact"/>
              <w:ind w:firstLine="480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回答：</w:t>
            </w:r>
            <w:r>
              <w:rPr>
                <w:rFonts w:ascii="宋体" w:hAnsi="宋体" w:hint="eastAsia"/>
                <w:sz w:val="24"/>
                <w:szCs w:val="24"/>
              </w:rPr>
              <w:t>公司小圆柱全极耳装配线适用于18系、21系、26系圆柱电池生产，应用领域包含BBU、电动工具、动力等，目前已实现客户批量交付。同时，公司还有基于传统小圆柱电池向全极耳方向发展的改造业务，亦与国内多家行业客户达成合作；此外，公司与日本头部客户在小圆柱全极耳化装备方面取得突破，切入海外BBU核心装备市场。公司小圆柱全极电池设备相关收入在整体收入中占比较小，敬请注意投资风险。</w:t>
            </w:r>
          </w:p>
          <w:p w14:paraId="2276909F" w14:textId="77777777" w:rsidR="0052604A" w:rsidRDefault="0052604A">
            <w:pPr>
              <w:pStyle w:val="Style6"/>
              <w:spacing w:line="460" w:lineRule="exact"/>
              <w:ind w:firstLine="480"/>
              <w:rPr>
                <w:rFonts w:ascii="宋体" w:hAnsi="宋体" w:hint="eastAsia"/>
                <w:sz w:val="24"/>
                <w:szCs w:val="24"/>
              </w:rPr>
            </w:pPr>
          </w:p>
          <w:p w14:paraId="3996F057" w14:textId="77777777" w:rsidR="0052604A" w:rsidRDefault="00000000">
            <w:pPr>
              <w:pStyle w:val="Style6"/>
              <w:numPr>
                <w:ilvl w:val="0"/>
                <w:numId w:val="1"/>
              </w:numPr>
              <w:spacing w:line="460" w:lineRule="exact"/>
              <w:ind w:firstLineChars="0"/>
              <w:rPr>
                <w:rFonts w:ascii="宋体" w:hAnsi="宋体" w:hint="eastAsia"/>
                <w:b/>
                <w:bCs/>
                <w:sz w:val="24"/>
                <w:szCs w:val="24"/>
              </w:rPr>
            </w:pPr>
            <w:r>
              <w:rPr>
                <w:rFonts w:ascii="宋体" w:hAnsi="宋体"/>
                <w:b/>
                <w:bCs/>
                <w:sz w:val="24"/>
                <w:szCs w:val="24"/>
              </w:rPr>
              <w:t>公司在超级电容领域有哪些进展？</w:t>
            </w:r>
          </w:p>
          <w:p w14:paraId="6E8F1102" w14:textId="77777777" w:rsidR="0052604A" w:rsidRDefault="00000000">
            <w:pPr>
              <w:pStyle w:val="Style6"/>
              <w:spacing w:line="460" w:lineRule="exact"/>
              <w:ind w:firstLine="480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回答：面向超级电容超高倍率下的高一致性自动化量产需求，公司攻克了多项关键工艺和装备技术难点，开发了新一代全极耳无损成型技术、智能激光焊接系统、全流程数字化质量管控系统等核心技术，率先推出了专门应用于超级电容制造的系列装备，突破了超级电容高速自动化量产难题，构建了从单机到量产</w:t>
            </w:r>
            <w:r>
              <w:rPr>
                <w:rFonts w:ascii="宋体" w:hAnsi="宋体" w:hint="eastAsia"/>
                <w:sz w:val="24"/>
                <w:szCs w:val="24"/>
              </w:rPr>
              <w:lastRenderedPageBreak/>
              <w:t>线的完整产品体系，覆盖33-60系列等不同规格产品，单线覆盖10-75PPM生产需求，获得了国内外多家头部客户认可，并与江海股份全资子公司江海储能签署战略合作协议，将围绕电容器高端制造装备、新型电容产品迭代等方面深度协同。目前，公司已与多家头部客户签订了10-20PPM圆柱超级电容封装线，实现了部分产线交付，并获得了客户批量复购订单。公司超级电容装备业务收入占公司整体收入比例较小，敬请注意投资风险。</w:t>
            </w:r>
          </w:p>
          <w:p w14:paraId="018C6255" w14:textId="77777777" w:rsidR="0052604A" w:rsidRDefault="0052604A">
            <w:pPr>
              <w:pStyle w:val="Style6"/>
              <w:spacing w:line="460" w:lineRule="exact"/>
              <w:ind w:firstLineChars="0" w:firstLine="0"/>
              <w:rPr>
                <w:rFonts w:ascii="宋体" w:hAnsi="宋体" w:hint="eastAsia"/>
                <w:sz w:val="24"/>
                <w:szCs w:val="24"/>
              </w:rPr>
            </w:pPr>
          </w:p>
          <w:p w14:paraId="01A4F9E0" w14:textId="77777777" w:rsidR="0052604A" w:rsidRDefault="00000000">
            <w:pPr>
              <w:pStyle w:val="Style6"/>
              <w:numPr>
                <w:ilvl w:val="0"/>
                <w:numId w:val="1"/>
              </w:numPr>
              <w:spacing w:line="460" w:lineRule="exact"/>
              <w:ind w:firstLineChars="0"/>
              <w:rPr>
                <w:rFonts w:ascii="宋体" w:hAnsi="宋体" w:hint="eastAsia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请问</w:t>
            </w:r>
            <w:r>
              <w:rPr>
                <w:rFonts w:ascii="Segoe UI" w:eastAsia="Segoe UI" w:hAnsi="Segoe UI" w:cs="Segoe UI"/>
                <w:b/>
                <w:bCs/>
                <w:color w:val="0F1115"/>
                <w:sz w:val="24"/>
                <w:szCs w:val="24"/>
                <w:shd w:val="clear" w:color="auto" w:fill="FFFFFF"/>
              </w:rPr>
              <w:t>公司在新业务布局</w:t>
            </w:r>
            <w:r>
              <w:rPr>
                <w:rFonts w:ascii="Segoe UI" w:hAnsi="Segoe UI" w:cs="Segoe UI" w:hint="eastAsia"/>
                <w:b/>
                <w:bCs/>
                <w:color w:val="0F1115"/>
                <w:sz w:val="24"/>
                <w:szCs w:val="24"/>
                <w:shd w:val="clear" w:color="auto" w:fill="FFFFFF"/>
              </w:rPr>
              <w:t>和</w:t>
            </w:r>
            <w:r>
              <w:rPr>
                <w:rFonts w:ascii="Segoe UI" w:eastAsia="Segoe UI" w:hAnsi="Segoe UI" w:cs="Segoe UI"/>
                <w:b/>
                <w:bCs/>
                <w:color w:val="0F1115"/>
                <w:sz w:val="24"/>
                <w:szCs w:val="24"/>
                <w:shd w:val="clear" w:color="auto" w:fill="FFFFFF"/>
              </w:rPr>
              <w:t>最新进展</w:t>
            </w:r>
            <w:r>
              <w:rPr>
                <w:rFonts w:ascii="Segoe UI" w:hAnsi="Segoe UI" w:cs="Segoe UI" w:hint="eastAsia"/>
                <w:b/>
                <w:bCs/>
                <w:color w:val="0F1115"/>
                <w:sz w:val="24"/>
                <w:szCs w:val="24"/>
                <w:shd w:val="clear" w:color="auto" w:fill="FFFFFF"/>
              </w:rPr>
              <w:t>情况？</w:t>
            </w:r>
          </w:p>
          <w:p w14:paraId="3112B32F" w14:textId="3471D5AA" w:rsidR="0052604A" w:rsidRDefault="00000000">
            <w:pPr>
              <w:pStyle w:val="Style6"/>
              <w:spacing w:line="460" w:lineRule="exact"/>
              <w:ind w:firstLine="480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回答：</w:t>
            </w:r>
            <w:r>
              <w:rPr>
                <w:rFonts w:ascii="Segoe UI" w:eastAsia="Segoe UI" w:hAnsi="Segoe UI" w:cs="Segoe UI"/>
                <w:color w:val="0F1115"/>
                <w:sz w:val="24"/>
                <w:szCs w:val="24"/>
                <w:shd w:val="clear" w:color="auto" w:fill="FFFFFF"/>
              </w:rPr>
              <w:t>公司始终围绕“激光+智能装备”平台化升级发展战略，在持续深耕锂电装备主业的同时，积极培育</w:t>
            </w:r>
            <w:r>
              <w:rPr>
                <w:rFonts w:ascii="Segoe UI" w:hAnsi="Segoe UI" w:cs="Segoe UI" w:hint="eastAsia"/>
                <w:color w:val="0F1115"/>
                <w:sz w:val="24"/>
                <w:szCs w:val="24"/>
                <w:shd w:val="clear" w:color="auto" w:fill="FFFFFF"/>
              </w:rPr>
              <w:t>新兴业务，以打造</w:t>
            </w:r>
            <w:r>
              <w:rPr>
                <w:rFonts w:ascii="Segoe UI" w:eastAsia="Segoe UI" w:hAnsi="Segoe UI" w:cs="Segoe UI"/>
                <w:color w:val="0F1115"/>
                <w:sz w:val="24"/>
                <w:szCs w:val="24"/>
                <w:shd w:val="clear" w:color="auto" w:fill="FFFFFF"/>
              </w:rPr>
              <w:t>第二增长极。</w:t>
            </w:r>
            <w:r>
              <w:rPr>
                <w:rFonts w:ascii="Segoe UI" w:hAnsi="Segoe UI" w:cs="Segoe UI" w:hint="eastAsia"/>
                <w:color w:val="0F1115"/>
                <w:sz w:val="24"/>
                <w:szCs w:val="24"/>
                <w:shd w:val="clear" w:color="auto" w:fill="FFFFFF"/>
              </w:rPr>
              <w:t>在新能源电池领域，公司持续</w:t>
            </w:r>
            <w:r>
              <w:rPr>
                <w:rFonts w:ascii="宋体" w:hAnsi="宋体" w:hint="eastAsia"/>
                <w:sz w:val="24"/>
                <w:szCs w:val="24"/>
              </w:rPr>
              <w:t>关注新兴电池技术的发展，并积极根据市场需求和行业发展开发相应新型设备，目前公司固态电池设备、钠电池设备均已实现客户交付。同时，公司基于激光技术和智能装备技术的延展，拓展了超级电容、钙钛矿太阳能电池装备、AMHS设备等领域，亦实现了客户交付，且部分产品获得客户复购订单。上述业务在公司整体业务中占比较小，敬请注意投资风险。</w:t>
            </w:r>
          </w:p>
          <w:p w14:paraId="3570E8E1" w14:textId="77777777" w:rsidR="0052604A" w:rsidRDefault="0052604A">
            <w:pPr>
              <w:pStyle w:val="Style6"/>
              <w:spacing w:line="460" w:lineRule="exact"/>
              <w:ind w:firstLine="480"/>
              <w:rPr>
                <w:rFonts w:ascii="宋体" w:hAnsi="宋体" w:hint="eastAsia"/>
                <w:sz w:val="24"/>
                <w:szCs w:val="24"/>
              </w:rPr>
            </w:pPr>
          </w:p>
          <w:p w14:paraId="47A2BFEA" w14:textId="77777777" w:rsidR="0052604A" w:rsidRDefault="00000000">
            <w:pPr>
              <w:pStyle w:val="Style6"/>
              <w:numPr>
                <w:ilvl w:val="0"/>
                <w:numId w:val="1"/>
              </w:numPr>
              <w:spacing w:line="460" w:lineRule="exact"/>
              <w:ind w:firstLineChars="0"/>
              <w:rPr>
                <w:rFonts w:ascii="宋体" w:hAnsi="宋体" w:hint="eastAsia"/>
                <w:b/>
                <w:bCs/>
                <w:sz w:val="24"/>
                <w:szCs w:val="24"/>
              </w:rPr>
            </w:pPr>
            <w:r>
              <w:rPr>
                <w:rFonts w:ascii="宋体" w:hAnsi="宋体"/>
                <w:b/>
                <w:bCs/>
                <w:sz w:val="24"/>
                <w:szCs w:val="24"/>
              </w:rPr>
              <w:t>公司现金较为充裕，是否有外延或上下游联动打算？</w:t>
            </w: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有哪些关注的</w:t>
            </w:r>
            <w:r>
              <w:rPr>
                <w:rFonts w:ascii="宋体" w:hAnsi="宋体"/>
                <w:b/>
                <w:bCs/>
                <w:sz w:val="24"/>
                <w:szCs w:val="24"/>
              </w:rPr>
              <w:t>方向？</w:t>
            </w:r>
          </w:p>
          <w:p w14:paraId="7F8C6A75" w14:textId="7EACC72C" w:rsidR="0052604A" w:rsidRPr="006E3E01" w:rsidRDefault="00000000" w:rsidP="006E3E01">
            <w:pPr>
              <w:pStyle w:val="Style6"/>
              <w:spacing w:line="460" w:lineRule="exact"/>
              <w:ind w:firstLine="480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回答：公司</w:t>
            </w:r>
            <w:r>
              <w:rPr>
                <w:rFonts w:ascii="宋体" w:hAnsi="宋体" w:hint="eastAsia"/>
                <w:sz w:val="24"/>
                <w:szCs w:val="24"/>
              </w:rPr>
              <w:t>着力</w:t>
            </w:r>
            <w:r>
              <w:rPr>
                <w:rFonts w:ascii="宋体" w:hAnsi="宋体"/>
                <w:sz w:val="24"/>
                <w:szCs w:val="24"/>
              </w:rPr>
              <w:t>推动建立业务与资本协同发展机制，</w:t>
            </w:r>
            <w:r>
              <w:rPr>
                <w:rFonts w:ascii="宋体" w:hAnsi="宋体" w:hint="eastAsia"/>
                <w:sz w:val="24"/>
                <w:szCs w:val="24"/>
              </w:rPr>
              <w:t>近年来，陆续</w:t>
            </w:r>
            <w:r>
              <w:rPr>
                <w:rFonts w:ascii="宋体" w:hAnsi="宋体"/>
                <w:sz w:val="24"/>
                <w:szCs w:val="24"/>
              </w:rPr>
              <w:t>战略并购了新聚力</w:t>
            </w:r>
            <w:r>
              <w:rPr>
                <w:rFonts w:ascii="宋体" w:hAnsi="宋体" w:hint="eastAsia"/>
                <w:sz w:val="24"/>
                <w:szCs w:val="24"/>
              </w:rPr>
              <w:t>、</w:t>
            </w:r>
            <w:r>
              <w:rPr>
                <w:rFonts w:ascii="宋体" w:hAnsi="宋体"/>
                <w:sz w:val="24"/>
                <w:szCs w:val="24"/>
              </w:rPr>
              <w:t>投资了武逸科技、</w:t>
            </w:r>
            <w:r>
              <w:rPr>
                <w:rFonts w:ascii="宋体" w:hAnsi="宋体" w:hint="eastAsia"/>
                <w:sz w:val="24"/>
                <w:szCs w:val="24"/>
              </w:rPr>
              <w:t>荆楚人形机器人</w:t>
            </w:r>
            <w:r>
              <w:rPr>
                <w:rFonts w:ascii="宋体" w:hAnsi="宋体"/>
                <w:sz w:val="24"/>
                <w:szCs w:val="24"/>
              </w:rPr>
              <w:t>、元生创新、岱石科技等公司，进一步完善主业布局，并拓展新兴业务。未来，公司将会根据整体战略规划、业务发展等情况，持续关注光电产业、高端智能装备产业、新能源电池产业以及其他新兴</w:t>
            </w:r>
            <w:r>
              <w:rPr>
                <w:rFonts w:ascii="宋体" w:hAnsi="宋体" w:hint="eastAsia"/>
                <w:sz w:val="24"/>
                <w:szCs w:val="24"/>
              </w:rPr>
              <w:t>领域</w:t>
            </w:r>
            <w:r>
              <w:rPr>
                <w:rFonts w:ascii="宋体" w:hAnsi="宋体"/>
                <w:sz w:val="24"/>
                <w:szCs w:val="24"/>
              </w:rPr>
              <w:t>的相关机会。</w:t>
            </w:r>
          </w:p>
        </w:tc>
      </w:tr>
      <w:tr w:rsidR="0052604A" w14:paraId="6E56943F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880BF" w14:textId="77777777" w:rsidR="0052604A" w:rsidRDefault="00000000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lastRenderedPageBreak/>
              <w:t>附件清单（如有）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FFB3F" w14:textId="77777777" w:rsidR="0052604A" w:rsidRDefault="00000000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rFonts w:hint="eastAsia"/>
                <w:bCs/>
                <w:iCs/>
                <w:color w:val="000000"/>
                <w:sz w:val="24"/>
              </w:rPr>
              <w:t>无</w:t>
            </w:r>
          </w:p>
        </w:tc>
      </w:tr>
      <w:tr w:rsidR="0052604A" w14:paraId="28CBD404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23877" w14:textId="77777777" w:rsidR="0052604A" w:rsidRDefault="00000000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日期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CDF35" w14:textId="3B9828D0" w:rsidR="0052604A" w:rsidRDefault="00000000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rFonts w:hint="eastAsia"/>
                <w:bCs/>
                <w:iCs/>
                <w:color w:val="000000"/>
                <w:sz w:val="24"/>
              </w:rPr>
              <w:t>2026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>年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>9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>月</w:t>
            </w:r>
            <w:r w:rsidR="00132B06">
              <w:rPr>
                <w:rFonts w:hint="eastAsia"/>
                <w:bCs/>
                <w:iCs/>
                <w:color w:val="000000"/>
                <w:sz w:val="24"/>
              </w:rPr>
              <w:t>2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>日</w:t>
            </w:r>
          </w:p>
        </w:tc>
      </w:tr>
    </w:tbl>
    <w:p w14:paraId="2E91562D" w14:textId="77777777" w:rsidR="0052604A" w:rsidRDefault="0052604A"/>
    <w:sectPr w:rsidR="0052604A">
      <w:headerReference w:type="default" r:id="rId9"/>
      <w:footerReference w:type="default" r:id="rId10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DECA8" w14:textId="77777777" w:rsidR="00DF7F34" w:rsidRDefault="00DF7F34">
      <w:r>
        <w:separator/>
      </w:r>
    </w:p>
  </w:endnote>
  <w:endnote w:type="continuationSeparator" w:id="0">
    <w:p w14:paraId="384CD7CB" w14:textId="77777777" w:rsidR="00DF7F34" w:rsidRDefault="00DF7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EE4D4" w14:textId="77777777" w:rsidR="0052604A" w:rsidRDefault="00000000">
    <w:pPr>
      <w:pStyle w:val="a4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68D6AF1" wp14:editId="4A4C689B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278D35" w14:textId="77777777" w:rsidR="0052604A" w:rsidRDefault="00000000">
                          <w:pPr>
                            <w:pStyle w:val="a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8D6AF1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63278D35" w14:textId="77777777" w:rsidR="0052604A" w:rsidRDefault="00000000">
                    <w:pPr>
                      <w:pStyle w:val="a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DCCB23" w14:textId="77777777" w:rsidR="00DF7F34" w:rsidRDefault="00DF7F34">
      <w:r>
        <w:separator/>
      </w:r>
    </w:p>
  </w:footnote>
  <w:footnote w:type="continuationSeparator" w:id="0">
    <w:p w14:paraId="4A93D5E2" w14:textId="77777777" w:rsidR="00DF7F34" w:rsidRDefault="00DF7F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3C332" w14:textId="77777777" w:rsidR="0052604A" w:rsidRDefault="0052604A">
    <w:pPr>
      <w:pStyle w:val="a6"/>
      <w:pBdr>
        <w:bottom w:val="none" w:sz="0" w:space="0" w:color="auto"/>
      </w:pBdr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B59BAE9"/>
    <w:multiLevelType w:val="singleLevel"/>
    <w:tmpl w:val="EB59BAE9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 w16cid:durableId="1608074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1C7"/>
    <w:rsid w:val="000268C0"/>
    <w:rsid w:val="000363B5"/>
    <w:rsid w:val="000375D7"/>
    <w:rsid w:val="00043015"/>
    <w:rsid w:val="00046DDE"/>
    <w:rsid w:val="00047EB9"/>
    <w:rsid w:val="00060A74"/>
    <w:rsid w:val="00067110"/>
    <w:rsid w:val="0009298A"/>
    <w:rsid w:val="000A2808"/>
    <w:rsid w:val="000A3BAC"/>
    <w:rsid w:val="000C0760"/>
    <w:rsid w:val="000C26FD"/>
    <w:rsid w:val="000C2D85"/>
    <w:rsid w:val="000E5700"/>
    <w:rsid w:val="000F0C4B"/>
    <w:rsid w:val="000F0E22"/>
    <w:rsid w:val="00105A04"/>
    <w:rsid w:val="001169A9"/>
    <w:rsid w:val="00125EB2"/>
    <w:rsid w:val="00132B06"/>
    <w:rsid w:val="00142A4C"/>
    <w:rsid w:val="00144279"/>
    <w:rsid w:val="001452FF"/>
    <w:rsid w:val="0016617A"/>
    <w:rsid w:val="00167E99"/>
    <w:rsid w:val="001975AB"/>
    <w:rsid w:val="001A00F5"/>
    <w:rsid w:val="001A1F65"/>
    <w:rsid w:val="001A5CE9"/>
    <w:rsid w:val="001C50AD"/>
    <w:rsid w:val="001D22EE"/>
    <w:rsid w:val="001D4C89"/>
    <w:rsid w:val="001E1838"/>
    <w:rsid w:val="001E3145"/>
    <w:rsid w:val="001E6509"/>
    <w:rsid w:val="001E7968"/>
    <w:rsid w:val="0022180A"/>
    <w:rsid w:val="00223ABC"/>
    <w:rsid w:val="002241B9"/>
    <w:rsid w:val="002274D9"/>
    <w:rsid w:val="0023455A"/>
    <w:rsid w:val="00237994"/>
    <w:rsid w:val="00251D58"/>
    <w:rsid w:val="002530EE"/>
    <w:rsid w:val="002549E6"/>
    <w:rsid w:val="00256602"/>
    <w:rsid w:val="002670B0"/>
    <w:rsid w:val="00271C8D"/>
    <w:rsid w:val="00273B53"/>
    <w:rsid w:val="0028080C"/>
    <w:rsid w:val="00295257"/>
    <w:rsid w:val="00297703"/>
    <w:rsid w:val="002A0826"/>
    <w:rsid w:val="002A0984"/>
    <w:rsid w:val="002A589B"/>
    <w:rsid w:val="002B1184"/>
    <w:rsid w:val="002B71B8"/>
    <w:rsid w:val="002B7469"/>
    <w:rsid w:val="002C22C6"/>
    <w:rsid w:val="002C6568"/>
    <w:rsid w:val="002C723B"/>
    <w:rsid w:val="002D39BC"/>
    <w:rsid w:val="002E1B15"/>
    <w:rsid w:val="002E1D3A"/>
    <w:rsid w:val="003005F0"/>
    <w:rsid w:val="003030BF"/>
    <w:rsid w:val="00304F89"/>
    <w:rsid w:val="00306023"/>
    <w:rsid w:val="00327D5D"/>
    <w:rsid w:val="00344914"/>
    <w:rsid w:val="00346917"/>
    <w:rsid w:val="00354A7B"/>
    <w:rsid w:val="00360FDA"/>
    <w:rsid w:val="00363075"/>
    <w:rsid w:val="00367D18"/>
    <w:rsid w:val="00372A1C"/>
    <w:rsid w:val="0037435A"/>
    <w:rsid w:val="00377D8F"/>
    <w:rsid w:val="00383679"/>
    <w:rsid w:val="003A1E68"/>
    <w:rsid w:val="003B0122"/>
    <w:rsid w:val="003B0BE5"/>
    <w:rsid w:val="003D18F1"/>
    <w:rsid w:val="003E001E"/>
    <w:rsid w:val="003F3FA1"/>
    <w:rsid w:val="003F7C4D"/>
    <w:rsid w:val="0040075F"/>
    <w:rsid w:val="00403300"/>
    <w:rsid w:val="004118C0"/>
    <w:rsid w:val="00417A31"/>
    <w:rsid w:val="0042004B"/>
    <w:rsid w:val="00433384"/>
    <w:rsid w:val="0043777D"/>
    <w:rsid w:val="0045767F"/>
    <w:rsid w:val="00463E9B"/>
    <w:rsid w:val="00467414"/>
    <w:rsid w:val="00473F30"/>
    <w:rsid w:val="0048591A"/>
    <w:rsid w:val="00486D86"/>
    <w:rsid w:val="0048721A"/>
    <w:rsid w:val="004A0BD5"/>
    <w:rsid w:val="004A1BBF"/>
    <w:rsid w:val="004A73E5"/>
    <w:rsid w:val="004C19BF"/>
    <w:rsid w:val="004D7640"/>
    <w:rsid w:val="004E1A9B"/>
    <w:rsid w:val="00500AB6"/>
    <w:rsid w:val="005155FB"/>
    <w:rsid w:val="00523907"/>
    <w:rsid w:val="0052604A"/>
    <w:rsid w:val="00537C53"/>
    <w:rsid w:val="00537DD9"/>
    <w:rsid w:val="005438F5"/>
    <w:rsid w:val="00544901"/>
    <w:rsid w:val="005474D3"/>
    <w:rsid w:val="00550737"/>
    <w:rsid w:val="00555DD2"/>
    <w:rsid w:val="00565ED9"/>
    <w:rsid w:val="005760C6"/>
    <w:rsid w:val="00585A1B"/>
    <w:rsid w:val="00591260"/>
    <w:rsid w:val="00591314"/>
    <w:rsid w:val="00593D40"/>
    <w:rsid w:val="00595F1B"/>
    <w:rsid w:val="005A3BE0"/>
    <w:rsid w:val="005B1026"/>
    <w:rsid w:val="005B642F"/>
    <w:rsid w:val="005C04C1"/>
    <w:rsid w:val="005C1785"/>
    <w:rsid w:val="005D2D87"/>
    <w:rsid w:val="005D6A09"/>
    <w:rsid w:val="005E2B4B"/>
    <w:rsid w:val="005E5F63"/>
    <w:rsid w:val="005E6BA1"/>
    <w:rsid w:val="0060779A"/>
    <w:rsid w:val="00622F13"/>
    <w:rsid w:val="00625503"/>
    <w:rsid w:val="0062662D"/>
    <w:rsid w:val="00632E78"/>
    <w:rsid w:val="006344F1"/>
    <w:rsid w:val="00637186"/>
    <w:rsid w:val="00646DF4"/>
    <w:rsid w:val="00651DE6"/>
    <w:rsid w:val="006523BB"/>
    <w:rsid w:val="0065347E"/>
    <w:rsid w:val="00654B49"/>
    <w:rsid w:val="00657317"/>
    <w:rsid w:val="00662505"/>
    <w:rsid w:val="0066674C"/>
    <w:rsid w:val="006760F7"/>
    <w:rsid w:val="006861C7"/>
    <w:rsid w:val="00686DDF"/>
    <w:rsid w:val="00697B12"/>
    <w:rsid w:val="006A55BB"/>
    <w:rsid w:val="006A7613"/>
    <w:rsid w:val="006B661A"/>
    <w:rsid w:val="006B7D00"/>
    <w:rsid w:val="006C6BC5"/>
    <w:rsid w:val="006D61A2"/>
    <w:rsid w:val="006E097F"/>
    <w:rsid w:val="006E1DB4"/>
    <w:rsid w:val="006E3E01"/>
    <w:rsid w:val="00735666"/>
    <w:rsid w:val="00753DB6"/>
    <w:rsid w:val="00763847"/>
    <w:rsid w:val="00771FE3"/>
    <w:rsid w:val="00776BDE"/>
    <w:rsid w:val="00786870"/>
    <w:rsid w:val="00792237"/>
    <w:rsid w:val="0079272A"/>
    <w:rsid w:val="007A1DA9"/>
    <w:rsid w:val="007B2252"/>
    <w:rsid w:val="007B79D9"/>
    <w:rsid w:val="007C67B1"/>
    <w:rsid w:val="007E354A"/>
    <w:rsid w:val="007E69C8"/>
    <w:rsid w:val="0080525B"/>
    <w:rsid w:val="008062C5"/>
    <w:rsid w:val="0080741A"/>
    <w:rsid w:val="00814B5B"/>
    <w:rsid w:val="00836F34"/>
    <w:rsid w:val="00843E73"/>
    <w:rsid w:val="00844EBF"/>
    <w:rsid w:val="00854F61"/>
    <w:rsid w:val="00864202"/>
    <w:rsid w:val="0087216F"/>
    <w:rsid w:val="00873B59"/>
    <w:rsid w:val="0087701F"/>
    <w:rsid w:val="0089283D"/>
    <w:rsid w:val="008A0ADC"/>
    <w:rsid w:val="008A1BAB"/>
    <w:rsid w:val="008B38B7"/>
    <w:rsid w:val="008B458E"/>
    <w:rsid w:val="008C4D4A"/>
    <w:rsid w:val="008E11AE"/>
    <w:rsid w:val="008E1708"/>
    <w:rsid w:val="008E4844"/>
    <w:rsid w:val="00904492"/>
    <w:rsid w:val="00904DFB"/>
    <w:rsid w:val="0091457B"/>
    <w:rsid w:val="00923763"/>
    <w:rsid w:val="00930ED6"/>
    <w:rsid w:val="0093293F"/>
    <w:rsid w:val="00933105"/>
    <w:rsid w:val="009474EF"/>
    <w:rsid w:val="00962626"/>
    <w:rsid w:val="009767DD"/>
    <w:rsid w:val="00977AF2"/>
    <w:rsid w:val="00985FC5"/>
    <w:rsid w:val="00993BDD"/>
    <w:rsid w:val="009A6DFB"/>
    <w:rsid w:val="009B6EC0"/>
    <w:rsid w:val="009C7FAF"/>
    <w:rsid w:val="009D4199"/>
    <w:rsid w:val="009E5E6A"/>
    <w:rsid w:val="009F0DD5"/>
    <w:rsid w:val="009F1B95"/>
    <w:rsid w:val="009F6C05"/>
    <w:rsid w:val="00A13CB6"/>
    <w:rsid w:val="00A14A1A"/>
    <w:rsid w:val="00A22CDD"/>
    <w:rsid w:val="00A25AEE"/>
    <w:rsid w:val="00A31EB1"/>
    <w:rsid w:val="00A33AEA"/>
    <w:rsid w:val="00A461CD"/>
    <w:rsid w:val="00A469C5"/>
    <w:rsid w:val="00A5317D"/>
    <w:rsid w:val="00A53736"/>
    <w:rsid w:val="00A6284E"/>
    <w:rsid w:val="00A63E81"/>
    <w:rsid w:val="00A8775A"/>
    <w:rsid w:val="00AA5998"/>
    <w:rsid w:val="00AB07E7"/>
    <w:rsid w:val="00AD1BA8"/>
    <w:rsid w:val="00B02A29"/>
    <w:rsid w:val="00B03522"/>
    <w:rsid w:val="00B04AD6"/>
    <w:rsid w:val="00B14CAA"/>
    <w:rsid w:val="00B257CE"/>
    <w:rsid w:val="00B4746C"/>
    <w:rsid w:val="00B65354"/>
    <w:rsid w:val="00B71A0E"/>
    <w:rsid w:val="00B81765"/>
    <w:rsid w:val="00B832F5"/>
    <w:rsid w:val="00BA2FAB"/>
    <w:rsid w:val="00BB5E28"/>
    <w:rsid w:val="00BD15F3"/>
    <w:rsid w:val="00BD7986"/>
    <w:rsid w:val="00BD79D3"/>
    <w:rsid w:val="00C04F82"/>
    <w:rsid w:val="00C15AC0"/>
    <w:rsid w:val="00C26030"/>
    <w:rsid w:val="00C41091"/>
    <w:rsid w:val="00C63056"/>
    <w:rsid w:val="00C661D1"/>
    <w:rsid w:val="00C775BA"/>
    <w:rsid w:val="00C85331"/>
    <w:rsid w:val="00C85A50"/>
    <w:rsid w:val="00C94D46"/>
    <w:rsid w:val="00CA443A"/>
    <w:rsid w:val="00CB2461"/>
    <w:rsid w:val="00CB37FD"/>
    <w:rsid w:val="00CC4D65"/>
    <w:rsid w:val="00CC61E7"/>
    <w:rsid w:val="00CD25AD"/>
    <w:rsid w:val="00CD3FFC"/>
    <w:rsid w:val="00CF565C"/>
    <w:rsid w:val="00D016A3"/>
    <w:rsid w:val="00D512E3"/>
    <w:rsid w:val="00D536D5"/>
    <w:rsid w:val="00D602C9"/>
    <w:rsid w:val="00DA26A9"/>
    <w:rsid w:val="00DB01FF"/>
    <w:rsid w:val="00DC7778"/>
    <w:rsid w:val="00DE7391"/>
    <w:rsid w:val="00DF2DB5"/>
    <w:rsid w:val="00DF6560"/>
    <w:rsid w:val="00DF7F34"/>
    <w:rsid w:val="00E04CC0"/>
    <w:rsid w:val="00E136FF"/>
    <w:rsid w:val="00E32528"/>
    <w:rsid w:val="00E35F26"/>
    <w:rsid w:val="00E53165"/>
    <w:rsid w:val="00E61EF7"/>
    <w:rsid w:val="00E663B4"/>
    <w:rsid w:val="00E80CEB"/>
    <w:rsid w:val="00EA29E6"/>
    <w:rsid w:val="00EA5103"/>
    <w:rsid w:val="00EA6FB9"/>
    <w:rsid w:val="00EB5E6A"/>
    <w:rsid w:val="00EC2AD7"/>
    <w:rsid w:val="00ED7DE0"/>
    <w:rsid w:val="00EE7891"/>
    <w:rsid w:val="00EF49FE"/>
    <w:rsid w:val="00EF5341"/>
    <w:rsid w:val="00F0153F"/>
    <w:rsid w:val="00F04908"/>
    <w:rsid w:val="00F07C21"/>
    <w:rsid w:val="00F12EF6"/>
    <w:rsid w:val="00F21065"/>
    <w:rsid w:val="00F24CB4"/>
    <w:rsid w:val="00F43465"/>
    <w:rsid w:val="00F45475"/>
    <w:rsid w:val="00F64E72"/>
    <w:rsid w:val="00F70C7D"/>
    <w:rsid w:val="00F9272E"/>
    <w:rsid w:val="00F97743"/>
    <w:rsid w:val="00FA6DAF"/>
    <w:rsid w:val="00FC6884"/>
    <w:rsid w:val="00FE62F3"/>
    <w:rsid w:val="00FF71D2"/>
    <w:rsid w:val="012F62C7"/>
    <w:rsid w:val="03182915"/>
    <w:rsid w:val="15AF7257"/>
    <w:rsid w:val="18221F62"/>
    <w:rsid w:val="18732B7F"/>
    <w:rsid w:val="1B1B76B9"/>
    <w:rsid w:val="1B2418A5"/>
    <w:rsid w:val="1B5326B2"/>
    <w:rsid w:val="1BB7203D"/>
    <w:rsid w:val="1FBFC074"/>
    <w:rsid w:val="229C0B63"/>
    <w:rsid w:val="24CB225A"/>
    <w:rsid w:val="27665A32"/>
    <w:rsid w:val="335E7A0E"/>
    <w:rsid w:val="36FB9E1F"/>
    <w:rsid w:val="3ACC6031"/>
    <w:rsid w:val="3BFA3B96"/>
    <w:rsid w:val="3CEF3472"/>
    <w:rsid w:val="3E1C2E2C"/>
    <w:rsid w:val="3EFF16E9"/>
    <w:rsid w:val="4B3612A5"/>
    <w:rsid w:val="54E05733"/>
    <w:rsid w:val="62DB3E37"/>
    <w:rsid w:val="667E0744"/>
    <w:rsid w:val="68C34FEC"/>
    <w:rsid w:val="68F339D4"/>
    <w:rsid w:val="6C1911BE"/>
    <w:rsid w:val="6F7A6340"/>
    <w:rsid w:val="748F64C6"/>
    <w:rsid w:val="77CF73AC"/>
    <w:rsid w:val="77D01760"/>
    <w:rsid w:val="78FF0116"/>
    <w:rsid w:val="7ACF5207"/>
    <w:rsid w:val="B7DDD54D"/>
    <w:rsid w:val="E3FFE6ED"/>
    <w:rsid w:val="F5DB8A63"/>
    <w:rsid w:val="F797912E"/>
    <w:rsid w:val="FE7B4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0608C72"/>
  <w15:docId w15:val="{AC5C79B6-2C7B-4D3F-94AA-34B1F9FDE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pPr>
      <w:jc w:val="left"/>
    </w:pPr>
  </w:style>
  <w:style w:type="paragraph" w:styleId="a4">
    <w:name w:val="footer"/>
    <w:basedOn w:val="a"/>
    <w:link w:val="a5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kern w:val="0"/>
      <w:sz w:val="24"/>
    </w:rPr>
  </w:style>
  <w:style w:type="character" w:styleId="a8">
    <w:name w:val="Emphasis"/>
    <w:basedOn w:val="a0"/>
    <w:qFormat/>
    <w:rPr>
      <w:i/>
    </w:rPr>
  </w:style>
  <w:style w:type="paragraph" w:customStyle="1" w:styleId="Style6">
    <w:name w:val="_Style 6"/>
    <w:basedOn w:val="a"/>
    <w:uiPriority w:val="34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CharCharChar">
    <w:name w:val="Char Char Char"/>
    <w:basedOn w:val="a"/>
    <w:qFormat/>
    <w:rPr>
      <w:szCs w:val="21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a"/>
    <w:qFormat/>
  </w:style>
  <w:style w:type="paragraph" w:customStyle="1" w:styleId="CharCharChar0">
    <w:name w:val="Char Char Char"/>
    <w:basedOn w:val="a"/>
    <w:qFormat/>
  </w:style>
  <w:style w:type="character" w:customStyle="1" w:styleId="a5">
    <w:name w:val="页脚 字符"/>
    <w:basedOn w:val="a0"/>
    <w:link w:val="a4"/>
    <w:qFormat/>
    <w:rPr>
      <w:kern w:val="2"/>
      <w:sz w:val="18"/>
      <w:szCs w:val="18"/>
    </w:rPr>
  </w:style>
  <w:style w:type="character" w:customStyle="1" w:styleId="a7">
    <w:name w:val="页眉 字符"/>
    <w:basedOn w:val="a0"/>
    <w:link w:val="a6"/>
    <w:qFormat/>
    <w:rPr>
      <w:kern w:val="2"/>
      <w:sz w:val="18"/>
      <w:szCs w:val="18"/>
    </w:rPr>
  </w:style>
  <w:style w:type="paragraph" w:styleId="a9">
    <w:name w:val="Revision"/>
    <w:hidden/>
    <w:uiPriority w:val="99"/>
    <w:unhideWhenUsed/>
    <w:rsid w:val="002670B0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>
    <reviewItem>
      <errorID>676ffa84-d4e0-4c85-8c67-afe8edee490e</errorID>
      <errorWord>转化</errorWord>
      <group>L1_Punc</group>
      <groupName>标点问题</groupName>
      <ability>L2_Punc_CN</ability>
      <abilityName>标点符号问题</abilityName>
      <candidateList>
        <item>，转化</item>
      </candidateList>
      <explain/>
      <paraID>1A77AEE2</paraID>
      <start>182</start>
      <end>184</end>
      <status>unmodified</status>
      <modifiedWord/>
      <trackRevisions>false</trackRevisions>
    </reviewItem>
    <reviewItem>
      <errorID>920f2fc1-7847-4ef1-bb3f-cdfa7a1b8003</errorID>
      <errorWord>月不等</errorWord>
      <group>L1_Grammar</group>
      <groupName>语法问题</groupName>
      <ability>L2_Grammar</ability>
      <abilityName>语法错误</abilityName>
      <candidateList>
        <item>月</item>
      </candidateList>
      <explain/>
      <paraID>1A77AEE2</paraID>
      <start>194</start>
      <end>197</end>
      <status>unmodified</status>
      <modifiedWord/>
      <trackRevisions>false</trackRevisions>
    </reviewItem>
    <reviewItem>
      <errorID>f2dcb7ef-023c-4ab7-b4ba-ae5cf2bd4c2f</errorID>
      <errorWord>等</errorWord>
      <group>L1_Word</group>
      <groupName>字词问题</groupName>
      <ability>L2_Typo</ability>
      <abilityName>字词错误</abilityName>
      <candidateList>
        <item>的</item>
      </candidateList>
      <explain/>
      <paraID>4CEF822A</paraID>
      <start>200</start>
      <end>201</end>
      <status>unmodified</status>
      <modifiedWord/>
      <trackRevisions>false</trackRevisions>
    </reviewItem>
    <reviewItem>
      <errorID>7f673384-21d7-45cc-97f2-3cf5754116a3</errorID>
      <errorWord>用</errorWord>
      <group>L1_Word</group>
      <groupName>字词问题</groupName>
      <ability>L2_Typo</ability>
      <abilityName>字词错误</abilityName>
      <candidateList>
        <item>用于</item>
      </candidateList>
      <explain/>
      <paraID>245CA038</paraID>
      <start>15</start>
      <end>17</end>
      <status>modified</status>
      <modifiedWord>用于</modifiedWord>
      <trackRevisions>false</trackRevisions>
    </reviewItem>
    <reviewItem>
      <errorID>41e8982d-af20-4f4a-9219-9692b7022e7d</errorID>
      <errorWord>亦</errorWord>
      <group>L1_Word</group>
      <groupName>字词问题</groupName>
      <ability>L2_Typo</ability>
      <abilityName>字词错误</abilityName>
      <candidateList>
        <item>已</item>
      </candidateList>
      <explain>存在发音相同字词的误用。</explain>
      <paraID>3CBC5921</paraID>
      <start>189</start>
      <end>190</end>
      <status>unmodified</status>
      <modifiedWord/>
      <trackRevisions>false</trackRevisions>
    </reviewItem>
    <reviewItem>
      <errorID>85c63734-6886-4356-82de-878b0a17fc1c</errorID>
      <errorWord>客户里</errorWord>
      <group>L1_Word</group>
      <groupName>字词问题</groupName>
      <ability>L2_Typo</ability>
      <abilityName>字词错误</abilityName>
      <candidateList>
        <item>客户</item>
      </candidateList>
      <explain/>
      <paraID>3CBC5921</paraID>
      <start>205</start>
      <end>207</end>
      <status>modified</status>
      <modifiedWord>客户</modifiedWord>
      <trackRevisions>false</trackRevisions>
    </reviewItem>
  </reviewItems>
  <config/>
</contractReview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20CB62A3-63F9-4D26-A2E8-FD3C6686730E}">
  <ds:schemaRefs>
    <ds:schemaRef ds:uri="http://schemas.wps.cn/vas-ai-hub/contract-review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413</Words>
  <Characters>2358</Characters>
  <Application>Microsoft Office Word</Application>
  <DocSecurity>0</DocSecurity>
  <Lines>19</Lines>
  <Paragraphs>5</Paragraphs>
  <ScaleCrop>false</ScaleCrop>
  <Company>微软中国</Company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Zeyuan Gao</cp:lastModifiedBy>
  <cp:revision>274</cp:revision>
  <cp:lastPrinted>2014-02-21T05:34:00Z</cp:lastPrinted>
  <dcterms:created xsi:type="dcterms:W3CDTF">2012-09-09T08:59:00Z</dcterms:created>
  <dcterms:modified xsi:type="dcterms:W3CDTF">2026-09-02T08:12:00Z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B37CF6EC46164E3587BD14B3DD13B259_13</vt:lpwstr>
  </property>
  <property fmtid="{D5CDD505-2E9C-101B-9397-08002B2CF9AE}" pid="4" name="KSOTemplateDocerSaveRecord">
    <vt:lpwstr>eyJoZGlkIjoiYTg5MDBiYTU3ZWNhZjU4ZjdlNzM0MTBiYTkzNDJlZmMiLCJ1c2VySWQiOiI0MjU3NjQ1MjQifQ==</vt:lpwstr>
  </property>
</Properties>
</file>