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714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华文楷体"/>
          <w:b/>
          <w:bCs/>
          <w:iCs/>
          <w:color w:val="000000"/>
          <w:sz w:val="24"/>
          <w:lang w:val="en-US" w:eastAsia="zh-CN"/>
        </w:rPr>
      </w:pPr>
      <w:r>
        <w:rPr>
          <w:rFonts w:ascii="Times New Roman" w:hAnsi="Times New Roman" w:eastAsia="华文楷体"/>
          <w:bCs/>
          <w:iCs/>
          <w:color w:val="000000"/>
          <w:sz w:val="24"/>
        </w:rPr>
        <w:t>证券代码：</w:t>
      </w:r>
      <w:r>
        <w:rPr>
          <w:rFonts w:hint="eastAsia" w:ascii="Times New Roman" w:hAnsi="Times New Roman" w:eastAsia="华文楷体"/>
          <w:bCs/>
          <w:iCs/>
          <w:color w:val="000000"/>
          <w:sz w:val="24"/>
          <w:lang w:val="en-US" w:eastAsia="zh-CN"/>
        </w:rPr>
        <w:t>603092</w:t>
      </w:r>
      <w:r>
        <w:rPr>
          <w:rFonts w:ascii="Times New Roman" w:hAnsi="Times New Roman" w:eastAsia="华文楷体"/>
          <w:bCs/>
          <w:iCs/>
          <w:color w:val="000000"/>
          <w:sz w:val="24"/>
        </w:rPr>
        <w:t xml:space="preserve">    </w:t>
      </w:r>
      <w:r>
        <w:rPr>
          <w:rFonts w:hint="eastAsia" w:ascii="Times New Roman" w:hAnsi="Times New Roman" w:eastAsia="华文楷体"/>
          <w:bCs/>
          <w:iCs/>
          <w:color w:val="000000"/>
          <w:sz w:val="24"/>
          <w:lang w:val="en-US" w:eastAsia="zh-CN"/>
        </w:rPr>
        <w:t xml:space="preserve">               </w:t>
      </w:r>
      <w:r>
        <w:rPr>
          <w:rFonts w:ascii="Times New Roman" w:hAnsi="Times New Roman" w:eastAsia="华文楷体"/>
          <w:bCs/>
          <w:iCs/>
          <w:color w:val="000000"/>
          <w:sz w:val="24"/>
        </w:rPr>
        <w:t xml:space="preserve"> </w:t>
      </w:r>
      <w:r>
        <w:rPr>
          <w:rFonts w:hint="eastAsia" w:ascii="Times New Roman" w:hAnsi="Times New Roman" w:eastAsia="华文楷体"/>
          <w:bCs/>
          <w:iCs/>
          <w:color w:val="000000"/>
          <w:sz w:val="24"/>
          <w:lang w:val="en-US" w:eastAsia="zh-CN"/>
        </w:rPr>
        <w:t xml:space="preserve"> </w:t>
      </w:r>
      <w:r>
        <w:rPr>
          <w:rFonts w:ascii="Times New Roman" w:hAnsi="Times New Roman" w:eastAsia="华文楷体"/>
          <w:bCs/>
          <w:iCs/>
          <w:color w:val="000000"/>
          <w:sz w:val="24"/>
        </w:rPr>
        <w:t xml:space="preserve">                证券简称：</w:t>
      </w:r>
      <w:r>
        <w:rPr>
          <w:rFonts w:hint="eastAsia" w:ascii="Times New Roman" w:hAnsi="Times New Roman" w:eastAsia="华文楷体"/>
          <w:bCs/>
          <w:iCs/>
          <w:color w:val="000000"/>
          <w:sz w:val="24"/>
          <w:lang w:val="en-US" w:eastAsia="zh-CN"/>
        </w:rPr>
        <w:t>德力佳</w:t>
      </w:r>
    </w:p>
    <w:p w14:paraId="1A44DD75">
      <w:pPr>
        <w:ind w:firstLine="482"/>
        <w:jc w:val="center"/>
        <w:rPr>
          <w:rFonts w:ascii="Times New Roman" w:hAnsi="Times New Roman" w:eastAsia="华文楷体"/>
          <w:b/>
          <w:bCs/>
          <w:iCs/>
          <w:color w:val="000000"/>
          <w:sz w:val="24"/>
        </w:rPr>
      </w:pPr>
    </w:p>
    <w:p w14:paraId="082A389C">
      <w:pPr>
        <w:ind w:firstLine="482"/>
        <w:jc w:val="center"/>
        <w:rPr>
          <w:rFonts w:ascii="Times New Roman" w:hAnsi="Times New Roman" w:eastAsia="华文楷体"/>
          <w:b/>
          <w:bCs/>
          <w:iCs/>
          <w:color w:val="000000"/>
          <w:sz w:val="32"/>
        </w:rPr>
      </w:pPr>
      <w:r>
        <w:rPr>
          <w:rFonts w:hint="eastAsia" w:ascii="Times New Roman" w:hAnsi="Times New Roman" w:eastAsia="华文楷体"/>
          <w:b/>
          <w:bCs/>
          <w:iCs/>
          <w:color w:val="000000"/>
          <w:sz w:val="32"/>
          <w:lang w:val="en-US" w:eastAsia="zh-CN"/>
        </w:rPr>
        <w:t>德力佳传动科技（江苏）</w:t>
      </w:r>
      <w:r>
        <w:rPr>
          <w:rFonts w:ascii="Times New Roman" w:hAnsi="Times New Roman" w:eastAsia="华文楷体"/>
          <w:b/>
          <w:bCs/>
          <w:iCs/>
          <w:color w:val="000000"/>
          <w:sz w:val="32"/>
        </w:rPr>
        <w:t>股份有限公司</w:t>
      </w:r>
    </w:p>
    <w:p w14:paraId="3609A8AC">
      <w:pPr>
        <w:ind w:firstLine="482"/>
        <w:jc w:val="center"/>
        <w:rPr>
          <w:rFonts w:ascii="Times New Roman" w:hAnsi="Times New Roman" w:eastAsia="华文楷体"/>
          <w:b/>
          <w:bCs/>
          <w:iCs/>
          <w:color w:val="000000"/>
          <w:sz w:val="32"/>
        </w:rPr>
      </w:pPr>
      <w:r>
        <w:rPr>
          <w:rFonts w:ascii="Times New Roman" w:hAnsi="Times New Roman" w:eastAsia="华文楷体"/>
          <w:b/>
          <w:bCs/>
          <w:iCs/>
          <w:color w:val="000000"/>
          <w:sz w:val="32"/>
        </w:rPr>
        <w:t>投资者关系活动记录表</w:t>
      </w:r>
    </w:p>
    <w:p w14:paraId="12A75664">
      <w:pPr>
        <w:spacing w:line="400" w:lineRule="exact"/>
        <w:ind w:firstLine="480"/>
        <w:rPr>
          <w:rFonts w:hint="default" w:ascii="Times New Roman" w:hAnsi="Times New Roman" w:eastAsia="华文楷体"/>
          <w:bCs/>
          <w:iCs/>
          <w:color w:val="000000"/>
          <w:sz w:val="24"/>
          <w:lang w:val="en-US" w:eastAsia="zh-CN"/>
        </w:rPr>
      </w:pPr>
      <w:r>
        <w:rPr>
          <w:rFonts w:ascii="Times New Roman" w:hAnsi="Times New Roman" w:eastAsia="华文楷体"/>
          <w:bCs/>
          <w:iCs/>
          <w:color w:val="000000"/>
          <w:sz w:val="24"/>
        </w:rPr>
        <w:t xml:space="preserve">                                                    编号：</w:t>
      </w:r>
      <w:r>
        <w:rPr>
          <w:rFonts w:hint="eastAsia" w:ascii="Times New Roman" w:hAnsi="Times New Roman" w:eastAsia="华文楷体"/>
          <w:bCs/>
          <w:iCs/>
          <w:color w:val="000000"/>
          <w:sz w:val="24"/>
          <w:lang w:val="en-US" w:eastAsia="zh-CN"/>
        </w:rPr>
        <w:t>2026-00</w:t>
      </w:r>
      <w:r>
        <w:rPr>
          <w:rFonts w:hint="default" w:ascii="Times New Roman" w:hAnsi="Times New Roman" w:eastAsia="华文楷体"/>
          <w:bCs/>
          <w:iCs/>
          <w:color w:val="000000"/>
          <w:sz w:val="24"/>
          <w:lang w:val="en-US" w:eastAsia="zh-CN"/>
        </w:rPr>
        <w:t>7</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48"/>
        <w:gridCol w:w="6434"/>
      </w:tblGrid>
      <w:tr w14:paraId="15DA24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l2br w:val="nil"/>
              <w:tr2bl w:val="nil"/>
            </w:tcBorders>
            <w:vAlign w:val="center"/>
          </w:tcPr>
          <w:p w14:paraId="4E4808D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华文楷体"/>
                <w:bCs/>
                <w:iCs/>
                <w:color w:val="000000"/>
                <w:sz w:val="24"/>
              </w:rPr>
            </w:pPr>
            <w:r>
              <w:rPr>
                <w:rFonts w:ascii="Times New Roman" w:hAnsi="Times New Roman" w:eastAsia="华文楷体"/>
                <w:bCs/>
                <w:iCs/>
                <w:color w:val="000000"/>
                <w:sz w:val="24"/>
              </w:rPr>
              <w:t>投资者关系活动类别</w:t>
            </w:r>
          </w:p>
          <w:p w14:paraId="1E47B4DA">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华文楷体"/>
                <w:bCs/>
                <w:iCs/>
                <w:color w:val="000000"/>
                <w:sz w:val="24"/>
              </w:rPr>
            </w:pPr>
          </w:p>
        </w:tc>
        <w:tc>
          <w:tcPr>
            <w:tcW w:w="6614" w:type="dxa"/>
            <w:tcBorders>
              <w:tl2br w:val="nil"/>
              <w:tr2bl w:val="nil"/>
            </w:tcBorders>
          </w:tcPr>
          <w:p w14:paraId="3912BE0B">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ascii="Times New Roman" w:hAnsi="Times New Roman" w:eastAsia="华文楷体"/>
                <w:bCs/>
                <w:iCs/>
                <w:color w:val="000000"/>
                <w:sz w:val="24"/>
              </w:rPr>
            </w:pPr>
            <w:r>
              <w:rPr>
                <w:rFonts w:hint="eastAsia" w:ascii="Times New Roman" w:hAnsi="Times New Roman" w:eastAsia="华文楷体"/>
                <w:bCs/>
                <w:iCs/>
                <w:color w:val="000000"/>
                <w:sz w:val="24"/>
                <w:lang w:eastAsia="zh-CN"/>
              </w:rPr>
              <w:t>□</w:t>
            </w:r>
            <w:r>
              <w:rPr>
                <w:rFonts w:ascii="Times New Roman" w:hAnsi="Times New Roman" w:eastAsia="华文楷体"/>
                <w:sz w:val="24"/>
              </w:rPr>
              <w:t xml:space="preserve">特定对象调研        </w:t>
            </w:r>
            <w:r>
              <w:rPr>
                <w:rFonts w:hint="eastAsia" w:ascii="Times New Roman" w:hAnsi="Times New Roman" w:eastAsia="华文楷体"/>
                <w:bCs/>
                <w:iCs/>
                <w:color w:val="000000"/>
                <w:sz w:val="24"/>
                <w:lang w:eastAsia="zh-CN"/>
              </w:rPr>
              <w:t>□</w:t>
            </w:r>
            <w:r>
              <w:rPr>
                <w:rFonts w:ascii="Times New Roman" w:hAnsi="Times New Roman" w:eastAsia="华文楷体"/>
                <w:sz w:val="24"/>
              </w:rPr>
              <w:t>分析师会议</w:t>
            </w:r>
          </w:p>
          <w:p w14:paraId="0989930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Times New Roman" w:hAnsi="Times New Roman" w:eastAsia="华文楷体"/>
                <w:bCs/>
                <w:iCs/>
                <w:color w:val="000000"/>
                <w:sz w:val="24"/>
              </w:rPr>
            </w:pPr>
            <w:r>
              <w:rPr>
                <w:rFonts w:hint="eastAsia" w:ascii="Times New Roman" w:hAnsi="Times New Roman" w:eastAsia="华文楷体"/>
                <w:bCs/>
                <w:iCs/>
                <w:color w:val="000000"/>
                <w:sz w:val="24"/>
                <w:lang w:eastAsia="zh-CN"/>
              </w:rPr>
              <w:t>□</w:t>
            </w:r>
            <w:r>
              <w:rPr>
                <w:rFonts w:ascii="Times New Roman" w:hAnsi="Times New Roman" w:eastAsia="华文楷体"/>
                <w:sz w:val="24"/>
              </w:rPr>
              <w:t xml:space="preserve">媒体采访            </w:t>
            </w:r>
            <w:r>
              <w:rPr>
                <w:rFonts w:hint="eastAsia" w:ascii="Times New Roman" w:hAnsi="Times New Roman" w:eastAsia="华文楷体"/>
                <w:bCs/>
                <w:iCs/>
                <w:color w:val="000000"/>
                <w:sz w:val="24"/>
                <w:lang w:eastAsia="zh-CN"/>
              </w:rPr>
              <w:t>☑</w:t>
            </w:r>
            <w:r>
              <w:rPr>
                <w:rFonts w:ascii="Times New Roman" w:hAnsi="Times New Roman" w:eastAsia="华文楷体"/>
                <w:sz w:val="24"/>
              </w:rPr>
              <w:t>业绩说明会</w:t>
            </w:r>
          </w:p>
          <w:p w14:paraId="288C194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Times New Roman" w:hAnsi="Times New Roman" w:eastAsia="华文楷体"/>
                <w:bCs/>
                <w:iCs/>
                <w:color w:val="000000"/>
                <w:sz w:val="24"/>
              </w:rPr>
            </w:pPr>
            <w:r>
              <w:rPr>
                <w:rFonts w:hint="eastAsia" w:ascii="Times New Roman" w:hAnsi="Times New Roman" w:eastAsia="华文楷体"/>
                <w:bCs/>
                <w:iCs/>
                <w:color w:val="000000"/>
                <w:sz w:val="24"/>
                <w:lang w:eastAsia="zh-CN"/>
              </w:rPr>
              <w:t>□</w:t>
            </w:r>
            <w:r>
              <w:rPr>
                <w:rFonts w:ascii="Times New Roman" w:hAnsi="Times New Roman" w:eastAsia="华文楷体"/>
                <w:sz w:val="24"/>
              </w:rPr>
              <w:t xml:space="preserve">新闻发布会          </w:t>
            </w:r>
            <w:r>
              <w:rPr>
                <w:rFonts w:hint="eastAsia" w:ascii="Times New Roman" w:hAnsi="Times New Roman" w:eastAsia="华文楷体"/>
                <w:bCs/>
                <w:iCs/>
                <w:color w:val="000000"/>
                <w:sz w:val="24"/>
                <w:lang w:eastAsia="zh-CN"/>
              </w:rPr>
              <w:t>□</w:t>
            </w:r>
            <w:r>
              <w:rPr>
                <w:rFonts w:ascii="Times New Roman" w:hAnsi="Times New Roman" w:eastAsia="华文楷体"/>
                <w:sz w:val="24"/>
              </w:rPr>
              <w:t>路演活动</w:t>
            </w:r>
          </w:p>
          <w:p w14:paraId="32A1B361">
            <w:pPr>
              <w:keepNext w:val="0"/>
              <w:keepLines w:val="0"/>
              <w:pageBreakBefore w:val="0"/>
              <w:widowControl w:val="0"/>
              <w:tabs>
                <w:tab w:val="left" w:pos="3045"/>
                <w:tab w:val="center" w:pos="3199"/>
              </w:tabs>
              <w:kinsoku/>
              <w:wordWrap/>
              <w:overflowPunct/>
              <w:topLinePunct w:val="0"/>
              <w:autoSpaceDE/>
              <w:autoSpaceDN/>
              <w:bidi w:val="0"/>
              <w:adjustRightInd w:val="0"/>
              <w:snapToGrid w:val="0"/>
              <w:spacing w:line="360" w:lineRule="auto"/>
              <w:textAlignment w:val="auto"/>
              <w:rPr>
                <w:rFonts w:ascii="Times New Roman" w:hAnsi="Times New Roman" w:eastAsia="华文楷体"/>
                <w:bCs/>
                <w:iCs/>
                <w:color w:val="000000"/>
                <w:sz w:val="24"/>
              </w:rPr>
            </w:pPr>
            <w:r>
              <w:rPr>
                <w:rFonts w:hint="eastAsia" w:ascii="Times New Roman" w:hAnsi="Times New Roman" w:eastAsia="华文楷体"/>
                <w:bCs/>
                <w:iCs/>
                <w:color w:val="000000"/>
                <w:sz w:val="24"/>
                <w:lang w:eastAsia="zh-CN"/>
              </w:rPr>
              <w:t>□</w:t>
            </w:r>
            <w:r>
              <w:rPr>
                <w:rFonts w:ascii="Times New Roman" w:hAnsi="Times New Roman" w:eastAsia="华文楷体"/>
                <w:sz w:val="24"/>
              </w:rPr>
              <w:t>现场参观</w:t>
            </w:r>
            <w:r>
              <w:rPr>
                <w:rFonts w:ascii="Times New Roman" w:hAnsi="Times New Roman" w:eastAsia="华文楷体"/>
                <w:bCs/>
                <w:iCs/>
                <w:color w:val="000000"/>
                <w:sz w:val="24"/>
              </w:rPr>
              <w:tab/>
            </w:r>
          </w:p>
          <w:p w14:paraId="55E13782">
            <w:pPr>
              <w:keepNext w:val="0"/>
              <w:keepLines w:val="0"/>
              <w:pageBreakBefore w:val="0"/>
              <w:widowControl w:val="0"/>
              <w:tabs>
                <w:tab w:val="center" w:pos="3199"/>
              </w:tabs>
              <w:kinsoku/>
              <w:wordWrap/>
              <w:overflowPunct/>
              <w:topLinePunct w:val="0"/>
              <w:autoSpaceDE/>
              <w:autoSpaceDN/>
              <w:bidi w:val="0"/>
              <w:adjustRightInd w:val="0"/>
              <w:snapToGrid w:val="0"/>
              <w:spacing w:line="360" w:lineRule="auto"/>
              <w:textAlignment w:val="auto"/>
              <w:rPr>
                <w:rFonts w:ascii="Times New Roman" w:hAnsi="Times New Roman" w:eastAsia="华文楷体"/>
                <w:bCs/>
                <w:iCs/>
                <w:color w:val="000000"/>
                <w:sz w:val="24"/>
              </w:rPr>
            </w:pPr>
            <w:r>
              <w:rPr>
                <w:rFonts w:hint="eastAsia" w:ascii="Times New Roman" w:hAnsi="Times New Roman" w:eastAsia="华文楷体"/>
                <w:bCs/>
                <w:iCs/>
                <w:color w:val="000000"/>
                <w:sz w:val="24"/>
                <w:lang w:eastAsia="zh-CN"/>
              </w:rPr>
              <w:t>□</w:t>
            </w:r>
            <w:r>
              <w:rPr>
                <w:rFonts w:ascii="Times New Roman" w:hAnsi="Times New Roman" w:eastAsia="华文楷体"/>
                <w:sz w:val="24"/>
              </w:rPr>
              <w:t>其他 （</w:t>
            </w:r>
            <w:r>
              <w:rPr>
                <w:rFonts w:ascii="Times New Roman" w:hAnsi="Times New Roman" w:eastAsia="华文楷体"/>
                <w:sz w:val="24"/>
                <w:u w:val="single"/>
              </w:rPr>
              <w:t>请文字说明其他活动内容）</w:t>
            </w:r>
          </w:p>
        </w:tc>
      </w:tr>
      <w:tr w14:paraId="122079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l2br w:val="nil"/>
              <w:tr2bl w:val="nil"/>
            </w:tcBorders>
            <w:vAlign w:val="center"/>
          </w:tcPr>
          <w:p w14:paraId="1FE79972">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both"/>
              <w:textAlignment w:val="auto"/>
              <w:rPr>
                <w:rFonts w:ascii="Times New Roman" w:hAnsi="Times New Roman" w:eastAsia="华文楷体"/>
                <w:bCs/>
                <w:iCs/>
                <w:color w:val="000000"/>
                <w:sz w:val="24"/>
              </w:rPr>
            </w:pPr>
            <w:r>
              <w:rPr>
                <w:rFonts w:hint="eastAsia" w:ascii="Times New Roman" w:hAnsi="Times New Roman" w:eastAsia="华文楷体"/>
                <w:bCs/>
                <w:iCs/>
                <w:color w:val="000000"/>
                <w:sz w:val="24"/>
              </w:rPr>
              <w:t>活动主题</w:t>
            </w:r>
          </w:p>
        </w:tc>
        <w:tc>
          <w:tcPr>
            <w:tcW w:w="6614" w:type="dxa"/>
            <w:tcBorders>
              <w:tl2br w:val="nil"/>
              <w:tr2bl w:val="nil"/>
            </w:tcBorders>
          </w:tcPr>
          <w:p w14:paraId="06219F4B">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Times New Roman" w:hAnsi="Times New Roman" w:eastAsia="华文楷体"/>
                <w:bCs/>
                <w:iCs/>
                <w:color w:val="000000"/>
                <w:sz w:val="24"/>
                <w:lang w:val="en-US" w:eastAsia="zh-CN"/>
              </w:rPr>
            </w:pPr>
            <w:r>
              <w:rPr>
                <w:rFonts w:hint="eastAsia" w:ascii="Times New Roman" w:hAnsi="Times New Roman" w:eastAsia="华文楷体"/>
                <w:bCs/>
                <w:iCs/>
                <w:color w:val="000000"/>
                <w:sz w:val="24"/>
                <w:highlight w:val="none"/>
              </w:rPr>
              <w:t>德力佳2026年半年度业绩说明会</w:t>
            </w:r>
          </w:p>
        </w:tc>
      </w:tr>
      <w:tr w14:paraId="7432EA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l2br w:val="nil"/>
              <w:tr2bl w:val="nil"/>
            </w:tcBorders>
            <w:vAlign w:val="center"/>
          </w:tcPr>
          <w:p w14:paraId="306847E2">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both"/>
              <w:textAlignment w:val="auto"/>
              <w:rPr>
                <w:rFonts w:ascii="Times New Roman" w:hAnsi="Times New Roman" w:eastAsia="华文楷体"/>
                <w:bCs/>
                <w:iCs/>
                <w:color w:val="000000"/>
                <w:sz w:val="24"/>
              </w:rPr>
            </w:pPr>
            <w:r>
              <w:rPr>
                <w:rFonts w:ascii="Times New Roman" w:hAnsi="Times New Roman" w:eastAsia="华文楷体"/>
                <w:bCs/>
                <w:iCs/>
                <w:color w:val="000000"/>
                <w:sz w:val="24"/>
              </w:rPr>
              <w:t>时间</w:t>
            </w:r>
          </w:p>
        </w:tc>
        <w:tc>
          <w:tcPr>
            <w:tcW w:w="6614" w:type="dxa"/>
            <w:tcBorders>
              <w:tl2br w:val="nil"/>
              <w:tr2bl w:val="nil"/>
            </w:tcBorders>
          </w:tcPr>
          <w:p w14:paraId="02CFF1CB">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default" w:ascii="Times New Roman" w:hAnsi="Times New Roman" w:eastAsia="华文楷体"/>
                <w:bCs/>
                <w:iCs/>
                <w:color w:val="000000"/>
                <w:sz w:val="24"/>
                <w:lang w:val="en-US" w:eastAsia="zh-CN"/>
              </w:rPr>
            </w:pPr>
            <w:r>
              <w:rPr>
                <w:rFonts w:hint="eastAsia" w:ascii="Times New Roman" w:hAnsi="Times New Roman" w:eastAsia="华文楷体"/>
                <w:bCs/>
                <w:iCs/>
                <w:color w:val="000000"/>
                <w:sz w:val="24"/>
                <w:lang w:val="en-US" w:eastAsia="zh-CN"/>
              </w:rPr>
              <w:t>2026年</w:t>
            </w:r>
            <w:r>
              <w:rPr>
                <w:rFonts w:hint="default" w:ascii="Times New Roman" w:hAnsi="Times New Roman" w:eastAsia="华文楷体"/>
                <w:bCs/>
                <w:iCs/>
                <w:color w:val="000000"/>
                <w:sz w:val="24"/>
                <w:lang w:val="en-US" w:eastAsia="zh-CN"/>
              </w:rPr>
              <w:t>9</w:t>
            </w:r>
            <w:r>
              <w:rPr>
                <w:rFonts w:hint="eastAsia" w:ascii="Times New Roman" w:hAnsi="Times New Roman" w:eastAsia="华文楷体"/>
                <w:bCs/>
                <w:iCs/>
                <w:color w:val="000000"/>
                <w:sz w:val="24"/>
                <w:lang w:val="en-US" w:eastAsia="zh-CN"/>
              </w:rPr>
              <w:t>月2日</w:t>
            </w:r>
            <w:r>
              <w:rPr>
                <w:rFonts w:hint="default" w:ascii="Times New Roman" w:hAnsi="Times New Roman" w:eastAsia="宋体" w:cs="Times New Roman"/>
                <w:bCs/>
                <w:iCs/>
                <w:color w:val="000000"/>
                <w:sz w:val="24"/>
                <w:highlight w:val="none"/>
              </w:rPr>
              <w:t>1</w:t>
            </w:r>
            <w:r>
              <w:rPr>
                <w:rFonts w:hint="default" w:ascii="Times New Roman" w:hAnsi="Times New Roman" w:cs="Times New Roman"/>
                <w:bCs/>
                <w:iCs/>
                <w:color w:val="000000"/>
                <w:sz w:val="24"/>
                <w:highlight w:val="none"/>
                <w:lang w:val="en-US"/>
              </w:rPr>
              <w:t>5</w:t>
            </w:r>
            <w:r>
              <w:rPr>
                <w:rFonts w:hint="default" w:ascii="Times New Roman" w:hAnsi="Times New Roman" w:eastAsia="宋体" w:cs="Times New Roman"/>
                <w:bCs/>
                <w:iCs/>
                <w:color w:val="000000"/>
                <w:sz w:val="24"/>
                <w:highlight w:val="none"/>
              </w:rPr>
              <w:t>:</w:t>
            </w:r>
            <w:r>
              <w:rPr>
                <w:rFonts w:hint="default" w:ascii="Times New Roman" w:hAnsi="Times New Roman" w:cs="Times New Roman"/>
                <w:bCs/>
                <w:iCs/>
                <w:color w:val="000000"/>
                <w:sz w:val="24"/>
                <w:highlight w:val="none"/>
                <w:lang w:val="en-US"/>
              </w:rPr>
              <w:t>0</w:t>
            </w:r>
            <w:r>
              <w:rPr>
                <w:rFonts w:hint="default" w:ascii="Times New Roman" w:hAnsi="Times New Roman" w:eastAsia="宋体" w:cs="Times New Roman"/>
                <w:bCs/>
                <w:iCs/>
                <w:color w:val="000000"/>
                <w:sz w:val="24"/>
                <w:highlight w:val="none"/>
              </w:rPr>
              <w:t>0-1</w:t>
            </w:r>
            <w:r>
              <w:rPr>
                <w:rFonts w:hint="default" w:ascii="Times New Roman" w:hAnsi="Times New Roman" w:cs="Times New Roman"/>
                <w:bCs/>
                <w:iCs/>
                <w:color w:val="000000"/>
                <w:sz w:val="24"/>
                <w:highlight w:val="none"/>
                <w:lang w:val="en-US"/>
              </w:rPr>
              <w:t>6</w:t>
            </w:r>
            <w:r>
              <w:rPr>
                <w:rFonts w:hint="default" w:ascii="Times New Roman" w:hAnsi="Times New Roman" w:eastAsia="宋体" w:cs="Times New Roman"/>
                <w:bCs/>
                <w:iCs/>
                <w:color w:val="000000"/>
                <w:sz w:val="24"/>
                <w:highlight w:val="none"/>
              </w:rPr>
              <w:t>:</w:t>
            </w:r>
            <w:r>
              <w:rPr>
                <w:rFonts w:hint="default" w:ascii="Times New Roman" w:hAnsi="Times New Roman" w:cs="Times New Roman"/>
                <w:bCs/>
                <w:iCs/>
                <w:color w:val="000000"/>
                <w:sz w:val="24"/>
                <w:highlight w:val="none"/>
                <w:lang w:val="en-US"/>
              </w:rPr>
              <w:t>0</w:t>
            </w:r>
            <w:r>
              <w:rPr>
                <w:rFonts w:hint="default" w:ascii="Times New Roman" w:hAnsi="Times New Roman" w:eastAsia="宋体" w:cs="Times New Roman"/>
                <w:bCs/>
                <w:iCs/>
                <w:color w:val="000000"/>
                <w:sz w:val="24"/>
                <w:highlight w:val="none"/>
              </w:rPr>
              <w:t>0</w:t>
            </w:r>
          </w:p>
        </w:tc>
      </w:tr>
      <w:tr w14:paraId="54D346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l2br w:val="nil"/>
              <w:tr2bl w:val="nil"/>
            </w:tcBorders>
            <w:vAlign w:val="center"/>
          </w:tcPr>
          <w:p w14:paraId="19B12EE7">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both"/>
              <w:textAlignment w:val="auto"/>
              <w:rPr>
                <w:rFonts w:ascii="Times New Roman" w:hAnsi="Times New Roman" w:eastAsia="华文楷体"/>
                <w:bCs/>
                <w:iCs/>
                <w:color w:val="000000"/>
                <w:sz w:val="24"/>
              </w:rPr>
            </w:pPr>
            <w:r>
              <w:rPr>
                <w:rFonts w:ascii="Times New Roman" w:hAnsi="Times New Roman" w:eastAsia="华文楷体"/>
                <w:bCs/>
                <w:iCs/>
                <w:color w:val="000000"/>
                <w:sz w:val="24"/>
              </w:rPr>
              <w:t>地点</w:t>
            </w:r>
            <w:r>
              <w:rPr>
                <w:rFonts w:hint="default" w:ascii="Times New Roman" w:hAnsi="Times New Roman" w:eastAsia="华文楷体" w:cs="Times New Roman"/>
                <w:bCs/>
                <w:iCs/>
                <w:color w:val="000000"/>
                <w:sz w:val="24"/>
                <w:szCs w:val="24"/>
              </w:rPr>
              <w:t>/方式</w:t>
            </w:r>
          </w:p>
        </w:tc>
        <w:tc>
          <w:tcPr>
            <w:tcW w:w="6614" w:type="dxa"/>
            <w:tcBorders>
              <w:tl2br w:val="nil"/>
              <w:tr2bl w:val="nil"/>
            </w:tcBorders>
          </w:tcPr>
          <w:p w14:paraId="35873324">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Times New Roman" w:hAnsi="Times New Roman" w:eastAsia="华文楷体"/>
                <w:bCs/>
                <w:iCs/>
                <w:color w:val="000000"/>
                <w:sz w:val="24"/>
              </w:rPr>
            </w:pPr>
            <w:r>
              <w:rPr>
                <w:rFonts w:hint="eastAsia" w:ascii="Times New Roman" w:hAnsi="Times New Roman" w:eastAsia="华文楷体"/>
                <w:bCs/>
                <w:iCs/>
                <w:color w:val="000000"/>
                <w:sz w:val="24"/>
              </w:rPr>
              <w:t>上证路演中心 https://roadshow.sseinfo.com</w:t>
            </w:r>
          </w:p>
          <w:p w14:paraId="6D82A251">
            <w:pPr>
              <w:keepNext w:val="0"/>
              <w:keepLines w:val="0"/>
              <w:pageBreakBefore w:val="0"/>
              <w:widowControl w:val="0"/>
              <w:kinsoku/>
              <w:wordWrap/>
              <w:overflowPunct/>
              <w:topLinePunct w:val="0"/>
              <w:autoSpaceDE/>
              <w:autoSpaceDN/>
              <w:bidi w:val="0"/>
              <w:adjustRightInd w:val="0"/>
              <w:snapToGrid w:val="0"/>
              <w:spacing w:before="0" w:beforeLines="0" w:line="360" w:lineRule="auto"/>
              <w:textAlignment w:val="auto"/>
              <w:rPr>
                <w:rFonts w:hint="default" w:ascii="Times New Roman" w:hAnsi="Times New Roman" w:eastAsia="华文楷体"/>
                <w:bCs/>
                <w:iCs/>
                <w:color w:val="000000"/>
                <w:sz w:val="24"/>
                <w:lang w:val="en-US" w:eastAsia="zh-CN"/>
              </w:rPr>
            </w:pPr>
            <w:r>
              <w:rPr>
                <w:rFonts w:hint="eastAsia" w:ascii="Times New Roman" w:hAnsi="Times New Roman" w:eastAsia="华文楷体"/>
                <w:bCs/>
                <w:iCs/>
                <w:color w:val="000000"/>
                <w:sz w:val="24"/>
              </w:rPr>
              <w:t>视频录播+网络文字互动</w:t>
            </w:r>
          </w:p>
        </w:tc>
      </w:tr>
      <w:tr w14:paraId="2E9459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l2br w:val="nil"/>
              <w:tr2bl w:val="nil"/>
            </w:tcBorders>
            <w:vAlign w:val="center"/>
          </w:tcPr>
          <w:p w14:paraId="0ED96D83">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华文楷体"/>
                <w:bCs/>
                <w:iCs/>
                <w:color w:val="000000"/>
                <w:sz w:val="24"/>
              </w:rPr>
            </w:pPr>
            <w:r>
              <w:rPr>
                <w:rFonts w:hint="eastAsia" w:ascii="Times New Roman" w:hAnsi="Times New Roman" w:eastAsia="华文楷体"/>
                <w:bCs/>
                <w:iCs/>
                <w:color w:val="000000"/>
                <w:sz w:val="24"/>
              </w:rPr>
              <w:t>参会人员</w:t>
            </w:r>
          </w:p>
        </w:tc>
        <w:tc>
          <w:tcPr>
            <w:tcW w:w="6614" w:type="dxa"/>
            <w:tcBorders>
              <w:tl2br w:val="nil"/>
              <w:tr2bl w:val="nil"/>
            </w:tcBorders>
          </w:tcPr>
          <w:p w14:paraId="50C0792A">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Times New Roman" w:hAnsi="Times New Roman" w:eastAsia="华文楷体"/>
                <w:bCs/>
                <w:iCs/>
                <w:color w:val="000000"/>
                <w:sz w:val="24"/>
                <w:lang w:val="en-US" w:eastAsia="zh-CN"/>
              </w:rPr>
            </w:pPr>
            <w:r>
              <w:rPr>
                <w:rFonts w:hint="eastAsia" w:ascii="Times New Roman" w:hAnsi="Times New Roman" w:eastAsia="华文楷体"/>
                <w:bCs/>
                <w:iCs/>
                <w:color w:val="000000"/>
                <w:sz w:val="24"/>
                <w:lang w:val="en-US" w:eastAsia="zh-CN"/>
              </w:rPr>
              <w:t>董事长、总经理：刘建国</w:t>
            </w:r>
          </w:p>
          <w:p w14:paraId="044FED5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eastAsia="华文楷体"/>
                <w:bCs/>
                <w:iCs/>
                <w:color w:val="000000"/>
                <w:sz w:val="24"/>
                <w:lang w:val="en-US" w:eastAsia="zh-CN"/>
              </w:rPr>
            </w:pPr>
            <w:r>
              <w:rPr>
                <w:rFonts w:hint="eastAsia" w:ascii="Times New Roman" w:hAnsi="Times New Roman" w:eastAsia="华文楷体"/>
                <w:bCs/>
                <w:iCs/>
                <w:color w:val="000000"/>
                <w:sz w:val="24"/>
                <w:lang w:val="en-US" w:eastAsia="zh-CN"/>
              </w:rPr>
              <w:t>董事、财务总监：李常平</w:t>
            </w:r>
          </w:p>
          <w:p w14:paraId="4C79480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eastAsia="华文楷体"/>
                <w:bCs/>
                <w:iCs/>
                <w:color w:val="000000"/>
                <w:sz w:val="24"/>
              </w:rPr>
            </w:pPr>
            <w:r>
              <w:rPr>
                <w:rFonts w:hint="eastAsia" w:ascii="Times New Roman" w:hAnsi="Times New Roman" w:eastAsia="华文楷体"/>
                <w:bCs/>
                <w:iCs/>
                <w:color w:val="000000"/>
                <w:sz w:val="24"/>
              </w:rPr>
              <w:t>独立董事：谭光荣</w:t>
            </w:r>
          </w:p>
          <w:p w14:paraId="3B2F415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华文楷体"/>
                <w:bCs/>
                <w:iCs/>
                <w:color w:val="000000"/>
                <w:sz w:val="24"/>
                <w:lang w:val="en-US" w:eastAsia="zh-CN"/>
              </w:rPr>
            </w:pPr>
            <w:r>
              <w:rPr>
                <w:rFonts w:hint="eastAsia" w:ascii="Times New Roman" w:hAnsi="Times New Roman" w:eastAsia="华文楷体"/>
                <w:bCs/>
                <w:iCs/>
                <w:color w:val="000000"/>
                <w:sz w:val="24"/>
                <w:lang w:val="en-US" w:eastAsia="zh-CN"/>
              </w:rPr>
              <w:t>董事会秘书：陈佳海</w:t>
            </w:r>
          </w:p>
        </w:tc>
      </w:tr>
      <w:tr w14:paraId="4E8FC0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8" w:type="dxa"/>
            <w:tcBorders>
              <w:tl2br w:val="nil"/>
              <w:tr2bl w:val="nil"/>
            </w:tcBorders>
            <w:vAlign w:val="center"/>
          </w:tcPr>
          <w:p w14:paraId="198C4A4F">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华文楷体"/>
                <w:bCs/>
                <w:iCs/>
                <w:color w:val="000000"/>
                <w:sz w:val="24"/>
              </w:rPr>
            </w:pPr>
            <w:r>
              <w:rPr>
                <w:rFonts w:ascii="Times New Roman" w:hAnsi="Times New Roman" w:eastAsia="华文楷体"/>
                <w:bCs/>
                <w:iCs/>
                <w:color w:val="000000"/>
                <w:sz w:val="24"/>
              </w:rPr>
              <w:t>投资者关系活动主要内容介绍</w:t>
            </w:r>
          </w:p>
          <w:p w14:paraId="19A1B47E">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eastAsia="华文楷体"/>
                <w:bCs/>
                <w:iCs/>
                <w:color w:val="000000"/>
                <w:sz w:val="24"/>
              </w:rPr>
            </w:pPr>
          </w:p>
        </w:tc>
        <w:tc>
          <w:tcPr>
            <w:tcW w:w="6614" w:type="dxa"/>
            <w:tcBorders>
              <w:tl2br w:val="nil"/>
              <w:tr2bl w:val="nil"/>
            </w:tcBorders>
          </w:tcPr>
          <w:p w14:paraId="6A8300A7">
            <w:pPr>
              <w:keepNext w:val="0"/>
              <w:keepLines w:val="0"/>
              <w:pageBreakBefore w:val="0"/>
              <w:widowControl w:val="0"/>
              <w:numPr>
                <w:ilvl w:val="-1"/>
                <w:numId w:val="0"/>
              </w:numPr>
              <w:kinsoku/>
              <w:wordWrap/>
              <w:overflowPunct/>
              <w:topLinePunct w:val="0"/>
              <w:autoSpaceDE/>
              <w:autoSpaceDN/>
              <w:bidi w:val="0"/>
              <w:adjustRightInd w:val="0"/>
              <w:snapToGrid w:val="0"/>
              <w:spacing w:before="157" w:beforeLines="50" w:after="0" w:afterLines="0" w:line="360" w:lineRule="auto"/>
              <w:textAlignment w:val="auto"/>
              <w:rPr>
                <w:rFonts w:hint="default" w:ascii="Times New Roman" w:hAnsi="Times New Roman" w:eastAsia="宋体" w:cs="Times New Roman"/>
                <w:b w:val="0"/>
                <w:bCs/>
                <w:iCs/>
                <w:color w:val="000000"/>
                <w:sz w:val="24"/>
                <w:lang w:val="en-US" w:eastAsia="zh-CN"/>
              </w:rPr>
            </w:pPr>
            <w:bookmarkStart w:id="0" w:name="OLE_LINK1"/>
            <w:bookmarkStart w:id="1" w:name="OLE_LINK6"/>
            <w:r>
              <w:rPr>
                <w:rFonts w:hint="default" w:ascii="Times New Roman" w:hAnsi="Times New Roman" w:eastAsia="宋体" w:cs="Times New Roman"/>
                <w:b w:val="0"/>
                <w:bCs/>
                <w:iCs/>
                <w:color w:val="000000"/>
                <w:sz w:val="24"/>
                <w:lang w:val="en-US" w:eastAsia="zh-CN"/>
              </w:rPr>
              <w:t>一、</w:t>
            </w:r>
            <w:r>
              <w:rPr>
                <w:rFonts w:hint="default" w:ascii="Times New Roman" w:hAnsi="Times New Roman" w:eastAsia="宋体" w:cs="Times New Roman"/>
                <w:bCs/>
                <w:iCs/>
                <w:color w:val="000000"/>
                <w:sz w:val="24"/>
              </w:rPr>
              <w:t>公司202</w:t>
            </w:r>
            <w:r>
              <w:rPr>
                <w:rFonts w:hint="default" w:ascii="Times New Roman" w:hAnsi="Times New Roman" w:eastAsia="宋体" w:cs="Times New Roman"/>
                <w:bCs/>
                <w:iCs/>
                <w:color w:val="000000"/>
                <w:sz w:val="24"/>
                <w:lang w:val="en-US" w:eastAsia="zh-CN"/>
              </w:rPr>
              <w:t>6</w:t>
            </w:r>
            <w:r>
              <w:rPr>
                <w:rFonts w:hint="default" w:ascii="Times New Roman" w:hAnsi="Times New Roman" w:eastAsia="宋体" w:cs="Times New Roman"/>
                <w:bCs/>
                <w:iCs/>
                <w:color w:val="000000"/>
                <w:sz w:val="24"/>
              </w:rPr>
              <w:t>年</w:t>
            </w:r>
            <w:r>
              <w:rPr>
                <w:rFonts w:hint="default" w:ascii="Times New Roman" w:hAnsi="Times New Roman" w:eastAsia="宋体" w:cs="Times New Roman"/>
                <w:bCs/>
                <w:iCs/>
                <w:color w:val="000000"/>
                <w:sz w:val="24"/>
                <w:lang w:val="en-US" w:eastAsia="zh-CN"/>
              </w:rPr>
              <w:t>半年</w:t>
            </w:r>
            <w:r>
              <w:rPr>
                <w:rFonts w:hint="default" w:ascii="Times New Roman" w:hAnsi="Times New Roman" w:eastAsia="宋体" w:cs="Times New Roman"/>
                <w:bCs/>
                <w:iCs/>
                <w:color w:val="000000"/>
                <w:sz w:val="24"/>
              </w:rPr>
              <w:t>度经营情况简要</w:t>
            </w:r>
            <w:r>
              <w:rPr>
                <w:rFonts w:hint="default" w:ascii="Times New Roman" w:hAnsi="Times New Roman" w:eastAsia="宋体" w:cs="Times New Roman"/>
                <w:bCs/>
                <w:iCs/>
                <w:color w:val="000000"/>
                <w:sz w:val="24"/>
                <w:lang w:val="en-US" w:eastAsia="zh-CN"/>
              </w:rPr>
              <w:t>介绍。从</w:t>
            </w:r>
            <w:r>
              <w:rPr>
                <w:rFonts w:hint="default" w:ascii="Times New Roman" w:hAnsi="Times New Roman" w:eastAsia="宋体" w:cs="Times New Roman"/>
                <w:bCs/>
                <w:iCs/>
                <w:color w:val="000000"/>
                <w:sz w:val="24"/>
              </w:rPr>
              <w:t>公司</w:t>
            </w:r>
            <w:r>
              <w:rPr>
                <w:rFonts w:hint="default" w:ascii="Times New Roman" w:hAnsi="Times New Roman" w:eastAsia="宋体" w:cs="Times New Roman"/>
                <w:bCs/>
                <w:iCs/>
                <w:color w:val="000000"/>
                <w:sz w:val="24"/>
                <w:lang w:val="en-US" w:eastAsia="zh-CN"/>
              </w:rPr>
              <w:t>简介</w:t>
            </w:r>
            <w:r>
              <w:rPr>
                <w:rFonts w:hint="default" w:ascii="Times New Roman" w:hAnsi="Times New Roman" w:eastAsia="宋体" w:cs="Times New Roman"/>
                <w:bCs/>
                <w:iCs/>
                <w:color w:val="000000"/>
                <w:sz w:val="24"/>
              </w:rPr>
              <w:t>、行业发展趋势、核心</w:t>
            </w:r>
            <w:r>
              <w:rPr>
                <w:rFonts w:hint="default" w:ascii="Times New Roman" w:hAnsi="Times New Roman" w:eastAsia="宋体" w:cs="Times New Roman"/>
                <w:bCs/>
                <w:iCs/>
                <w:color w:val="000000"/>
                <w:sz w:val="24"/>
                <w:lang w:val="en-US" w:eastAsia="zh-CN"/>
              </w:rPr>
              <w:t>价值</w:t>
            </w:r>
            <w:r>
              <w:rPr>
                <w:rFonts w:hint="default" w:ascii="Times New Roman" w:hAnsi="Times New Roman" w:eastAsia="宋体" w:cs="Times New Roman"/>
                <w:bCs/>
                <w:iCs/>
                <w:color w:val="000000"/>
                <w:sz w:val="24"/>
              </w:rPr>
              <w:t>、未来规划</w:t>
            </w:r>
            <w:r>
              <w:rPr>
                <w:rFonts w:hint="default" w:ascii="Times New Roman" w:hAnsi="Times New Roman" w:eastAsia="宋体" w:cs="Times New Roman"/>
                <w:bCs/>
                <w:iCs/>
                <w:color w:val="000000"/>
                <w:sz w:val="24"/>
                <w:lang w:val="en-US" w:eastAsia="zh-CN"/>
              </w:rPr>
              <w:t>及</w:t>
            </w:r>
            <w:r>
              <w:rPr>
                <w:rFonts w:hint="default" w:ascii="Times New Roman" w:hAnsi="Times New Roman" w:eastAsia="宋体" w:cs="Times New Roman"/>
                <w:bCs/>
                <w:iCs/>
                <w:color w:val="000000"/>
                <w:sz w:val="24"/>
              </w:rPr>
              <w:t>愿景四大维度，通过PPT进行了讲解与展示。</w:t>
            </w:r>
          </w:p>
          <w:p w14:paraId="64E6FD04">
            <w:pPr>
              <w:keepNext w:val="0"/>
              <w:keepLines w:val="0"/>
              <w:pageBreakBefore w:val="0"/>
              <w:widowControl w:val="0"/>
              <w:numPr>
                <w:ilvl w:val="-1"/>
                <w:numId w:val="0"/>
              </w:numPr>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
                <w:iCs/>
                <w:color w:val="000000"/>
                <w:sz w:val="24"/>
              </w:rPr>
            </w:pPr>
            <w:r>
              <w:rPr>
                <w:rFonts w:hint="default" w:ascii="Times New Roman" w:hAnsi="Times New Roman" w:eastAsia="宋体" w:cs="Times New Roman"/>
                <w:b w:val="0"/>
                <w:bCs/>
                <w:iCs/>
                <w:color w:val="000000"/>
                <w:sz w:val="24"/>
                <w:lang w:val="en-US" w:eastAsia="zh-CN"/>
              </w:rPr>
              <w:t>二、</w:t>
            </w:r>
            <w:r>
              <w:rPr>
                <w:rFonts w:hint="default" w:ascii="Times New Roman" w:hAnsi="Times New Roman" w:eastAsia="宋体" w:cs="Times New Roman"/>
                <w:bCs/>
                <w:iCs/>
                <w:color w:val="000000"/>
                <w:sz w:val="24"/>
              </w:rPr>
              <w:t>回答投资者提问</w:t>
            </w:r>
          </w:p>
          <w:p w14:paraId="4E7F3E05">
            <w:pPr>
              <w:keepNext w:val="0"/>
              <w:keepLines w:val="0"/>
              <w:pageBreakBefore w:val="0"/>
              <w:widowControl w:val="0"/>
              <w:numPr>
                <w:ilvl w:val="-1"/>
                <w:numId w:val="0"/>
              </w:numPr>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
                <w:iCs/>
                <w:color w:val="000000"/>
                <w:sz w:val="24"/>
              </w:rPr>
            </w:pPr>
            <w:r>
              <w:rPr>
                <w:rFonts w:hint="default" w:ascii="Times New Roman" w:hAnsi="Times New Roman" w:eastAsia="宋体" w:cs="Times New Roman"/>
                <w:b/>
                <w:iCs/>
                <w:color w:val="000000"/>
                <w:sz w:val="24"/>
              </w:rPr>
              <w:t>1、海风比例目前如何？海风的装机目前来看是否更快的增长？</w:t>
            </w:r>
          </w:p>
          <w:p w14:paraId="2B4BB693">
            <w:pPr>
              <w:keepNext w:val="0"/>
              <w:keepLines w:val="0"/>
              <w:pageBreakBefore w:val="0"/>
              <w:widowControl w:val="0"/>
              <w:numPr>
                <w:ilvl w:val="-1"/>
                <w:numId w:val="0"/>
              </w:numPr>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
                <w:iCs/>
                <w:color w:val="000000"/>
                <w:sz w:val="24"/>
              </w:rPr>
            </w:pPr>
            <w:r>
              <w:rPr>
                <w:rFonts w:hint="default" w:ascii="Times New Roman" w:hAnsi="Times New Roman" w:eastAsia="宋体" w:cs="Times New Roman"/>
                <w:b w:val="0"/>
                <w:bCs/>
                <w:iCs/>
                <w:color w:val="000000"/>
                <w:sz w:val="24"/>
              </w:rPr>
              <w:t>答：</w:t>
            </w:r>
            <w:r>
              <w:rPr>
                <w:rFonts w:hint="default" w:ascii="Times New Roman" w:hAnsi="Times New Roman" w:eastAsia="宋体" w:cs="Times New Roman"/>
                <w:bCs/>
                <w:iCs/>
                <w:color w:val="000000"/>
                <w:sz w:val="24"/>
              </w:rPr>
              <w:t>尊敬的投资者，您好！目前公司海上风电业务收入占比保持在合理区间。根据国家发改委、国家能源局印发的《可再生能源发展</w:t>
            </w:r>
            <w:r>
              <w:rPr>
                <w:rFonts w:hint="eastAsia" w:ascii="宋体" w:hAnsi="宋体" w:eastAsia="宋体" w:cs="宋体"/>
                <w:bCs/>
                <w:iCs/>
                <w:color w:val="000000"/>
                <w:sz w:val="24"/>
              </w:rPr>
              <w:t>“十五五”</w:t>
            </w:r>
            <w:r>
              <w:rPr>
                <w:rFonts w:hint="default" w:ascii="Times New Roman" w:hAnsi="Times New Roman" w:eastAsia="宋体" w:cs="Times New Roman"/>
                <w:bCs/>
                <w:iCs/>
                <w:color w:val="000000"/>
                <w:sz w:val="24"/>
              </w:rPr>
              <w:t>规划》显示，</w:t>
            </w:r>
            <w:r>
              <w:rPr>
                <w:rFonts w:hint="eastAsia" w:ascii="宋体" w:hAnsi="宋体" w:eastAsia="宋体" w:cs="宋体"/>
                <w:bCs/>
                <w:iCs/>
                <w:color w:val="000000"/>
                <w:sz w:val="24"/>
              </w:rPr>
              <w:t>“十五五”</w:t>
            </w:r>
            <w:r>
              <w:rPr>
                <w:rFonts w:hint="default" w:ascii="Times New Roman" w:hAnsi="Times New Roman" w:eastAsia="宋体" w:cs="Times New Roman"/>
                <w:bCs/>
                <w:iCs/>
                <w:color w:val="000000"/>
                <w:sz w:val="24"/>
              </w:rPr>
              <w:t>期间全国海上风电新增开工规模1亿千瓦左右，2030年累计装机规模将达到1亿千瓦以上，行业具备较大发展空间。公司将密切跟踪海上风电行业发展机遇，持续优化产品技术与交付能力。感谢您对德力佳的关注！</w:t>
            </w:r>
          </w:p>
          <w:p w14:paraId="443103EA">
            <w:pPr>
              <w:keepNext w:val="0"/>
              <w:keepLines w:val="0"/>
              <w:pageBreakBefore w:val="0"/>
              <w:widowControl w:val="0"/>
              <w:numPr>
                <w:ilvl w:val="-1"/>
                <w:numId w:val="0"/>
              </w:numPr>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
                <w:iCs/>
                <w:color w:val="000000"/>
                <w:sz w:val="24"/>
              </w:rPr>
            </w:pPr>
            <w:r>
              <w:rPr>
                <w:rFonts w:hint="default" w:ascii="Times New Roman" w:hAnsi="Times New Roman" w:eastAsia="宋体" w:cs="Times New Roman"/>
                <w:b/>
                <w:iCs/>
                <w:color w:val="000000"/>
                <w:sz w:val="24"/>
              </w:rPr>
              <w:t>2、请问市场占有率的持续提升，是否有信息，另外远景展望能多表述一点吗，到2035-2040</w:t>
            </w:r>
          </w:p>
          <w:p w14:paraId="11F5288E">
            <w:pPr>
              <w:keepNext w:val="0"/>
              <w:keepLines w:val="0"/>
              <w:pageBreakBefore w:val="0"/>
              <w:widowControl w:val="0"/>
              <w:numPr>
                <w:ilvl w:val="-1"/>
                <w:numId w:val="0"/>
              </w:numPr>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
                <w:iCs/>
                <w:color w:val="000000"/>
                <w:sz w:val="24"/>
              </w:rPr>
            </w:pPr>
            <w:r>
              <w:rPr>
                <w:rFonts w:hint="default" w:ascii="Times New Roman" w:hAnsi="Times New Roman" w:eastAsia="宋体" w:cs="Times New Roman"/>
                <w:b w:val="0"/>
                <w:bCs/>
                <w:iCs/>
                <w:color w:val="000000"/>
                <w:sz w:val="24"/>
              </w:rPr>
              <w:t>答：</w:t>
            </w:r>
            <w:r>
              <w:rPr>
                <w:rFonts w:hint="default" w:ascii="Times New Roman" w:hAnsi="Times New Roman" w:eastAsia="宋体" w:cs="Times New Roman"/>
                <w:bCs/>
                <w:iCs/>
                <w:color w:val="000000"/>
                <w:sz w:val="24"/>
              </w:rPr>
              <w:t>尊敬的投资者，您好！根据</w:t>
            </w:r>
            <w:r>
              <w:rPr>
                <w:rFonts w:hint="eastAsia" w:ascii="宋体" w:hAnsi="宋体" w:eastAsia="宋体" w:cs="宋体"/>
                <w:bCs/>
                <w:iCs/>
                <w:color w:val="000000"/>
                <w:sz w:val="24"/>
              </w:rPr>
              <w:t>“十五五”</w:t>
            </w:r>
            <w:r>
              <w:rPr>
                <w:rFonts w:hint="default" w:ascii="Times New Roman" w:hAnsi="Times New Roman" w:eastAsia="宋体" w:cs="Times New Roman"/>
                <w:bCs/>
                <w:iCs/>
                <w:color w:val="000000"/>
                <w:sz w:val="24"/>
              </w:rPr>
              <w:t>规划纲要及《风能北京宣言2.0》：</w:t>
            </w:r>
            <w:r>
              <w:rPr>
                <w:rFonts w:hint="eastAsia" w:ascii="宋体" w:hAnsi="宋体" w:eastAsia="宋体" w:cs="宋体"/>
                <w:bCs/>
                <w:iCs/>
                <w:color w:val="000000"/>
                <w:sz w:val="24"/>
              </w:rPr>
              <w:t>“十五五”</w:t>
            </w:r>
            <w:r>
              <w:rPr>
                <w:rFonts w:hint="default" w:ascii="Times New Roman" w:hAnsi="Times New Roman" w:eastAsia="宋体" w:cs="Times New Roman"/>
                <w:bCs/>
                <w:iCs/>
                <w:color w:val="000000"/>
                <w:sz w:val="24"/>
              </w:rPr>
              <w:t>期间，全国风电年均新增装机不低于1.2亿千瓦。国家发改委发布的《可再生能源发展</w:t>
            </w:r>
            <w:r>
              <w:rPr>
                <w:rFonts w:hint="eastAsia" w:ascii="宋体" w:hAnsi="宋体" w:eastAsia="宋体" w:cs="宋体"/>
                <w:bCs/>
                <w:iCs/>
                <w:color w:val="000000"/>
                <w:sz w:val="24"/>
              </w:rPr>
              <w:t>“十五五”</w:t>
            </w:r>
            <w:r>
              <w:rPr>
                <w:rFonts w:hint="default" w:ascii="Times New Roman" w:hAnsi="Times New Roman" w:eastAsia="宋体" w:cs="Times New Roman"/>
                <w:bCs/>
                <w:iCs/>
                <w:color w:val="000000"/>
                <w:sz w:val="24"/>
              </w:rPr>
              <w:t>规划》进一步明确，到2030年，风电和太阳能发电总装机将达到28亿千瓦以上，为风电的持续增长提供了坚实的政策保障。根据QY Research数据，2025年度公司风电齿轮箱销量在国内及全球市场占有率均位列第二，较2024年度有所提升。后续公司将继续聚焦风电齿轮箱主业，以技术创新夯实产品实力，深耕国内、拓展海外市场，强化精益运营与全周期服务，完善合规治理与人才建设，持续提升经营质量与企业价值。具体内容详见公司在上海证券交易所网站（www.sse.com.cn）和公司指定信息披露媒体披露的《2025年年度报告》。感谢您对德力佳的关注！</w:t>
            </w:r>
          </w:p>
          <w:p w14:paraId="6861288A">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
                <w:iCs/>
                <w:color w:val="000000"/>
                <w:sz w:val="24"/>
              </w:rPr>
            </w:pPr>
            <w:r>
              <w:rPr>
                <w:rFonts w:hint="default" w:ascii="Times New Roman" w:hAnsi="Times New Roman" w:eastAsia="宋体" w:cs="Times New Roman"/>
                <w:b/>
                <w:iCs/>
                <w:color w:val="000000"/>
                <w:sz w:val="24"/>
              </w:rPr>
              <w:t>3、公司目前出海业务的现状及26年内是否会有实质性进展？</w:t>
            </w:r>
          </w:p>
          <w:p w14:paraId="54BF4459">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 w:val="0"/>
                <w:bCs/>
                <w:iCs/>
                <w:color w:val="000000"/>
                <w:sz w:val="24"/>
              </w:rPr>
            </w:pPr>
            <w:r>
              <w:rPr>
                <w:rFonts w:hint="default" w:ascii="Times New Roman" w:hAnsi="Times New Roman" w:eastAsia="宋体" w:cs="Times New Roman"/>
                <w:b w:val="0"/>
                <w:bCs/>
                <w:iCs/>
                <w:color w:val="000000"/>
                <w:sz w:val="24"/>
                <w:lang w:val="en-US" w:eastAsia="zh-CN"/>
              </w:rPr>
              <w:t>答：</w:t>
            </w:r>
            <w:r>
              <w:rPr>
                <w:rFonts w:hint="default" w:ascii="Times New Roman" w:hAnsi="Times New Roman" w:cs="Times New Roman"/>
                <w:sz w:val="24"/>
                <w:lang w:val="en-US"/>
              </w:rPr>
              <w:t>尊敬的投资者，您好！公司海外市场拓展整体处于稳步推进的过程中，目前的间接出口业务主要通过配套国内主流风电主机厂商实现，相关齿轮箱产品已随整机成功进入东南亚、中亚、西亚、美洲、欧洲、非洲等多个地区。直接出口方面，公司样机已发运海外知名风电整机厂商，待完成上机测试验证后，有望落地小批量海外订单。感谢您对德力佳的关注！</w:t>
            </w:r>
            <w:bookmarkEnd w:id="0"/>
            <w:bookmarkEnd w:id="1"/>
          </w:p>
          <w:p w14:paraId="6C64DDFE">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
                <w:iCs/>
                <w:color w:val="000000"/>
                <w:sz w:val="24"/>
              </w:rPr>
            </w:pPr>
            <w:r>
              <w:rPr>
                <w:rFonts w:hint="default" w:ascii="Times New Roman" w:hAnsi="Times New Roman" w:eastAsia="宋体" w:cs="Times New Roman"/>
                <w:b/>
                <w:iCs/>
                <w:color w:val="000000"/>
                <w:sz w:val="24"/>
                <w:lang w:val="en-US" w:eastAsia="zh-CN"/>
              </w:rPr>
              <w:t>4</w:t>
            </w:r>
            <w:r>
              <w:rPr>
                <w:rFonts w:hint="default" w:ascii="Times New Roman" w:hAnsi="Times New Roman" w:eastAsia="宋体" w:cs="Times New Roman"/>
                <w:b/>
                <w:iCs/>
                <w:color w:val="000000"/>
                <w:sz w:val="24"/>
              </w:rPr>
              <w:t>、下半年海上大兆瓦齿轮箱交付节奏如何，海风业务能否持续带动毛利率上行？</w:t>
            </w:r>
          </w:p>
          <w:p w14:paraId="46185385">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Cs/>
                <w:iCs/>
                <w:color w:val="000000"/>
                <w:sz w:val="24"/>
              </w:rPr>
            </w:pPr>
            <w:r>
              <w:rPr>
                <w:rFonts w:hint="default" w:ascii="Times New Roman" w:hAnsi="Times New Roman" w:eastAsia="宋体" w:cs="Times New Roman"/>
                <w:b w:val="0"/>
                <w:bCs/>
                <w:iCs/>
                <w:color w:val="000000"/>
                <w:sz w:val="24"/>
                <w:lang w:val="en-US" w:eastAsia="zh-CN"/>
              </w:rPr>
              <w:t>答：</w:t>
            </w:r>
            <w:r>
              <w:rPr>
                <w:rFonts w:hint="default" w:ascii="Times New Roman" w:hAnsi="Times New Roman" w:cs="Times New Roman"/>
                <w:sz w:val="24"/>
              </w:rPr>
              <w:t>尊敬的投资者，您好！中长期来看，随着国内海上风电项目逐步落地，储能配套体系持续完善改善新能源消纳条件，叠加全球风电市场保持较高景气度，以及国内</w:t>
            </w:r>
            <w:r>
              <w:rPr>
                <w:rFonts w:hint="eastAsia" w:ascii="宋体" w:hAnsi="宋体" w:cs="宋体"/>
                <w:sz w:val="24"/>
              </w:rPr>
              <w:t>“以大代小”</w:t>
            </w:r>
            <w:r>
              <w:rPr>
                <w:rFonts w:hint="default" w:ascii="Times New Roman" w:hAnsi="Times New Roman" w:cs="Times New Roman"/>
                <w:sz w:val="24"/>
              </w:rPr>
              <w:t>老旧风场更新改造带来的存量需求，“十五五”期间风电仍具备较好的成长空间。回顾2026年上半年公司大功率机型、海上风电业务占比保持在合理水平；展望下半年，公司将通过继续强化供应链管理、合理安排生产计划、高效规划投资节奏、持续升级产品结构、加大新产品研发力度等措施，保障公司毛利率处于合理水平。感谢您对德力佳的关注！</w:t>
            </w:r>
          </w:p>
          <w:p w14:paraId="490B61CC">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
                <w:iCs/>
                <w:color w:val="000000"/>
                <w:sz w:val="24"/>
              </w:rPr>
            </w:pPr>
            <w:r>
              <w:rPr>
                <w:rFonts w:hint="default" w:ascii="Times New Roman" w:hAnsi="Times New Roman" w:eastAsia="宋体" w:cs="Times New Roman"/>
                <w:b/>
                <w:iCs/>
                <w:color w:val="000000"/>
                <w:sz w:val="24"/>
                <w:lang w:val="en-US" w:eastAsia="zh-CN"/>
              </w:rPr>
              <w:t>5</w:t>
            </w:r>
            <w:r>
              <w:rPr>
                <w:rFonts w:hint="default" w:ascii="Times New Roman" w:hAnsi="Times New Roman" w:eastAsia="宋体" w:cs="Times New Roman"/>
                <w:b/>
                <w:iCs/>
                <w:color w:val="000000"/>
                <w:sz w:val="24"/>
              </w:rPr>
              <w:t>、陈总好，想请问一下目前公司几个募投项目的进展怎么样？感谢！</w:t>
            </w:r>
          </w:p>
          <w:p w14:paraId="54DDCCDE">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Cs/>
                <w:iCs/>
                <w:color w:val="000000"/>
                <w:sz w:val="24"/>
              </w:rPr>
            </w:pPr>
            <w:r>
              <w:rPr>
                <w:rFonts w:hint="default" w:ascii="Times New Roman" w:hAnsi="Times New Roman" w:eastAsia="宋体" w:cs="Times New Roman"/>
                <w:b w:val="0"/>
                <w:bCs/>
                <w:iCs/>
                <w:color w:val="000000"/>
                <w:sz w:val="24"/>
                <w:lang w:val="en-US" w:eastAsia="zh-CN"/>
              </w:rPr>
              <w:t>答：</w:t>
            </w:r>
            <w:r>
              <w:rPr>
                <w:rFonts w:hint="default" w:ascii="Times New Roman" w:hAnsi="Times New Roman" w:eastAsia="宋体" w:cs="Times New Roman"/>
                <w:bCs/>
                <w:iCs/>
                <w:color w:val="000000"/>
                <w:sz w:val="24"/>
              </w:rPr>
              <w:t>尊敬的投资者，您好！截至2026年6月30日，</w:t>
            </w:r>
            <w:r>
              <w:rPr>
                <w:rFonts w:hint="eastAsia" w:ascii="宋体" w:hAnsi="宋体" w:eastAsia="宋体" w:cs="宋体"/>
                <w:bCs/>
                <w:iCs/>
                <w:color w:val="000000"/>
                <w:sz w:val="24"/>
              </w:rPr>
              <w:t>“年产</w:t>
            </w:r>
            <w:r>
              <w:rPr>
                <w:rFonts w:hint="default" w:ascii="Times New Roman" w:hAnsi="Times New Roman" w:eastAsia="宋体" w:cs="Times New Roman"/>
                <w:bCs/>
                <w:iCs/>
                <w:color w:val="000000"/>
                <w:sz w:val="24"/>
              </w:rPr>
              <w:t>1000台8MW</w:t>
            </w:r>
            <w:r>
              <w:rPr>
                <w:rFonts w:hint="eastAsia" w:ascii="宋体" w:hAnsi="宋体" w:eastAsia="宋体" w:cs="宋体"/>
                <w:bCs/>
                <w:iCs/>
                <w:color w:val="000000"/>
                <w:sz w:val="24"/>
              </w:rPr>
              <w:t>以上大型陆上风电齿轮箱项目”</w:t>
            </w:r>
            <w:r>
              <w:rPr>
                <w:rFonts w:hint="default" w:ascii="Times New Roman" w:hAnsi="Times New Roman" w:eastAsia="宋体" w:cs="Times New Roman"/>
                <w:bCs/>
                <w:iCs/>
                <w:color w:val="000000"/>
                <w:sz w:val="24"/>
              </w:rPr>
              <w:t>募集资金投入进度为67.50%；</w:t>
            </w:r>
            <w:r>
              <w:rPr>
                <w:rFonts w:hint="eastAsia" w:ascii="宋体" w:hAnsi="宋体" w:eastAsia="宋体" w:cs="宋体"/>
                <w:bCs/>
                <w:iCs/>
                <w:color w:val="000000"/>
                <w:sz w:val="24"/>
              </w:rPr>
              <w:t>“汕头市德力佳传动有限公司年产800台大型海上风电齿轮箱汕头项目”</w:t>
            </w:r>
            <w:r>
              <w:rPr>
                <w:rFonts w:hint="default" w:ascii="Times New Roman" w:hAnsi="Times New Roman" w:eastAsia="宋体" w:cs="Times New Roman"/>
                <w:bCs/>
                <w:iCs/>
                <w:color w:val="000000"/>
                <w:sz w:val="24"/>
              </w:rPr>
              <w:t>募集资金投入进度为46.11%。另一募投项目</w:t>
            </w:r>
            <w:r>
              <w:rPr>
                <w:rFonts w:hint="eastAsia" w:ascii="宋体" w:hAnsi="宋体" w:eastAsia="宋体" w:cs="宋体"/>
                <w:bCs/>
                <w:iCs/>
                <w:color w:val="000000"/>
                <w:sz w:val="24"/>
              </w:rPr>
              <w:t>“</w:t>
            </w:r>
            <w:r>
              <w:rPr>
                <w:rFonts w:hint="default" w:ascii="Times New Roman" w:hAnsi="Times New Roman" w:eastAsia="宋体" w:cs="Times New Roman"/>
                <w:bCs/>
                <w:iCs/>
                <w:color w:val="000000"/>
                <w:sz w:val="24"/>
              </w:rPr>
              <w:t>德力佳10兆瓦以上大型陆上及海上用风电齿轮箱研发制造项目（一期）</w:t>
            </w:r>
            <w:r>
              <w:rPr>
                <w:rFonts w:hint="eastAsia" w:ascii="宋体" w:hAnsi="宋体" w:eastAsia="宋体" w:cs="宋体"/>
                <w:bCs/>
                <w:iCs/>
                <w:color w:val="000000"/>
                <w:sz w:val="24"/>
              </w:rPr>
              <w:t>”</w:t>
            </w:r>
            <w:r>
              <w:rPr>
                <w:rFonts w:hint="default" w:ascii="Times New Roman" w:hAnsi="Times New Roman" w:eastAsia="宋体" w:cs="Times New Roman"/>
                <w:bCs/>
                <w:iCs/>
                <w:color w:val="000000"/>
                <w:sz w:val="24"/>
              </w:rPr>
              <w:t>拟于2026年下半年启动建设。目前各募投项目整体推进有序，项目建成后将进一步扩充公司产能，夯实产品交付能力，更好匹配海内外市场的业务发展需求。感谢您对德力佳的关注！</w:t>
            </w:r>
          </w:p>
          <w:p w14:paraId="0704A44A">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
                <w:iCs/>
                <w:color w:val="000000"/>
                <w:sz w:val="24"/>
              </w:rPr>
            </w:pPr>
            <w:r>
              <w:rPr>
                <w:rFonts w:hint="default" w:ascii="Times New Roman" w:hAnsi="Times New Roman" w:eastAsia="宋体" w:cs="Times New Roman"/>
                <w:b/>
                <w:iCs/>
                <w:color w:val="000000"/>
                <w:sz w:val="24"/>
                <w:lang w:val="en-US" w:eastAsia="zh-CN"/>
              </w:rPr>
              <w:t>6、</w:t>
            </w:r>
            <w:r>
              <w:rPr>
                <w:rFonts w:hint="default" w:ascii="Times New Roman" w:hAnsi="Times New Roman" w:eastAsia="宋体" w:cs="Times New Roman"/>
                <w:b/>
                <w:iCs/>
                <w:color w:val="000000"/>
                <w:sz w:val="24"/>
              </w:rPr>
              <w:t>公司近期主要业绩如何？股价下跌是什么原因导致？</w:t>
            </w:r>
          </w:p>
          <w:p w14:paraId="6AC749D0">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cs="Times New Roman"/>
                <w:sz w:val="24"/>
                <w:lang w:val="en-US"/>
              </w:rPr>
            </w:pPr>
            <w:r>
              <w:rPr>
                <w:rFonts w:hint="default" w:ascii="Times New Roman" w:hAnsi="Times New Roman" w:eastAsia="宋体" w:cs="Times New Roman"/>
                <w:b w:val="0"/>
                <w:bCs/>
                <w:iCs/>
                <w:color w:val="000000"/>
                <w:sz w:val="24"/>
                <w:lang w:val="en-US" w:eastAsia="zh-CN"/>
              </w:rPr>
              <w:t>答：</w:t>
            </w:r>
            <w:r>
              <w:rPr>
                <w:rFonts w:hint="default" w:ascii="Times New Roman" w:hAnsi="Times New Roman" w:cs="Times New Roman"/>
                <w:sz w:val="24"/>
              </w:rPr>
              <w:t>尊敬的投资者，您好！2026年上半年，公司实现营业收入259,648.47万元，较上年同期增长4.49%，收入规模稳中有升；归属于上市公司股东的净利润41,174.61万元，较上年同期增长4.58%。公司整体经营质量稳健，在手订单交付有序，产品结构持续优化，研发创新与市场拓展同步推进，为全年目标达成奠定了良好基础。具体内容详见公司在上海证券交易所网站（www.sse.com.cn）和公司指定信息披露媒体披露的《2026年半年度报告》。公司高度重视全体股东利益，但二级市场股价受宏观环境、行业周期、市场情绪等多重因素综合影响。公司将持续聚焦主业发展，夯实经营基本面，扎实做好信息披露与投资者关系管理工作，客观传递公司经营价值。感谢您对德力佳的关注！</w:t>
            </w:r>
          </w:p>
          <w:p w14:paraId="299D728C">
            <w:pPr>
              <w:keepNext w:val="0"/>
              <w:keepLines w:val="0"/>
              <w:pageBreakBefore w:val="0"/>
              <w:widowControl w:val="0"/>
              <w:numPr>
                <w:ilvl w:val="-1"/>
                <w:numId w:val="0"/>
              </w:numPr>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
                <w:iCs/>
                <w:color w:val="000000"/>
                <w:sz w:val="24"/>
              </w:rPr>
            </w:pPr>
            <w:r>
              <w:rPr>
                <w:rFonts w:hint="default" w:ascii="Times New Roman" w:hAnsi="Times New Roman" w:eastAsia="宋体" w:cs="Times New Roman"/>
                <w:b/>
                <w:iCs/>
                <w:color w:val="000000"/>
                <w:sz w:val="24"/>
                <w:lang w:val="en-US" w:eastAsia="zh-CN"/>
              </w:rPr>
              <w:t>7、</w:t>
            </w:r>
            <w:r>
              <w:rPr>
                <w:rFonts w:hint="default" w:ascii="Times New Roman" w:hAnsi="Times New Roman" w:eastAsia="宋体" w:cs="Times New Roman"/>
                <w:b/>
                <w:iCs/>
                <w:color w:val="000000"/>
                <w:sz w:val="24"/>
              </w:rPr>
              <w:t>贵公司</w:t>
            </w:r>
            <w:r>
              <w:rPr>
                <w:rFonts w:hint="default" w:ascii="Times New Roman" w:hAnsi="Times New Roman" w:eastAsia="宋体" w:cs="Times New Roman"/>
                <w:b/>
                <w:iCs/>
                <w:color w:val="000000"/>
                <w:sz w:val="24"/>
                <w:lang w:eastAsia="zh-CN"/>
              </w:rPr>
              <w:t>在</w:t>
            </w:r>
            <w:r>
              <w:rPr>
                <w:rFonts w:hint="default" w:ascii="Times New Roman" w:hAnsi="Times New Roman" w:eastAsia="宋体" w:cs="Times New Roman"/>
                <w:b/>
                <w:iCs/>
                <w:color w:val="000000"/>
                <w:sz w:val="24"/>
              </w:rPr>
              <w:t>盈利能力、偿债能力、现金流获取能力等各方面都比较稳健？但</w:t>
            </w:r>
            <w:r>
              <w:rPr>
                <w:rFonts w:hint="default" w:ascii="Times New Roman" w:hAnsi="Times New Roman" w:eastAsia="宋体" w:cs="Times New Roman"/>
                <w:b/>
                <w:iCs/>
                <w:color w:val="000000"/>
                <w:sz w:val="24"/>
                <w:lang w:eastAsia="zh-CN"/>
              </w:rPr>
              <w:t>净资产收益率</w:t>
            </w:r>
            <w:r>
              <w:rPr>
                <w:rFonts w:hint="default" w:ascii="Times New Roman" w:hAnsi="Times New Roman" w:eastAsia="宋体" w:cs="Times New Roman"/>
                <w:b/>
                <w:iCs/>
                <w:color w:val="000000"/>
                <w:sz w:val="24"/>
              </w:rPr>
              <w:t>为什么从去年的12.79%下降至7.19%？</w:t>
            </w:r>
          </w:p>
          <w:p w14:paraId="2F606D59">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cs="Times New Roman"/>
                <w:sz w:val="24"/>
              </w:rPr>
            </w:pPr>
            <w:r>
              <w:rPr>
                <w:rFonts w:hint="default" w:ascii="Times New Roman" w:hAnsi="Times New Roman" w:eastAsia="宋体" w:cs="Times New Roman"/>
                <w:b w:val="0"/>
                <w:bCs/>
                <w:iCs/>
                <w:color w:val="000000"/>
                <w:sz w:val="24"/>
              </w:rPr>
              <w:t>答：</w:t>
            </w:r>
            <w:r>
              <w:rPr>
                <w:rFonts w:hint="default" w:ascii="Times New Roman" w:hAnsi="Times New Roman" w:eastAsia="宋体" w:cs="Times New Roman"/>
                <w:bCs/>
                <w:iCs/>
                <w:color w:val="000000"/>
                <w:sz w:val="24"/>
              </w:rPr>
              <w:t>尊敬的投资者，您好！公司整体盈利能力、偿债能力及现金流获取能力保持稳健。公司净资产收益率较去年下降主要系公司完成首发上市对净资产收益率形成摊薄效应。后续公司将持续深耕主业，不断提升经营效益。感谢您对公司的关注！</w:t>
            </w:r>
          </w:p>
          <w:p w14:paraId="5BCE8D8C">
            <w:pPr>
              <w:keepNext w:val="0"/>
              <w:keepLines w:val="0"/>
              <w:pageBreakBefore w:val="0"/>
              <w:widowControl w:val="0"/>
              <w:numPr>
                <w:ilvl w:val="-1"/>
                <w:numId w:val="0"/>
              </w:numPr>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
                <w:iCs/>
                <w:color w:val="000000"/>
                <w:sz w:val="24"/>
              </w:rPr>
            </w:pPr>
            <w:r>
              <w:rPr>
                <w:rFonts w:hint="default" w:ascii="Times New Roman" w:hAnsi="Times New Roman" w:eastAsia="宋体" w:cs="Times New Roman"/>
                <w:b/>
                <w:iCs/>
                <w:color w:val="000000"/>
                <w:sz w:val="24"/>
                <w:lang w:val="en-US" w:eastAsia="zh-CN"/>
              </w:rPr>
              <w:t>8、</w:t>
            </w:r>
            <w:r>
              <w:rPr>
                <w:rFonts w:hint="default" w:ascii="Times New Roman" w:hAnsi="Times New Roman" w:eastAsia="宋体" w:cs="Times New Roman"/>
                <w:b/>
                <w:iCs/>
                <w:color w:val="000000"/>
                <w:sz w:val="24"/>
              </w:rPr>
              <w:t>请问公司齿轮技术可否运用于形机器人？同时公司有没有计划并购一些上下游产业，增加公司</w:t>
            </w:r>
            <w:r>
              <w:rPr>
                <w:rFonts w:hint="default" w:ascii="Times New Roman" w:hAnsi="Times New Roman" w:eastAsia="宋体" w:cs="Times New Roman"/>
                <w:b/>
                <w:iCs/>
                <w:color w:val="000000"/>
                <w:sz w:val="24"/>
                <w:lang w:eastAsia="zh-CN"/>
              </w:rPr>
              <w:t>盈利</w:t>
            </w:r>
            <w:r>
              <w:rPr>
                <w:rFonts w:hint="default" w:ascii="Times New Roman" w:hAnsi="Times New Roman" w:eastAsia="宋体" w:cs="Times New Roman"/>
                <w:b/>
                <w:iCs/>
                <w:color w:val="000000"/>
                <w:sz w:val="24"/>
              </w:rPr>
              <w:t>能力？！谢谢</w:t>
            </w:r>
          </w:p>
          <w:p w14:paraId="21388A52">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cs="Times New Roman"/>
                <w:sz w:val="24"/>
              </w:rPr>
            </w:pPr>
            <w:r>
              <w:rPr>
                <w:rFonts w:hint="default" w:ascii="Times New Roman" w:hAnsi="Times New Roman" w:eastAsia="宋体" w:cs="Times New Roman"/>
                <w:b w:val="0"/>
                <w:bCs/>
                <w:iCs/>
                <w:color w:val="000000"/>
                <w:sz w:val="24"/>
              </w:rPr>
              <w:t>答：</w:t>
            </w:r>
            <w:r>
              <w:rPr>
                <w:rFonts w:hint="default" w:ascii="Times New Roman" w:hAnsi="Times New Roman" w:eastAsia="宋体" w:cs="Times New Roman"/>
                <w:bCs/>
                <w:iCs/>
                <w:color w:val="000000"/>
                <w:sz w:val="24"/>
              </w:rPr>
              <w:t>尊敬的投资者，您好！公司主要从事高速重载精密齿轮传动产品的研发、生产与销售，下游应用领域目前主要为风力发电机组，核心主营业务为风电主齿轮箱的研发、生产与销售。公司后续将在深耕核心主业的基础上，积极探索符合长期发展的新业务方向，稳步构建更具韧性的产业布局。感谢您对德力佳的关注！</w:t>
            </w:r>
          </w:p>
          <w:p w14:paraId="26CDFC99">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
                <w:iCs/>
                <w:color w:val="000000"/>
                <w:sz w:val="24"/>
              </w:rPr>
            </w:pPr>
            <w:r>
              <w:rPr>
                <w:rFonts w:hint="default" w:ascii="Times New Roman" w:hAnsi="Times New Roman" w:eastAsia="宋体" w:cs="Times New Roman"/>
                <w:b/>
                <w:iCs/>
                <w:color w:val="000000"/>
                <w:sz w:val="24"/>
                <w:lang w:val="en-US" w:eastAsia="zh-CN"/>
              </w:rPr>
              <w:t>9、</w:t>
            </w:r>
            <w:r>
              <w:rPr>
                <w:rFonts w:hint="default" w:ascii="Times New Roman" w:hAnsi="Times New Roman" w:eastAsia="宋体" w:cs="Times New Roman"/>
                <w:b/>
                <w:iCs/>
                <w:color w:val="000000"/>
                <w:sz w:val="24"/>
              </w:rPr>
              <w:t>公司股价目前已经跌破发行价，造成中小投资者亏损严重，问公司为什么不回购？！谢谢！</w:t>
            </w:r>
            <w:bookmarkStart w:id="2" w:name="_GoBack"/>
            <w:bookmarkEnd w:id="2"/>
          </w:p>
          <w:p w14:paraId="6BF066D3">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cs="Times New Roman"/>
                <w:sz w:val="24"/>
              </w:rPr>
            </w:pPr>
            <w:r>
              <w:rPr>
                <w:rFonts w:hint="default" w:ascii="Times New Roman" w:hAnsi="Times New Roman" w:eastAsia="宋体" w:cs="Times New Roman"/>
                <w:b w:val="0"/>
                <w:bCs/>
                <w:iCs/>
                <w:color w:val="000000"/>
                <w:sz w:val="24"/>
                <w:lang w:val="en-US" w:eastAsia="zh-CN"/>
              </w:rPr>
              <w:t>答：</w:t>
            </w:r>
            <w:r>
              <w:rPr>
                <w:rFonts w:hint="default" w:ascii="Times New Roman" w:hAnsi="Times New Roman" w:cs="Times New Roman"/>
                <w:sz w:val="24"/>
              </w:rPr>
              <w:t>尊敬的投资者，您好！公司高度重视全体股东利益，但二级市场股价受宏观环境、行业周期、市场情绪等多重因素综合影响。公司将持续聚焦主业发展，夯实经营基本面，扎实做好信息披露与投资者关系管理工作，客观传递公司经营价值。感谢您对德力佳的关注！</w:t>
            </w:r>
          </w:p>
          <w:p w14:paraId="720BACC3">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宋体" w:cs="Times New Roman"/>
                <w:b/>
                <w:i w:val="0"/>
                <w:iCs/>
                <w:caps w:val="0"/>
                <w:color w:val="000000"/>
                <w:spacing w:val="0"/>
                <w:sz w:val="24"/>
                <w:szCs w:val="24"/>
                <w:shd w:val="clear"/>
              </w:rPr>
            </w:pPr>
            <w:r>
              <w:rPr>
                <w:rFonts w:hint="default" w:ascii="Times New Roman" w:hAnsi="Times New Roman" w:eastAsia="宋体" w:cs="Times New Roman"/>
                <w:b/>
                <w:iCs/>
                <w:color w:val="000000"/>
                <w:sz w:val="24"/>
                <w:lang w:val="en-US" w:eastAsia="zh-CN"/>
              </w:rPr>
              <w:t>10、</w:t>
            </w:r>
            <w:r>
              <w:rPr>
                <w:rFonts w:hint="default" w:ascii="Times New Roman" w:hAnsi="Times New Roman" w:eastAsia="宋体" w:cs="Times New Roman"/>
                <w:b/>
                <w:i w:val="0"/>
                <w:iCs/>
                <w:caps w:val="0"/>
                <w:color w:val="000000"/>
                <w:spacing w:val="0"/>
                <w:sz w:val="24"/>
                <w:szCs w:val="24"/>
                <w:shd w:val="clear"/>
              </w:rPr>
              <w:t>请介绍一下上半年信用和资产计提减值情况，这种情况今后是否是常态，管理层有什么应对措施</w:t>
            </w:r>
            <w:r>
              <w:rPr>
                <w:rFonts w:hint="default" w:ascii="Times New Roman" w:hAnsi="Times New Roman" w:eastAsia="宋体" w:cs="Times New Roman"/>
                <w:b/>
                <w:i w:val="0"/>
                <w:iCs/>
                <w:caps w:val="0"/>
                <w:color w:val="000000"/>
                <w:spacing w:val="0"/>
                <w:sz w:val="24"/>
                <w:szCs w:val="24"/>
                <w:shd w:val="clear"/>
                <w:lang w:eastAsia="zh-CN"/>
              </w:rPr>
              <w:t>？</w:t>
            </w:r>
            <w:r>
              <w:rPr>
                <w:rFonts w:hint="default" w:ascii="Times New Roman" w:hAnsi="Times New Roman" w:eastAsia="宋体" w:cs="Times New Roman"/>
                <w:b/>
                <w:i w:val="0"/>
                <w:iCs/>
                <w:caps w:val="0"/>
                <w:color w:val="000000"/>
                <w:spacing w:val="0"/>
                <w:sz w:val="24"/>
                <w:szCs w:val="24"/>
                <w:shd w:val="clear"/>
              </w:rPr>
              <w:t>公司海风方面产品在国内竞争力如何目前市场占有率大概多少？下半年公司主要的任务是什么，盈利预期如何？</w:t>
            </w:r>
          </w:p>
          <w:p w14:paraId="1650514E">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ascii="Times New Roman" w:hAnsi="Times New Roman" w:eastAsia="华文楷体" w:cs="Times New Roman"/>
                <w:b/>
                <w:i w:val="0"/>
                <w:iCs/>
                <w:caps w:val="0"/>
                <w:color w:val="000000"/>
                <w:spacing w:val="0"/>
                <w:sz w:val="24"/>
                <w:szCs w:val="24"/>
                <w:shd w:val="clear"/>
                <w:lang w:val="en-US" w:eastAsia="zh-CN"/>
              </w:rPr>
            </w:pPr>
            <w:r>
              <w:rPr>
                <w:rFonts w:hint="default" w:ascii="Times New Roman" w:hAnsi="Times New Roman" w:eastAsia="宋体" w:cs="Times New Roman"/>
                <w:b w:val="0"/>
                <w:bCs/>
                <w:iCs/>
                <w:color w:val="000000"/>
                <w:sz w:val="24"/>
                <w:lang w:val="en-US" w:eastAsia="zh-CN"/>
              </w:rPr>
              <w:t>答：</w:t>
            </w:r>
            <w:r>
              <w:rPr>
                <w:rFonts w:hint="default" w:ascii="Times New Roman" w:hAnsi="Times New Roman" w:cs="Times New Roman"/>
                <w:sz w:val="24"/>
              </w:rPr>
              <w:t>尊敬的投资者，您好！上半年公司严格按照企业会计准则，审慎计提信用减值及存货跌价准备，主要受行业机型迭代、下游项目实施节奏等因素影响，相关减值具备阶段性特征。后续公司将加强库存消化，强化应收账款管理，并将持续按照准则要求计提各项资产减值。公司16MW、18MW等大兆瓦海风齿轮箱已实现批量项目验证，产品市场竞争力较强，积累了较好的市场口碑。根据QY Research数据，2025年度公司风电齿轮箱销量在国内及全球市场占有率均位列第二。2026年下半年公司将全力做好生产经营，重点保障订单交付，有序推进募投项目建设落地，持续强化成本管控，积极拓展海内外市场。感谢您对德力佳的关注！</w:t>
            </w:r>
          </w:p>
        </w:tc>
      </w:tr>
      <w:tr w14:paraId="09906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l2br w:val="nil"/>
              <w:tr2bl w:val="nil"/>
            </w:tcBorders>
            <w:vAlign w:val="center"/>
          </w:tcPr>
          <w:p w14:paraId="2BAC9AE0">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both"/>
              <w:textAlignment w:val="auto"/>
              <w:rPr>
                <w:rFonts w:ascii="Times New Roman" w:hAnsi="Times New Roman" w:eastAsia="华文楷体"/>
                <w:bCs/>
                <w:iCs/>
                <w:color w:val="000000"/>
                <w:sz w:val="24"/>
              </w:rPr>
            </w:pPr>
            <w:r>
              <w:rPr>
                <w:rFonts w:ascii="Times New Roman" w:hAnsi="Times New Roman" w:eastAsia="华文楷体"/>
                <w:bCs/>
                <w:iCs/>
                <w:color w:val="000000"/>
                <w:sz w:val="24"/>
              </w:rPr>
              <w:t>关于本次活动是否涉及应当披露重大信息的说明</w:t>
            </w:r>
          </w:p>
        </w:tc>
        <w:tc>
          <w:tcPr>
            <w:tcW w:w="6614" w:type="dxa"/>
            <w:tcBorders>
              <w:tl2br w:val="nil"/>
              <w:tr2bl w:val="nil"/>
            </w:tcBorders>
          </w:tcPr>
          <w:p w14:paraId="73394044">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ascii="Times New Roman" w:hAnsi="Times New Roman" w:eastAsia="华文楷体"/>
                <w:bCs/>
                <w:iCs/>
                <w:color w:val="000000"/>
                <w:sz w:val="24"/>
              </w:rPr>
            </w:pPr>
            <w:r>
              <w:rPr>
                <w:rFonts w:hint="eastAsia" w:ascii="Times New Roman" w:hAnsi="Times New Roman" w:eastAsia="华文楷体"/>
                <w:bCs/>
                <w:iCs/>
                <w:color w:val="000000"/>
                <w:sz w:val="24"/>
              </w:rPr>
              <w:t>本次活动不涉及未公开披露的重大信息。</w:t>
            </w:r>
          </w:p>
        </w:tc>
      </w:tr>
      <w:tr w14:paraId="51BB47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l2br w:val="nil"/>
              <w:tr2bl w:val="nil"/>
            </w:tcBorders>
            <w:vAlign w:val="center"/>
          </w:tcPr>
          <w:p w14:paraId="5D1CD71A">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both"/>
              <w:textAlignment w:val="auto"/>
              <w:rPr>
                <w:rFonts w:ascii="Times New Roman" w:hAnsi="Times New Roman" w:eastAsia="华文楷体"/>
                <w:bCs/>
                <w:iCs/>
                <w:color w:val="000000"/>
                <w:sz w:val="24"/>
              </w:rPr>
            </w:pPr>
            <w:r>
              <w:rPr>
                <w:rFonts w:ascii="Times New Roman" w:hAnsi="Times New Roman" w:eastAsia="华文楷体"/>
                <w:bCs/>
                <w:iCs/>
                <w:color w:val="000000"/>
                <w:sz w:val="24"/>
              </w:rPr>
              <w:t>附件清单（如有）</w:t>
            </w:r>
          </w:p>
        </w:tc>
        <w:tc>
          <w:tcPr>
            <w:tcW w:w="6614" w:type="dxa"/>
            <w:tcBorders>
              <w:tl2br w:val="nil"/>
              <w:tr2bl w:val="nil"/>
            </w:tcBorders>
          </w:tcPr>
          <w:p w14:paraId="14CD82AE">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default" w:ascii="Times New Roman" w:hAnsi="Times New Roman" w:eastAsia="华文楷体"/>
                <w:bCs/>
                <w:iCs/>
                <w:color w:val="000000"/>
                <w:sz w:val="24"/>
                <w:lang w:val="en-US" w:eastAsia="zh-CN"/>
              </w:rPr>
            </w:pPr>
            <w:r>
              <w:rPr>
                <w:rFonts w:hint="eastAsia" w:ascii="Times New Roman" w:hAnsi="Times New Roman" w:eastAsia="华文楷体"/>
                <w:bCs/>
                <w:iCs/>
                <w:color w:val="000000"/>
                <w:sz w:val="24"/>
                <w:lang w:val="en-US" w:eastAsia="zh-CN"/>
              </w:rPr>
              <w:t>无</w:t>
            </w:r>
          </w:p>
        </w:tc>
      </w:tr>
      <w:tr w14:paraId="71F26A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l2br w:val="nil"/>
              <w:tr2bl w:val="nil"/>
            </w:tcBorders>
            <w:vAlign w:val="center"/>
          </w:tcPr>
          <w:p w14:paraId="4F825177">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both"/>
              <w:textAlignment w:val="auto"/>
              <w:rPr>
                <w:rFonts w:ascii="Times New Roman" w:hAnsi="Times New Roman" w:eastAsia="华文楷体"/>
                <w:bCs/>
                <w:iCs/>
                <w:color w:val="000000"/>
                <w:sz w:val="24"/>
              </w:rPr>
            </w:pPr>
            <w:r>
              <w:rPr>
                <w:rFonts w:ascii="Times New Roman" w:hAnsi="Times New Roman" w:eastAsia="华文楷体"/>
                <w:bCs/>
                <w:iCs/>
                <w:color w:val="000000"/>
                <w:sz w:val="24"/>
              </w:rPr>
              <w:t>日期</w:t>
            </w:r>
          </w:p>
        </w:tc>
        <w:tc>
          <w:tcPr>
            <w:tcW w:w="6614" w:type="dxa"/>
            <w:tcBorders>
              <w:tl2br w:val="nil"/>
              <w:tr2bl w:val="nil"/>
            </w:tcBorders>
          </w:tcPr>
          <w:p w14:paraId="4B442085">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ascii="Times New Roman" w:hAnsi="Times New Roman" w:eastAsia="华文楷体"/>
                <w:bCs/>
                <w:iCs/>
                <w:color w:val="000000"/>
                <w:sz w:val="24"/>
              </w:rPr>
            </w:pPr>
            <w:r>
              <w:rPr>
                <w:rFonts w:hint="eastAsia" w:ascii="Times New Roman" w:hAnsi="Times New Roman" w:eastAsia="华文楷体"/>
                <w:bCs/>
                <w:iCs/>
                <w:color w:val="000000"/>
                <w:sz w:val="24"/>
                <w:lang w:val="en-US" w:eastAsia="zh-CN"/>
              </w:rPr>
              <w:t>2026年9月2日</w:t>
            </w:r>
          </w:p>
        </w:tc>
      </w:tr>
    </w:tbl>
    <w:p w14:paraId="4137050A">
      <w:pPr>
        <w:rPr>
          <w:rFonts w:ascii="Times New Roman" w:hAnsi="Times New Roman" w:eastAsia="华文楷体"/>
          <w:sz w:val="24"/>
        </w:rPr>
      </w:pPr>
    </w:p>
    <w:p w14:paraId="41D60713">
      <w:pPr>
        <w:widowControl/>
        <w:jc w:val="left"/>
        <w:rPr>
          <w:rFonts w:ascii="Times New Roman" w:hAnsi="Times New Roman" w:eastAsia="华文楷体"/>
          <w:sz w:val="24"/>
        </w:rPr>
      </w:pPr>
    </w:p>
    <w:sectPr>
      <w:headerReference r:id="rId5" w:type="first"/>
      <w:footerReference r:id="rId8" w:type="first"/>
      <w:headerReference r:id="rId3" w:type="default"/>
      <w:footerReference r:id="rId6" w:type="default"/>
      <w:headerReference r:id="rId4" w:type="even"/>
      <w:footerReference r:id="rId7" w:type="even"/>
      <w:pgSz w:w="11906" w:h="16838"/>
      <w:pgMar w:top="930" w:right="1797" w:bottom="1440" w:left="1797" w:header="737" w:footer="680"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altName w:val="宋体"/>
    <w:panose1 w:val="02010600040101010101"/>
    <w:charset w:val="86"/>
    <w:family w:val="auto"/>
    <w:pitch w:val="default"/>
    <w:sig w:usb0="00000000" w:usb1="0000000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CA16C">
    <w:pPr>
      <w:pStyle w:val="6"/>
      <w:tabs>
        <w:tab w:val="left" w:pos="7410"/>
        <w:tab w:val="clear" w:pos="4153"/>
        <w:tab w:val="clear" w:pos="8306"/>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6D9123">
                          <w:pPr>
                            <w:pStyle w:val="6"/>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6D9123">
                    <w:pPr>
                      <w:pStyle w:val="6"/>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xbxContent>
              </v:textbox>
            </v:shape>
          </w:pict>
        </mc:Fallback>
      </mc:AlternateConten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C1089">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BBEA6">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F6EDE">
    <w:pPr>
      <w:pStyle w:val="7"/>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144F8">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FC59E">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353237"/>
    <w:rsid w:val="000144C4"/>
    <w:rsid w:val="0004494E"/>
    <w:rsid w:val="00071AB5"/>
    <w:rsid w:val="00077C35"/>
    <w:rsid w:val="000A4ED2"/>
    <w:rsid w:val="000B059B"/>
    <w:rsid w:val="000B6759"/>
    <w:rsid w:val="000C161D"/>
    <w:rsid w:val="0013459F"/>
    <w:rsid w:val="0017433B"/>
    <w:rsid w:val="001C4E9C"/>
    <w:rsid w:val="001E5B0E"/>
    <w:rsid w:val="002079F0"/>
    <w:rsid w:val="002241CA"/>
    <w:rsid w:val="0023431C"/>
    <w:rsid w:val="002739BD"/>
    <w:rsid w:val="002A58B1"/>
    <w:rsid w:val="002B3EB3"/>
    <w:rsid w:val="002B54AE"/>
    <w:rsid w:val="002D6DB2"/>
    <w:rsid w:val="002E2240"/>
    <w:rsid w:val="00300958"/>
    <w:rsid w:val="00302C7A"/>
    <w:rsid w:val="00312615"/>
    <w:rsid w:val="00325630"/>
    <w:rsid w:val="00331BD4"/>
    <w:rsid w:val="00334E22"/>
    <w:rsid w:val="00351F58"/>
    <w:rsid w:val="00360160"/>
    <w:rsid w:val="00361D2D"/>
    <w:rsid w:val="0038081E"/>
    <w:rsid w:val="00381E5F"/>
    <w:rsid w:val="00387DAE"/>
    <w:rsid w:val="003B3476"/>
    <w:rsid w:val="003E09D6"/>
    <w:rsid w:val="003F43E9"/>
    <w:rsid w:val="0040196F"/>
    <w:rsid w:val="00405E58"/>
    <w:rsid w:val="004134CD"/>
    <w:rsid w:val="004153F4"/>
    <w:rsid w:val="00425118"/>
    <w:rsid w:val="0043372C"/>
    <w:rsid w:val="00433836"/>
    <w:rsid w:val="00462055"/>
    <w:rsid w:val="004710A1"/>
    <w:rsid w:val="004913BC"/>
    <w:rsid w:val="00492BBF"/>
    <w:rsid w:val="00494A95"/>
    <w:rsid w:val="004B0B73"/>
    <w:rsid w:val="004B77A0"/>
    <w:rsid w:val="004C0357"/>
    <w:rsid w:val="004D6307"/>
    <w:rsid w:val="004D7FAC"/>
    <w:rsid w:val="004E7DAE"/>
    <w:rsid w:val="00500654"/>
    <w:rsid w:val="0050343A"/>
    <w:rsid w:val="00515810"/>
    <w:rsid w:val="0052341E"/>
    <w:rsid w:val="00523922"/>
    <w:rsid w:val="005263AA"/>
    <w:rsid w:val="0054044A"/>
    <w:rsid w:val="005B4322"/>
    <w:rsid w:val="005F1A92"/>
    <w:rsid w:val="005F32CA"/>
    <w:rsid w:val="006059BD"/>
    <w:rsid w:val="00612813"/>
    <w:rsid w:val="00623311"/>
    <w:rsid w:val="00644768"/>
    <w:rsid w:val="00685507"/>
    <w:rsid w:val="006879CB"/>
    <w:rsid w:val="006B5C83"/>
    <w:rsid w:val="006C36EA"/>
    <w:rsid w:val="006D403E"/>
    <w:rsid w:val="00710E31"/>
    <w:rsid w:val="00712276"/>
    <w:rsid w:val="0071616D"/>
    <w:rsid w:val="00725F7E"/>
    <w:rsid w:val="0074039A"/>
    <w:rsid w:val="00781BAC"/>
    <w:rsid w:val="007C0148"/>
    <w:rsid w:val="007C74FA"/>
    <w:rsid w:val="007D5EBF"/>
    <w:rsid w:val="007E3476"/>
    <w:rsid w:val="007F3235"/>
    <w:rsid w:val="0080146E"/>
    <w:rsid w:val="00803D91"/>
    <w:rsid w:val="0081618F"/>
    <w:rsid w:val="00822BD6"/>
    <w:rsid w:val="0082672A"/>
    <w:rsid w:val="008328C2"/>
    <w:rsid w:val="0084662D"/>
    <w:rsid w:val="00854004"/>
    <w:rsid w:val="0086040F"/>
    <w:rsid w:val="00880FC4"/>
    <w:rsid w:val="008B47B8"/>
    <w:rsid w:val="008C1D0E"/>
    <w:rsid w:val="008D13EA"/>
    <w:rsid w:val="008D66DD"/>
    <w:rsid w:val="008E2265"/>
    <w:rsid w:val="00905937"/>
    <w:rsid w:val="009478D9"/>
    <w:rsid w:val="009900EE"/>
    <w:rsid w:val="00990AE4"/>
    <w:rsid w:val="00997BB5"/>
    <w:rsid w:val="009A0BFF"/>
    <w:rsid w:val="009B4B8D"/>
    <w:rsid w:val="009D4444"/>
    <w:rsid w:val="00A025F1"/>
    <w:rsid w:val="00A04EF8"/>
    <w:rsid w:val="00A17E32"/>
    <w:rsid w:val="00A35071"/>
    <w:rsid w:val="00A36119"/>
    <w:rsid w:val="00A44A6C"/>
    <w:rsid w:val="00A71887"/>
    <w:rsid w:val="00A83CC2"/>
    <w:rsid w:val="00A8567B"/>
    <w:rsid w:val="00A860A0"/>
    <w:rsid w:val="00AC63E6"/>
    <w:rsid w:val="00AF7782"/>
    <w:rsid w:val="00B01B7E"/>
    <w:rsid w:val="00B102BD"/>
    <w:rsid w:val="00B650AC"/>
    <w:rsid w:val="00BB3EE8"/>
    <w:rsid w:val="00BB5B5A"/>
    <w:rsid w:val="00BC1881"/>
    <w:rsid w:val="00BE4C86"/>
    <w:rsid w:val="00BE6811"/>
    <w:rsid w:val="00C0730D"/>
    <w:rsid w:val="00C21305"/>
    <w:rsid w:val="00C33351"/>
    <w:rsid w:val="00C33667"/>
    <w:rsid w:val="00C50F3E"/>
    <w:rsid w:val="00C63EDF"/>
    <w:rsid w:val="00C7268F"/>
    <w:rsid w:val="00C931DF"/>
    <w:rsid w:val="00CA4D3E"/>
    <w:rsid w:val="00CB32F5"/>
    <w:rsid w:val="00CF70BF"/>
    <w:rsid w:val="00D064B1"/>
    <w:rsid w:val="00D44B54"/>
    <w:rsid w:val="00D743F3"/>
    <w:rsid w:val="00D82513"/>
    <w:rsid w:val="00DC13E8"/>
    <w:rsid w:val="00DE4790"/>
    <w:rsid w:val="00DF4636"/>
    <w:rsid w:val="00DF4BB6"/>
    <w:rsid w:val="00E470C2"/>
    <w:rsid w:val="00E90303"/>
    <w:rsid w:val="00E9327D"/>
    <w:rsid w:val="00EE241D"/>
    <w:rsid w:val="00EE6DA8"/>
    <w:rsid w:val="00F14245"/>
    <w:rsid w:val="00F435F9"/>
    <w:rsid w:val="00F46CA0"/>
    <w:rsid w:val="00F54506"/>
    <w:rsid w:val="00F56194"/>
    <w:rsid w:val="00F83F9C"/>
    <w:rsid w:val="00F95168"/>
    <w:rsid w:val="00FA0D44"/>
    <w:rsid w:val="00FC574D"/>
    <w:rsid w:val="00FC7ACF"/>
    <w:rsid w:val="00FD4854"/>
    <w:rsid w:val="08C808C1"/>
    <w:rsid w:val="092F7EC0"/>
    <w:rsid w:val="0B55365C"/>
    <w:rsid w:val="116E602C"/>
    <w:rsid w:val="117F2C6F"/>
    <w:rsid w:val="12EC48DB"/>
    <w:rsid w:val="139D36AF"/>
    <w:rsid w:val="153A40D6"/>
    <w:rsid w:val="15883A60"/>
    <w:rsid w:val="161C14DA"/>
    <w:rsid w:val="17353237"/>
    <w:rsid w:val="18D63375"/>
    <w:rsid w:val="1ECB56F7"/>
    <w:rsid w:val="20720540"/>
    <w:rsid w:val="237431B7"/>
    <w:rsid w:val="2B111DED"/>
    <w:rsid w:val="2D1203B7"/>
    <w:rsid w:val="2D782FCB"/>
    <w:rsid w:val="2E353DFF"/>
    <w:rsid w:val="2F4335DC"/>
    <w:rsid w:val="2FDD757B"/>
    <w:rsid w:val="36F71AE2"/>
    <w:rsid w:val="374953E8"/>
    <w:rsid w:val="39A2026C"/>
    <w:rsid w:val="39C44B4D"/>
    <w:rsid w:val="3AF93AA5"/>
    <w:rsid w:val="3B444BAB"/>
    <w:rsid w:val="3E0F2786"/>
    <w:rsid w:val="42637830"/>
    <w:rsid w:val="42C8165A"/>
    <w:rsid w:val="42FD36E9"/>
    <w:rsid w:val="442370E9"/>
    <w:rsid w:val="462514F4"/>
    <w:rsid w:val="483B1CF7"/>
    <w:rsid w:val="4DDF6EF1"/>
    <w:rsid w:val="4FFFCAFE"/>
    <w:rsid w:val="561F4BDA"/>
    <w:rsid w:val="566F654E"/>
    <w:rsid w:val="5A33385C"/>
    <w:rsid w:val="5CAF40AC"/>
    <w:rsid w:val="5CB13D29"/>
    <w:rsid w:val="5D1B08E5"/>
    <w:rsid w:val="5F933795"/>
    <w:rsid w:val="5FD643C6"/>
    <w:rsid w:val="6105122B"/>
    <w:rsid w:val="6780210D"/>
    <w:rsid w:val="67A47C25"/>
    <w:rsid w:val="6A920273"/>
    <w:rsid w:val="6B887715"/>
    <w:rsid w:val="6C744235"/>
    <w:rsid w:val="6D416D73"/>
    <w:rsid w:val="6FA63DA2"/>
    <w:rsid w:val="70380F99"/>
    <w:rsid w:val="71365500"/>
    <w:rsid w:val="71FA7B65"/>
    <w:rsid w:val="72CE65AE"/>
    <w:rsid w:val="79DBA059"/>
    <w:rsid w:val="7A444920"/>
    <w:rsid w:val="7BD5BBAD"/>
    <w:rsid w:val="7FA178CD"/>
    <w:rsid w:val="7FE67E71"/>
    <w:rsid w:val="7FFF9C4C"/>
    <w:rsid w:val="A67CD593"/>
    <w:rsid w:val="AFBB2423"/>
    <w:rsid w:val="B76F28A5"/>
    <w:rsid w:val="B9FDE687"/>
    <w:rsid w:val="BDFF8A21"/>
    <w:rsid w:val="D4FFF143"/>
    <w:rsid w:val="D7BF1A25"/>
    <w:rsid w:val="F1EEB0D9"/>
    <w:rsid w:val="FF7E23B7"/>
    <w:rsid w:val="FFD9AE20"/>
    <w:rsid w:val="FFDD8E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unhideWhenUsed/>
    <w:qFormat/>
    <w:uiPriority w:val="99"/>
    <w:pPr>
      <w:jc w:val="left"/>
    </w:pPr>
    <w:rPr>
      <w:szCs w:val="22"/>
    </w:rPr>
  </w:style>
  <w:style w:type="paragraph" w:styleId="4">
    <w:name w:val="Date"/>
    <w:basedOn w:val="1"/>
    <w:next w:val="1"/>
    <w:link w:val="15"/>
    <w:qFormat/>
    <w:uiPriority w:val="0"/>
    <w:pPr>
      <w:ind w:left="100" w:leftChars="2500"/>
    </w:pPr>
  </w:style>
  <w:style w:type="paragraph" w:styleId="5">
    <w:name w:val="Balloon Text"/>
    <w:basedOn w:val="1"/>
    <w:link w:val="1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99"/>
    <w:pPr>
      <w:spacing w:beforeAutospacing="1" w:afterAutospacing="1"/>
      <w:jc w:val="left"/>
    </w:pPr>
    <w:rPr>
      <w:kern w:val="0"/>
      <w:sz w:val="24"/>
    </w:rPr>
  </w:style>
  <w:style w:type="paragraph" w:styleId="9">
    <w:name w:val="annotation subject"/>
    <w:basedOn w:val="3"/>
    <w:next w:val="3"/>
    <w:link w:val="19"/>
    <w:semiHidden/>
    <w:unhideWhenUsed/>
    <w:qFormat/>
    <w:uiPriority w:val="0"/>
    <w:rPr>
      <w:b/>
      <w:bCs/>
      <w:szCs w:val="24"/>
    </w:rPr>
  </w:style>
  <w:style w:type="table" w:styleId="11">
    <w:name w:val="Table Grid"/>
    <w:basedOn w:val="10"/>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unhideWhenUsed/>
    <w:qFormat/>
    <w:uiPriority w:val="99"/>
    <w:rPr>
      <w:color w:val="0000FF"/>
      <w:u w:val="single"/>
    </w:rPr>
  </w:style>
  <w:style w:type="character" w:styleId="14">
    <w:name w:val="annotation reference"/>
    <w:basedOn w:val="12"/>
    <w:unhideWhenUsed/>
    <w:qFormat/>
    <w:uiPriority w:val="99"/>
    <w:rPr>
      <w:sz w:val="21"/>
      <w:szCs w:val="21"/>
    </w:rPr>
  </w:style>
  <w:style w:type="character" w:customStyle="1" w:styleId="15">
    <w:name w:val="日期 Char"/>
    <w:basedOn w:val="12"/>
    <w:link w:val="4"/>
    <w:qFormat/>
    <w:uiPriority w:val="0"/>
    <w:rPr>
      <w:rFonts w:ascii="Calibri" w:hAnsi="Calibri"/>
      <w:kern w:val="2"/>
      <w:sz w:val="21"/>
      <w:szCs w:val="24"/>
    </w:rPr>
  </w:style>
  <w:style w:type="character" w:customStyle="1" w:styleId="16">
    <w:name w:val="批注文字 Char"/>
    <w:basedOn w:val="12"/>
    <w:link w:val="3"/>
    <w:qFormat/>
    <w:uiPriority w:val="99"/>
    <w:rPr>
      <w:rFonts w:ascii="Calibri" w:hAnsi="Calibri"/>
      <w:kern w:val="2"/>
      <w:sz w:val="21"/>
      <w:szCs w:val="22"/>
    </w:rPr>
  </w:style>
  <w:style w:type="character" w:customStyle="1" w:styleId="17">
    <w:name w:val="批注框文本 Char"/>
    <w:basedOn w:val="12"/>
    <w:link w:val="5"/>
    <w:qFormat/>
    <w:uiPriority w:val="0"/>
    <w:rPr>
      <w:rFonts w:ascii="Calibri" w:hAnsi="Calibri"/>
      <w:kern w:val="2"/>
      <w:sz w:val="18"/>
      <w:szCs w:val="18"/>
    </w:rPr>
  </w:style>
  <w:style w:type="paragraph" w:styleId="18">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19">
    <w:name w:val="批注主题 Char"/>
    <w:basedOn w:val="16"/>
    <w:link w:val="9"/>
    <w:semiHidden/>
    <w:qFormat/>
    <w:uiPriority w:val="0"/>
    <w:rPr>
      <w:rFonts w:ascii="Calibri" w:hAnsi="Calibri"/>
      <w:b/>
      <w:bCs/>
      <w:kern w:val="2"/>
      <w:sz w:val="21"/>
      <w:szCs w:val="24"/>
    </w:rPr>
  </w:style>
  <w:style w:type="paragraph" w:customStyle="1" w:styleId="20">
    <w:name w:val="Revision"/>
    <w:hidden/>
    <w:semiHidden/>
    <w:qFormat/>
    <w:uiPriority w:val="99"/>
    <w:rPr>
      <w:rFonts w:ascii="Calibri" w:hAnsi="Calibri" w:eastAsia="宋体" w:cs="Times New Roman"/>
      <w:kern w:val="2"/>
      <w:sz w:val="21"/>
      <w:szCs w:val="24"/>
      <w:lang w:val="en-US" w:eastAsia="zh-CN" w:bidi="ar-SA"/>
    </w:rPr>
  </w:style>
  <w:style w:type="character" w:customStyle="1" w:styleId="21">
    <w:name w:val="标题 2 Char"/>
    <w:basedOn w:val="12"/>
    <w:link w:val="2"/>
    <w:qFormat/>
    <w:uiPriority w:val="9"/>
    <w:rPr>
      <w:rFonts w:ascii="宋体" w:hAnsi="宋体" w:cs="宋体"/>
      <w:b/>
      <w:bCs/>
      <w:sz w:val="36"/>
      <w:szCs w:val="36"/>
    </w:rPr>
  </w:style>
  <w:style w:type="character" w:customStyle="1" w:styleId="22">
    <w:name w:val="bgchighlight-anchor"/>
    <w:basedOn w:val="12"/>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00a421fd-9010-4923-9160-9558d5c038d8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6A8300A7</paraID>
      <start>0</start>
      <end>2</end>
      <status>ignored</status>
      <modifiedWord/>
      <trackRevisions>false</trackRevisions>
    </reviewItem>
    <reviewItem>
      <errorID>6f0184f0-da06-4334-92cd-1a2835139cb7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6A8300A7</paraID>
      <start>0</start>
      <end>2</end>
      <status>ignored</status>
      <modifiedWord/>
      <trackRevisions>false</trackRevisions>
    </reviewItem>
    <reviewItem>
      <errorID>4d53e949-7202-44aa-898e-4cf3d427244f</errorID>
      <errorWord>国家发改委</errorWord>
      <group>L1_Knowledge</group>
      <groupName>知识性问题</groupName>
      <ability>L2_Knowledge</ability>
      <abilityName>其他知识</abilityName>
      <candidateList>
        <item>国家发展改革委</item>
      </candidateList>
      <explain/>
      <paraID>54BF4459</paraID>
      <start>36</start>
      <end>41</end>
      <status>ignored</status>
      <modifiedWord/>
      <trackRevisions>false</trackRevisions>
    </reviewItem>
    <reviewItem>
      <errorID>586d507d-de90-4905-aad3-e27b179bde21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6A8300A7</paraID>
      <start>0</start>
      <end>2</end>
      <status>ignored</status>
      <modifiedWord/>
      <trackRevisions>false</trackRevisions>
    </reviewItem>
    <reviewItem>
      <errorID>2deba28c-e1b5-449c-a355-74aa335edef6</errorID>
      <errorWord>国家发改委</errorWord>
      <group>L1_Knowledge</group>
      <groupName>知识性问题</groupName>
      <ability>L2_Knowledge</ability>
      <abilityName>其他知识</abilityName>
      <candidateList>
        <item>国家发展改革委</item>
      </candidateList>
      <explain/>
      <paraID>46185385</paraID>
      <start>64</start>
      <end>69</end>
      <status>ignored</status>
      <modifiedWord/>
      <trackRevisions>false</trackRevisions>
    </reviewItem>
    <reviewItem>
      <errorID>5440c1c2-2d99-441a-8c37-e27bcf109b41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490B61CC</paraID>
      <start>0</start>
      <end>2</end>
      <status>ignored</status>
      <modifiedWord/>
      <trackRevisions>false</trackRevisions>
    </reviewItem>
    <reviewItem>
      <errorID>9a15c771-e941-480f-8da3-96221c31c131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48279450</paraID>
      <start>0</start>
      <end>2</end>
      <status>ignored</status>
      <modifiedWord/>
      <trackRevisions>false</trackRevisions>
    </reviewItem>
    <reviewItem>
      <errorID>cbbb6abf-eee3-4335-a35a-a49cbac19511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38B10425</paraID>
      <start>0</start>
      <end>2</end>
      <status>ignored</status>
      <modifiedWord/>
      <trackRevisions>false</trackRevisions>
    </reviewItem>
    <reviewItem>
      <errorID>f45b9d20-e7d2-4a8d-92b7-6eaad01ccce7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483E3A84</paraID>
      <start>0</start>
      <end>2</end>
      <status>ignored</status>
      <modifiedWord/>
      <trackRevisions>false</trackRevisions>
    </reviewItem>
    <reviewItem>
      <errorID>08056288-d260-4576-b8f2-b580b4be50d4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26CDFC99</paraID>
      <start>0</start>
      <end>2</end>
      <status>ignored</status>
      <modifiedWord/>
      <trackRevisions>false</trackRevisions>
    </reviewItem>
    <reviewItem>
      <errorID>d7060804-49d8-42e6-8dc0-d7b4d4c0d018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720BACC3</paraID>
      <start>0</start>
      <end>3</end>
      <status>ignored</status>
      <modifiedWord/>
      <trackRevisions>false</trackRevisions>
    </reviewItem>
    <reviewItem>
      <errorID>ffff401d-41b1-4269-828f-3e25900c99af</errorID>
      <errorWord>是否是</errorWord>
      <group>L1_Word</group>
      <groupName>字词问题</groupName>
      <ability>L2_Typo</ability>
      <abilityName>字词错误</abilityName>
      <candidateList>
        <item>是不是</item>
      </candidateList>
      <explain/>
      <paraID>720BACC3</paraID>
      <start>29</start>
      <end>32</end>
      <status>ignored</status>
      <modifiedWord/>
      <trackRevisions>false</trackRevisions>
    </reviewItem>
    <reviewItem>
      <errorID>4f9ea85d-62dc-404c-8bb1-3f5dcc976760</errorID>
      <errorWord>国内竞争力</errorWord>
      <group>L1_Political</group>
      <groupName>政治性问题</groupName>
      <ability>L2_Keyword</ability>
      <abilityName>固定表述</abilityName>
      <candidateList>
        <item>国际竞争力</item>
      </candidateList>
      <explain>词汇“国际竞争力”在特定场景下为固定表述形式，请确认此处的“国内竞争力”是否存在不当。</explain>
      <paraID>720BACC3</paraID>
      <start>55</start>
      <end>60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e7f024-c57d-48e8-af4d-ddc60ea53cad}">
  <ds:schemaRefs/>
</ds:datastoreItem>
</file>

<file path=docProps/app.xml><?xml version="1.0" encoding="utf-8"?>
<Properties xmlns="http://schemas.openxmlformats.org/officeDocument/2006/extended-properties" xmlns:vt="http://schemas.openxmlformats.org/officeDocument/2006/docPropsVTypes">
  <Template>Normal</Template>
  <Pages>5</Pages>
  <Words>2749</Words>
  <Characters>2961</Characters>
  <Lines>2</Lines>
  <Paragraphs>1</Paragraphs>
  <TotalTime>6</TotalTime>
  <ScaleCrop>false</ScaleCrop>
  <LinksUpToDate>false</LinksUpToDate>
  <CharactersWithSpaces>3085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2025-12-03T15:08:00Z</dcterms:created>
  <dc:creator>夜火</dc:creator>
  <cp:lastModifiedBy>zlz</cp:lastModifiedBy>
  <cp:lastPrinted>2026-09-02T08:33:39Z</cp:lastPrinted>
  <dcterms:modified xsi:type="dcterms:W3CDTF">2026-09-02T08:40:26Z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294634EDF14645C99FF75C50DF78EFBB</vt:lpwstr>
  </property>
  <property fmtid="{D5CDD505-2E9C-101B-9397-08002B2CF9AE}" pid="4" name="KSOTemplateDocerSaveRecord">
    <vt:lpwstr>eyJoZGlkIjoiNWRjNTQwM2NmYzQ5NjYwZGNmMmE3MDk1ZmM4NzAzOGUiLCJ1c2VySWQiOiIxNDI1NTE5NjIwIn0=</vt:lpwstr>
  </property>
</Properties>
</file>