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0699D">
      <w:pPr>
        <w:spacing w:before="156" w:beforeLines="50" w:after="156" w:afterLines="50" w:line="400" w:lineRule="exact"/>
        <w:rPr>
          <w:rFonts w:hint="eastAsia"/>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603019                             </w:t>
      </w:r>
      <w:r>
        <w:rPr>
          <w:rFonts w:hAnsi="宋体"/>
          <w:bCs/>
          <w:iCs/>
          <w:color w:val="000000"/>
          <w:sz w:val="24"/>
        </w:rPr>
        <w:t>证券简称：</w:t>
      </w:r>
      <w:r>
        <w:rPr>
          <w:color w:val="000000"/>
          <w:sz w:val="24"/>
        </w:rPr>
        <w:t>中科曙光</w:t>
      </w:r>
    </w:p>
    <w:p w14:paraId="63825AB0">
      <w:pPr>
        <w:spacing w:before="156" w:beforeLines="50" w:after="156" w:afterLines="50" w:line="400" w:lineRule="exact"/>
        <w:jc w:val="center"/>
        <w:rPr>
          <w:rFonts w:hint="default" w:ascii="宋体" w:hAnsi="宋体"/>
          <w:b/>
          <w:bCs/>
          <w:iCs/>
          <w:color w:val="000000"/>
          <w:sz w:val="32"/>
          <w:szCs w:val="32"/>
        </w:rPr>
      </w:pPr>
    </w:p>
    <w:p w14:paraId="184AD900">
      <w:pPr>
        <w:spacing w:before="156" w:beforeLines="50" w:after="156" w:afterLines="50" w:line="400" w:lineRule="exact"/>
        <w:jc w:val="center"/>
        <w:rPr>
          <w:rFonts w:hint="default" w:ascii="宋体" w:hAnsi="宋体"/>
          <w:b/>
          <w:bCs/>
          <w:iCs/>
          <w:color w:val="000000"/>
          <w:sz w:val="32"/>
          <w:szCs w:val="32"/>
        </w:rPr>
      </w:pPr>
      <w:r>
        <w:rPr>
          <w:rFonts w:hint="default" w:ascii="宋体" w:hAnsi="宋体"/>
          <w:b/>
          <w:bCs/>
          <w:iCs/>
          <w:color w:val="000000"/>
          <w:sz w:val="32"/>
          <w:szCs w:val="32"/>
        </w:rPr>
        <w:t>曙光信息产业股份有限公司</w:t>
      </w:r>
    </w:p>
    <w:p w14:paraId="5786A1A5">
      <w:pPr>
        <w:spacing w:before="156" w:beforeLines="50" w:after="156" w:afterLines="50" w:line="400" w:lineRule="exact"/>
        <w:jc w:val="center"/>
        <w:rPr>
          <w:rFonts w:hint="eastAsia" w:ascii="宋体" w:hAnsi="宋体"/>
          <w:b/>
          <w:bCs/>
          <w:iCs/>
          <w:color w:val="000000"/>
          <w:sz w:val="32"/>
          <w:szCs w:val="32"/>
        </w:rPr>
      </w:pPr>
      <w:r>
        <w:rPr>
          <w:rFonts w:hint="eastAsia" w:ascii="宋体" w:hAnsi="宋体"/>
          <w:b/>
          <w:bCs/>
          <w:iCs/>
          <w:color w:val="000000"/>
          <w:sz w:val="32"/>
          <w:szCs w:val="32"/>
        </w:rPr>
        <w:t>投资者关系活动记录表</w:t>
      </w:r>
    </w:p>
    <w:p w14:paraId="4760EF1B">
      <w:pPr>
        <w:spacing w:before="51" w:after="32"/>
        <w:ind w:right="619"/>
        <w:jc w:val="right"/>
        <w:rPr>
          <w:rFonts w:hint="default" w:eastAsia="宋体"/>
          <w:bCs/>
          <w:iCs/>
          <w:color w:val="000000"/>
          <w:sz w:val="24"/>
          <w:lang w:val="en-US" w:eastAsia="zh-CN"/>
        </w:rPr>
      </w:pPr>
      <w:r>
        <w:rPr>
          <w:rFonts w:hint="eastAsia" w:ascii="宋体" w:hAnsi="宋体"/>
          <w:bCs/>
          <w:iCs/>
          <w:color w:val="000000"/>
          <w:sz w:val="24"/>
        </w:rPr>
        <w:t xml:space="preserve">                                           </w:t>
      </w:r>
      <w:r>
        <w:rPr>
          <w:rFonts w:hint="eastAsia" w:ascii="宋体" w:hAnsi="宋体" w:eastAsia="宋体" w:cs="宋体"/>
          <w:sz w:val="24"/>
          <w:szCs w:val="24"/>
        </w:rPr>
        <w:t>编号：</w:t>
      </w:r>
      <w:r>
        <w:rPr>
          <w:rFonts w:hint="eastAsia" w:ascii="宋体" w:hAnsi="宋体" w:cs="宋体"/>
          <w:sz w:val="24"/>
          <w:szCs w:val="24"/>
          <w:lang w:val="en-US" w:eastAsia="zh-CN"/>
        </w:rPr>
        <w:t>2026-003</w:t>
      </w:r>
    </w:p>
    <w:tbl>
      <w:tblPr>
        <w:tblStyle w:val="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7188"/>
      </w:tblGrid>
      <w:tr w14:paraId="3ACF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top"/>
          </w:tcPr>
          <w:p w14:paraId="6345EFD7">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投资者关系活动类别</w:t>
            </w:r>
          </w:p>
          <w:p w14:paraId="3FB2C462">
            <w:pPr>
              <w:spacing w:line="420" w:lineRule="exact"/>
              <w:rPr>
                <w:rFonts w:hint="eastAsia" w:ascii="宋体" w:hAnsi="宋体" w:eastAsia="宋体" w:cs="宋体"/>
                <w:bCs/>
                <w:iCs/>
                <w:color w:val="000000"/>
                <w:sz w:val="24"/>
                <w:szCs w:val="24"/>
              </w:rPr>
            </w:pPr>
          </w:p>
        </w:tc>
        <w:tc>
          <w:tcPr>
            <w:tcW w:w="7188" w:type="dxa"/>
            <w:tcBorders>
              <w:top w:val="single" w:color="auto" w:sz="4" w:space="0"/>
              <w:left w:val="single" w:color="auto" w:sz="4" w:space="0"/>
              <w:bottom w:val="single" w:color="auto" w:sz="4" w:space="0"/>
              <w:right w:val="single" w:color="auto" w:sz="4" w:space="0"/>
            </w:tcBorders>
            <w:noWrap w:val="0"/>
            <w:vAlign w:val="top"/>
          </w:tcPr>
          <w:p w14:paraId="68F611BC">
            <w:pPr>
              <w:spacing w:line="420" w:lineRule="exact"/>
              <w:rPr>
                <w:rFonts w:hint="eastAsia" w:ascii="宋体" w:hAnsi="宋体" w:eastAsia="宋体" w:cs="宋体"/>
                <w:bCs/>
                <w:iCs/>
                <w:color w:val="000000"/>
                <w:sz w:val="24"/>
                <w:szCs w:val="24"/>
              </w:rPr>
            </w:pPr>
            <w:r>
              <w:rPr>
                <w:rFonts w:hint="eastAsia" w:ascii="宋体" w:hAnsi="宋体" w:eastAsia="宋体" w:cs="宋体"/>
                <w:bCs/>
                <w:iCs/>
                <w:color w:val="000000"/>
                <w:kern w:val="0"/>
                <w:sz w:val="24"/>
                <w:szCs w:val="24"/>
              </w:rPr>
              <w:t>□</w:t>
            </w:r>
            <w:r>
              <w:rPr>
                <w:rFonts w:hint="eastAsia" w:ascii="宋体" w:hAnsi="宋体" w:cs="宋体"/>
                <w:bCs/>
                <w:iCs/>
                <w:color w:val="000000"/>
                <w:kern w:val="0"/>
                <w:sz w:val="24"/>
                <w:szCs w:val="24"/>
                <w:lang w:val="en-US" w:eastAsia="zh-CN"/>
              </w:rPr>
              <w:t xml:space="preserve"> </w:t>
            </w:r>
            <w:r>
              <w:rPr>
                <w:rFonts w:hint="eastAsia" w:ascii="宋体" w:hAnsi="宋体" w:eastAsia="宋体" w:cs="宋体"/>
                <w:kern w:val="0"/>
                <w:sz w:val="24"/>
                <w:szCs w:val="24"/>
              </w:rPr>
              <w:t xml:space="preserve">特定对象调研        </w:t>
            </w:r>
            <w:r>
              <w:rPr>
                <w:rFonts w:hint="eastAsia" w:ascii="宋体" w:hAnsi="宋体" w:cs="宋体"/>
                <w:bCs/>
                <w:iCs/>
                <w:color w:val="000000"/>
                <w:kern w:val="0"/>
                <w:sz w:val="24"/>
                <w:szCs w:val="24"/>
                <w:lang w:eastAsia="zh-CN"/>
              </w:rPr>
              <w:t>□</w:t>
            </w: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分析师会议</w:t>
            </w:r>
          </w:p>
          <w:p w14:paraId="12732A2D">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 xml:space="preserve">媒体采访            </w:t>
            </w: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业绩说明会</w:t>
            </w:r>
          </w:p>
          <w:p w14:paraId="3DC922E2">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 xml:space="preserve">新闻发布会          </w:t>
            </w: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路演活动</w:t>
            </w:r>
          </w:p>
          <w:p w14:paraId="5475F58C">
            <w:pPr>
              <w:tabs>
                <w:tab w:val="left" w:pos="3045"/>
                <w:tab w:val="center" w:pos="3199"/>
              </w:tabs>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现场参观</w:t>
            </w:r>
            <w:r>
              <w:rPr>
                <w:rFonts w:hint="eastAsia" w:ascii="宋体" w:hAnsi="宋体" w:eastAsia="宋体" w:cs="宋体"/>
                <w:bCs/>
                <w:iCs/>
                <w:color w:val="000000"/>
                <w:kern w:val="0"/>
                <w:sz w:val="24"/>
                <w:szCs w:val="24"/>
              </w:rPr>
              <w:tab/>
            </w:r>
          </w:p>
          <w:p w14:paraId="7C265E1A">
            <w:pPr>
              <w:tabs>
                <w:tab w:val="center" w:pos="3199"/>
              </w:tabs>
              <w:spacing w:line="420" w:lineRule="exact"/>
              <w:rPr>
                <w:rFonts w:hint="eastAsia" w:ascii="宋体" w:hAnsi="宋体" w:eastAsia="宋体" w:cs="宋体"/>
                <w:bCs/>
                <w:iCs/>
                <w:color w:val="000000"/>
                <w:sz w:val="24"/>
                <w:szCs w:val="24"/>
              </w:rPr>
            </w:pPr>
            <w:r>
              <w:rPr>
                <w:rFonts w:hint="eastAsia" w:ascii="宋体" w:hAnsi="宋体" w:eastAsia="宋体" w:cs="宋体"/>
                <w:bCs/>
                <w:iCs/>
                <w:color w:val="000000"/>
                <w:kern w:val="0"/>
                <w:sz w:val="24"/>
                <w:szCs w:val="24"/>
              </w:rPr>
              <w:t xml:space="preserve">□ </w:t>
            </w:r>
            <w:r>
              <w:rPr>
                <w:rFonts w:hint="eastAsia" w:ascii="宋体" w:hAnsi="宋体" w:eastAsia="宋体" w:cs="宋体"/>
                <w:kern w:val="0"/>
                <w:sz w:val="24"/>
                <w:szCs w:val="24"/>
              </w:rPr>
              <w:t>其他 （</w:t>
            </w:r>
            <w:r>
              <w:rPr>
                <w:rFonts w:hint="eastAsia" w:ascii="宋体" w:hAnsi="宋体" w:eastAsia="宋体" w:cs="宋体"/>
                <w:kern w:val="0"/>
                <w:sz w:val="24"/>
                <w:szCs w:val="24"/>
                <w:u w:val="single"/>
              </w:rPr>
              <w:t>请文字说明其他活动内容）</w:t>
            </w:r>
          </w:p>
        </w:tc>
      </w:tr>
      <w:tr w14:paraId="1EB0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top"/>
          </w:tcPr>
          <w:p w14:paraId="5DBC2258">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参与单位名称及人员姓名</w:t>
            </w:r>
          </w:p>
        </w:tc>
        <w:tc>
          <w:tcPr>
            <w:tcW w:w="7188" w:type="dxa"/>
            <w:tcBorders>
              <w:top w:val="single" w:color="auto" w:sz="4" w:space="0"/>
              <w:left w:val="single" w:color="auto" w:sz="4" w:space="0"/>
              <w:bottom w:val="single" w:color="auto" w:sz="4" w:space="0"/>
              <w:right w:val="single" w:color="auto" w:sz="4" w:space="0"/>
            </w:tcBorders>
            <w:noWrap w:val="0"/>
            <w:vAlign w:val="top"/>
          </w:tcPr>
          <w:p w14:paraId="6350242E">
            <w:pPr>
              <w:spacing w:line="420" w:lineRule="exact"/>
              <w:rPr>
                <w:rFonts w:hint="eastAsia" w:ascii="宋体" w:hAnsi="宋体" w:eastAsia="宋体" w:cs="宋体"/>
                <w:bCs/>
                <w:iCs/>
                <w:color w:val="000000"/>
                <w:sz w:val="24"/>
                <w:szCs w:val="24"/>
                <w:lang w:val="en-GB"/>
              </w:rPr>
            </w:pPr>
            <w:r>
              <w:rPr>
                <w:rFonts w:hint="eastAsia" w:ascii="宋体" w:hAnsi="宋体" w:eastAsia="宋体" w:cs="宋体"/>
                <w:bCs/>
                <w:iCs/>
                <w:color w:val="000000"/>
                <w:sz w:val="24"/>
                <w:szCs w:val="24"/>
                <w:lang w:val="en-GB"/>
              </w:rPr>
              <w:t>投资者网上提问</w:t>
            </w:r>
          </w:p>
        </w:tc>
      </w:tr>
      <w:tr w14:paraId="24F7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top"/>
          </w:tcPr>
          <w:p w14:paraId="260FE8A9">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时间</w:t>
            </w:r>
          </w:p>
        </w:tc>
        <w:tc>
          <w:tcPr>
            <w:tcW w:w="7188" w:type="dxa"/>
            <w:tcBorders>
              <w:top w:val="single" w:color="auto" w:sz="4" w:space="0"/>
              <w:left w:val="single" w:color="auto" w:sz="4" w:space="0"/>
              <w:bottom w:val="single" w:color="auto" w:sz="4" w:space="0"/>
              <w:right w:val="single" w:color="auto" w:sz="4" w:space="0"/>
            </w:tcBorders>
            <w:noWrap w:val="0"/>
            <w:vAlign w:val="top"/>
          </w:tcPr>
          <w:p w14:paraId="4063C8D9">
            <w:pPr>
              <w:spacing w:line="420" w:lineRule="exact"/>
              <w:rPr>
                <w:rFonts w:hint="eastAsia" w:ascii="宋体" w:hAnsi="宋体" w:eastAsia="宋体" w:cs="宋体"/>
                <w:bCs/>
                <w:iCs/>
                <w:color w:val="000000"/>
                <w:sz w:val="24"/>
                <w:szCs w:val="24"/>
              </w:rPr>
            </w:pPr>
            <w:r>
              <w:rPr>
                <w:rFonts w:hint="eastAsia" w:ascii="宋体" w:hAnsi="宋体" w:eastAsia="宋体" w:cs="宋体"/>
                <w:bCs/>
                <w:iCs/>
                <w:color w:val="000000"/>
                <w:sz w:val="24"/>
                <w:szCs w:val="24"/>
              </w:rPr>
              <w:t xml:space="preserve">2026年9月3日 (周四) 下午 </w:t>
            </w:r>
            <w:r>
              <w:rPr>
                <w:rFonts w:hint="eastAsia" w:ascii="宋体" w:hAnsi="宋体" w:eastAsia="宋体" w:cs="宋体"/>
                <w:bCs/>
                <w:iCs/>
                <w:color w:val="000000"/>
                <w:sz w:val="24"/>
                <w:szCs w:val="24"/>
                <w:lang w:val="en-US" w:eastAsia="zh-CN"/>
              </w:rPr>
              <w:t>15:0</w:t>
            </w:r>
            <w:r>
              <w:rPr>
                <w:rFonts w:hint="eastAsia" w:ascii="宋体" w:hAnsi="宋体" w:eastAsia="宋体" w:cs="宋体"/>
                <w:bCs/>
                <w:iCs/>
                <w:color w:val="000000"/>
                <w:sz w:val="24"/>
                <w:szCs w:val="24"/>
              </w:rPr>
              <w:t>0~17:00</w:t>
            </w:r>
          </w:p>
        </w:tc>
      </w:tr>
      <w:tr w14:paraId="70B8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top"/>
          </w:tcPr>
          <w:p w14:paraId="46E7866D">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地点</w:t>
            </w:r>
          </w:p>
        </w:tc>
        <w:tc>
          <w:tcPr>
            <w:tcW w:w="7188" w:type="dxa"/>
            <w:tcBorders>
              <w:top w:val="single" w:color="auto" w:sz="4" w:space="0"/>
              <w:left w:val="single" w:color="auto" w:sz="4" w:space="0"/>
              <w:bottom w:val="single" w:color="auto" w:sz="4" w:space="0"/>
              <w:right w:val="single" w:color="auto" w:sz="4" w:space="0"/>
            </w:tcBorders>
            <w:noWrap w:val="0"/>
            <w:vAlign w:val="top"/>
          </w:tcPr>
          <w:p w14:paraId="35323BBE">
            <w:pPr>
              <w:spacing w:line="420" w:lineRule="exact"/>
              <w:rPr>
                <w:rFonts w:hint="eastAsia" w:ascii="宋体" w:hAnsi="宋体" w:eastAsia="宋体" w:cs="宋体"/>
                <w:bCs/>
                <w:iCs/>
                <w:color w:val="000000"/>
                <w:sz w:val="24"/>
                <w:szCs w:val="24"/>
              </w:rPr>
            </w:pPr>
            <w:r>
              <w:rPr>
                <w:rFonts w:hint="eastAsia" w:ascii="宋体" w:hAnsi="宋体" w:eastAsia="宋体" w:cs="宋体"/>
                <w:sz w:val="24"/>
                <w:szCs w:val="24"/>
              </w:rPr>
              <w:t>公司通过</w:t>
            </w:r>
            <w:r>
              <w:rPr>
                <w:rFonts w:hint="eastAsia" w:ascii="宋体" w:hAnsi="宋体" w:eastAsia="宋体" w:cs="宋体"/>
                <w:bCs/>
                <w:sz w:val="24"/>
                <w:szCs w:val="24"/>
              </w:rPr>
              <w:t>全景网“</w:t>
            </w:r>
            <w:r>
              <w:rPr>
                <w:rFonts w:hint="eastAsia" w:ascii="宋体" w:hAnsi="宋体" w:eastAsia="宋体" w:cs="宋体"/>
                <w:sz w:val="24"/>
                <w:szCs w:val="24"/>
              </w:rPr>
              <w:t>投资者关系互动平台</w:t>
            </w:r>
            <w:r>
              <w:rPr>
                <w:rFonts w:hint="eastAsia" w:ascii="宋体" w:hAnsi="宋体" w:eastAsia="宋体" w:cs="宋体"/>
                <w:bCs/>
                <w:sz w:val="24"/>
                <w:szCs w:val="24"/>
              </w:rPr>
              <w:t>”（https://</w:t>
            </w:r>
            <w:r>
              <w:rPr>
                <w:rFonts w:hint="eastAsia" w:ascii="宋体" w:hAnsi="宋体" w:eastAsia="宋体" w:cs="宋体"/>
                <w:bCs/>
                <w:sz w:val="24"/>
                <w:szCs w:val="24"/>
                <w:lang w:val="en-US" w:eastAsia="zh-CN"/>
              </w:rPr>
              <w:t>ir</w:t>
            </w:r>
            <w:r>
              <w:rPr>
                <w:rFonts w:hint="eastAsia" w:ascii="宋体" w:hAnsi="宋体" w:eastAsia="宋体" w:cs="宋体"/>
                <w:bCs/>
                <w:sz w:val="24"/>
                <w:szCs w:val="24"/>
              </w:rPr>
              <w:t>.p5w.net）采用网络远程的方式</w:t>
            </w:r>
            <w:r>
              <w:rPr>
                <w:rFonts w:hint="eastAsia" w:ascii="宋体" w:hAnsi="宋体" w:eastAsia="宋体" w:cs="宋体"/>
                <w:sz w:val="24"/>
                <w:szCs w:val="24"/>
              </w:rPr>
              <w:t>召开业绩说明会</w:t>
            </w:r>
          </w:p>
        </w:tc>
      </w:tr>
      <w:tr w14:paraId="62D8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top"/>
          </w:tcPr>
          <w:p w14:paraId="4EB77F58">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上市公司接待人员姓名</w:t>
            </w:r>
          </w:p>
        </w:tc>
        <w:tc>
          <w:tcPr>
            <w:tcW w:w="7188" w:type="dxa"/>
            <w:tcBorders>
              <w:top w:val="single" w:color="auto" w:sz="4" w:space="0"/>
              <w:left w:val="single" w:color="auto" w:sz="4" w:space="0"/>
              <w:bottom w:val="single" w:color="auto" w:sz="4" w:space="0"/>
              <w:right w:val="single" w:color="auto" w:sz="4" w:space="0"/>
            </w:tcBorders>
            <w:noWrap w:val="0"/>
            <w:vAlign w:val="center"/>
          </w:tcPr>
          <w:p w14:paraId="184BF2F2">
            <w:pPr>
              <w:spacing w:line="420" w:lineRule="exact"/>
              <w:rPr>
                <w:rFonts w:hint="eastAsia" w:ascii="宋体" w:hAnsi="宋体" w:eastAsia="宋体" w:cs="宋体"/>
                <w:bCs/>
                <w:sz w:val="24"/>
                <w:szCs w:val="24"/>
                <w:lang w:val="en-US" w:eastAsia="zh-CN"/>
              </w:rPr>
            </w:pPr>
            <w:r>
              <w:rPr>
                <w:rFonts w:hint="eastAsia" w:ascii="宋体" w:hAnsi="宋体" w:eastAsia="宋体" w:cs="宋体"/>
                <w:bCs/>
                <w:sz w:val="24"/>
                <w:szCs w:val="24"/>
              </w:rPr>
              <w:t>董事长、总经理</w:t>
            </w:r>
            <w:r>
              <w:rPr>
                <w:rFonts w:hint="eastAsia" w:ascii="宋体" w:hAnsi="宋体" w:eastAsia="宋体" w:cs="宋体"/>
                <w:bCs/>
                <w:sz w:val="24"/>
                <w:szCs w:val="24"/>
                <w:lang w:eastAsia="zh-CN"/>
              </w:rPr>
              <w:t>、</w:t>
            </w:r>
            <w:r>
              <w:rPr>
                <w:rFonts w:hint="eastAsia" w:ascii="宋体" w:hAnsi="宋体" w:eastAsia="宋体" w:cs="宋体"/>
                <w:bCs/>
                <w:sz w:val="24"/>
                <w:szCs w:val="24"/>
              </w:rPr>
              <w:t>财务总监、董事会秘书</w:t>
            </w:r>
            <w:r>
              <w:rPr>
                <w:rFonts w:hint="eastAsia" w:ascii="宋体" w:hAnsi="宋体" w:eastAsia="宋体" w:cs="宋体"/>
                <w:bCs/>
                <w:sz w:val="24"/>
                <w:szCs w:val="24"/>
                <w:lang w:eastAsia="zh-CN"/>
              </w:rPr>
              <w:t>、</w:t>
            </w:r>
            <w:r>
              <w:rPr>
                <w:rFonts w:hint="eastAsia" w:ascii="宋体" w:hAnsi="宋体" w:eastAsia="宋体" w:cs="宋体"/>
                <w:bCs/>
                <w:sz w:val="24"/>
                <w:szCs w:val="24"/>
              </w:rPr>
              <w:t>高级副总裁</w:t>
            </w:r>
            <w:r>
              <w:rPr>
                <w:rFonts w:hint="eastAsia" w:ascii="宋体" w:hAnsi="宋体" w:eastAsia="宋体" w:cs="宋体"/>
                <w:bCs/>
                <w:sz w:val="24"/>
                <w:szCs w:val="24"/>
                <w:lang w:eastAsia="zh-CN"/>
              </w:rPr>
              <w:t>、</w:t>
            </w:r>
            <w:r>
              <w:rPr>
                <w:rFonts w:hint="eastAsia" w:ascii="宋体" w:hAnsi="宋体" w:eastAsia="宋体" w:cs="宋体"/>
                <w:bCs/>
                <w:sz w:val="24"/>
                <w:szCs w:val="24"/>
              </w:rPr>
              <w:t>独立董事</w:t>
            </w:r>
            <w:r>
              <w:rPr>
                <w:rFonts w:hint="eastAsia" w:ascii="宋体" w:hAnsi="宋体" w:eastAsia="宋体" w:cs="宋体"/>
                <w:bCs/>
                <w:sz w:val="24"/>
                <w:szCs w:val="24"/>
                <w:lang w:eastAsia="zh-CN"/>
              </w:rPr>
              <w:t>、</w:t>
            </w:r>
            <w:r>
              <w:rPr>
                <w:rFonts w:hint="eastAsia" w:ascii="宋体" w:hAnsi="宋体" w:eastAsia="宋体" w:cs="宋体"/>
                <w:bCs/>
                <w:sz w:val="24"/>
                <w:szCs w:val="24"/>
              </w:rPr>
              <w:t>证券事务代表</w:t>
            </w:r>
            <w:r>
              <w:rPr>
                <w:rFonts w:hint="eastAsia" w:ascii="宋体" w:hAnsi="宋体" w:eastAsia="宋体" w:cs="宋体"/>
                <w:bCs/>
                <w:sz w:val="24"/>
                <w:szCs w:val="24"/>
                <w:lang w:val="en-US" w:eastAsia="zh-CN"/>
              </w:rPr>
              <w:t>等</w:t>
            </w:r>
          </w:p>
        </w:tc>
      </w:tr>
      <w:tr w14:paraId="0694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center"/>
          </w:tcPr>
          <w:p w14:paraId="6EFC5618">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投资者关系活动主要内容介绍</w:t>
            </w:r>
          </w:p>
          <w:p w14:paraId="75BBCF4D">
            <w:pPr>
              <w:spacing w:line="420" w:lineRule="exact"/>
              <w:rPr>
                <w:rFonts w:hint="eastAsia" w:ascii="宋体" w:hAnsi="宋体" w:eastAsia="宋体" w:cs="宋体"/>
                <w:bCs/>
                <w:iCs/>
                <w:color w:val="000000"/>
                <w:sz w:val="24"/>
                <w:szCs w:val="24"/>
              </w:rPr>
            </w:pPr>
          </w:p>
        </w:tc>
        <w:tc>
          <w:tcPr>
            <w:tcW w:w="7188" w:type="dxa"/>
            <w:tcBorders>
              <w:top w:val="single" w:color="auto" w:sz="4" w:space="0"/>
              <w:left w:val="single" w:color="auto" w:sz="4" w:space="0"/>
              <w:bottom w:val="single" w:color="auto" w:sz="4" w:space="0"/>
              <w:right w:val="single" w:color="auto" w:sz="4" w:space="0"/>
            </w:tcBorders>
            <w:noWrap w:val="0"/>
            <w:vAlign w:val="top"/>
          </w:tcPr>
          <w:p w14:paraId="77554DDD">
            <w:pPr>
              <w:spacing w:line="460" w:lineRule="exact"/>
              <w:rPr>
                <w:rFonts w:hint="eastAsia" w:ascii="宋体" w:hAnsi="宋体" w:eastAsia="宋体" w:cs="宋体"/>
                <w:sz w:val="24"/>
                <w:szCs w:val="24"/>
              </w:rPr>
            </w:pPr>
            <w:r>
              <w:rPr>
                <w:rFonts w:hint="eastAsia" w:ascii="宋体" w:hAnsi="宋体" w:eastAsia="宋体" w:cs="宋体"/>
                <w:sz w:val="24"/>
                <w:szCs w:val="24"/>
              </w:rPr>
              <w:t>公司就投资者在本次说明会中提出的问题进行了回复：</w:t>
            </w:r>
          </w:p>
          <w:p w14:paraId="16B9EF31">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b/>
                <w:sz w:val="24"/>
                <w:szCs w:val="24"/>
                <w:lang w:val="en-US" w:eastAsia="zh-CN"/>
              </w:rPr>
              <w:t>1.</w:t>
            </w:r>
            <w:r>
              <w:rPr>
                <w:rFonts w:hint="eastAsia" w:ascii="宋体" w:hAnsi="宋体" w:eastAsia="宋体" w:cs="宋体"/>
                <w:b/>
                <w:sz w:val="24"/>
                <w:szCs w:val="24"/>
              </w:rPr>
              <w:t>万卡级AI集群项目增多，公司相比同行差异化竞争优势体现在哪里？</w:t>
            </w:r>
          </w:p>
          <w:p w14:paraId="0A46F60D">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sz w:val="24"/>
                <w:szCs w:val="24"/>
              </w:rPr>
              <w:t>您好，公司具备技术优势和生态优势：公司以系统性创新，已攻克高速互连网络、存算传紧耦合设计、高密供电与散热、统一资源高效调度等关键技术难题，在先进算力集群系统及服务方面已形成丰富的技术积累；公司目前已经与国内主要产业龙头、行业关键客户等建立了战略合作关系，形成了以国产通用处理器、人工智能处理器为基础的国产算力生态系统，具备产业生态资源优势。此外，在商业化落地上，公司是少数能稳定交付万卡级乃至十万卡级国产集群的厂商。感谢您对公司的关注。</w:t>
            </w:r>
          </w:p>
          <w:p w14:paraId="39414AD1">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b/>
                <w:sz w:val="24"/>
                <w:szCs w:val="24"/>
                <w:lang w:val="en-US" w:eastAsia="zh-CN"/>
              </w:rPr>
              <w:t>2.</w:t>
            </w:r>
            <w:r>
              <w:rPr>
                <w:rFonts w:hint="eastAsia" w:ascii="宋体" w:hAnsi="宋体" w:eastAsia="宋体" w:cs="宋体"/>
                <w:b/>
                <w:sz w:val="24"/>
                <w:szCs w:val="24"/>
              </w:rPr>
              <w:t>李总你好，请问公司目前的业务在算力租赁方面的收以及在设备硬件出售方面的占比如何？</w:t>
            </w:r>
          </w:p>
          <w:p w14:paraId="62A8B088">
            <w:pPr>
              <w:pStyle w:val="7"/>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您好，公司算力服务平台链接多个算力中心资源，受托提供运营服务，但目前收入规模占比较低。感谢您对公司的关注。</w:t>
            </w:r>
          </w:p>
          <w:p w14:paraId="02B177A1">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硬件产品与云运营服务并行，研发及资本开支如何分配资源优先级？</w:t>
            </w:r>
          </w:p>
          <w:p w14:paraId="0B4F1825">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sz w:val="24"/>
                <w:szCs w:val="24"/>
              </w:rPr>
              <w:t>您好，高端计算机等算力设备仍为公司的核心业务，云运营等相关业务目前占比较小；公司主要为客户算力基础设施建设提供算力、存储、网络系统等硬件设备，以及为客户算力基础设施提供运营服务，不涉及资本开支问题。在研发投入上，公司各方向研发投入规模与产业化规模相匹配，算力运营业务研发与高端计算机等硬件产业研发不冲突，算力运营有利于公司更好的了解客户需求以及生态建设。感谢您对公司的关注。</w:t>
            </w:r>
            <w:r>
              <w:rPr>
                <w:rFonts w:hint="eastAsia" w:ascii="宋体" w:hAnsi="宋体" w:eastAsia="宋体" w:cs="宋体"/>
                <w:sz w:val="24"/>
                <w:szCs w:val="24"/>
              </w:rPr>
              <w:br w:type="textWrapping"/>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向</w:t>
            </w:r>
            <w:r>
              <w:rPr>
                <w:rFonts w:hint="eastAsia" w:ascii="宋体" w:hAnsi="宋体" w:eastAsia="宋体" w:cs="宋体"/>
                <w:b/>
                <w:sz w:val="24"/>
                <w:szCs w:val="24"/>
              </w:rPr>
              <w:t>外省拓展城市云、行业云，针对政企项目设置哪些回款风控条件？</w:t>
            </w:r>
          </w:p>
          <w:p w14:paraId="597126C9">
            <w:pPr>
              <w:pStyle w:val="7"/>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您好，公司建立全流程回款风控机制。签约环节强化前置风控，重点核查属地财政支付能力，审慎甄别合作主体资质与履约实力，从源头防控回款风险；合同阶段科学设置付款节点，匹配项目实施、交付验收关键里程碑，明确各节点付款比例、触发条件及逾期约束条款，压实回款保障，保障项目资金有序回笼。感谢您对公司的关注。</w:t>
            </w:r>
          </w:p>
          <w:p w14:paraId="152F2794">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b/>
                <w:sz w:val="24"/>
                <w:szCs w:val="24"/>
                <w:lang w:val="en-US" w:eastAsia="zh-CN"/>
              </w:rPr>
              <w:t>5.</w:t>
            </w:r>
            <w:r>
              <w:rPr>
                <w:rFonts w:hint="eastAsia" w:ascii="宋体" w:hAnsi="宋体" w:eastAsia="宋体" w:cs="宋体"/>
                <w:b/>
                <w:sz w:val="24"/>
                <w:szCs w:val="24"/>
              </w:rPr>
              <w:t>公司液冷业务布局情况？相同行业的优势？</w:t>
            </w:r>
          </w:p>
          <w:p w14:paraId="5228B072">
            <w:pPr>
              <w:pStyle w:val="7"/>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您好，基于领先的产品性能、项目落地实践及精细化服务能力，公司子公司曙光数创已连续五年位列国内算力中心基础设施温控设备市场市占率第一位，在部分头部互联网厂商的国内业务场景中保持领先的市场份额；同时持续拓展海外算力中心液冷市场，截至2026年半年度，累计承接海外液冷项目（项目所在地划分）规模超600MW。感谢您对公司的关注。</w:t>
            </w:r>
          </w:p>
          <w:p w14:paraId="5F7E43B1">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b/>
                <w:sz w:val="24"/>
                <w:szCs w:val="24"/>
                <w:lang w:val="en-US" w:eastAsia="zh-CN"/>
              </w:rPr>
              <w:t>6.历</w:t>
            </w:r>
            <w:r>
              <w:rPr>
                <w:rFonts w:hint="eastAsia" w:ascii="宋体" w:hAnsi="宋体" w:eastAsia="宋体" w:cs="宋体"/>
                <w:b/>
                <w:sz w:val="24"/>
                <w:szCs w:val="24"/>
              </w:rPr>
              <w:t>总，公司的客户有哪些？有没有全球或者国内的头部企业？</w:t>
            </w:r>
          </w:p>
          <w:p w14:paraId="6DA4D92C">
            <w:pPr>
              <w:pStyle w:val="7"/>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您好，公司业务目前主要聚焦在国内，公司持续服务国内多个领域头部企业算力建设，并持续拓展客户规模，感谢您对公司的关注。</w:t>
            </w:r>
          </w:p>
          <w:p w14:paraId="22A5A68E">
            <w:pPr>
              <w:pStyle w:val="7"/>
              <w:numPr>
                <w:ilvl w:val="0"/>
                <w:numId w:val="0"/>
              </w:numPr>
              <w:spacing w:line="460" w:lineRule="exact"/>
              <w:rPr>
                <w:rFonts w:hint="eastAsia" w:ascii="宋体" w:hAnsi="宋体" w:eastAsia="宋体" w:cs="宋体"/>
                <w:b/>
                <w:sz w:val="24"/>
                <w:szCs w:val="24"/>
              </w:rPr>
            </w:pPr>
            <w:r>
              <w:rPr>
                <w:rFonts w:hint="eastAsia" w:ascii="宋体" w:hAnsi="宋体" w:eastAsia="宋体" w:cs="宋体"/>
                <w:sz w:val="24"/>
                <w:szCs w:val="24"/>
                <w:lang w:val="en-US" w:eastAsia="zh-CN"/>
              </w:rPr>
              <w:t>7.</w:t>
            </w:r>
            <w:r>
              <w:rPr>
                <w:rFonts w:hint="eastAsia" w:ascii="宋体" w:hAnsi="宋体" w:eastAsia="宋体" w:cs="宋体"/>
                <w:b/>
                <w:sz w:val="24"/>
                <w:szCs w:val="24"/>
              </w:rPr>
              <w:t>各个业务产线的产能利用率多少？</w:t>
            </w:r>
          </w:p>
          <w:p w14:paraId="3A424907">
            <w:pPr>
              <w:pStyle w:val="7"/>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您好，公司各业务产线产能配置能够匹配当前订单规模，可有效满足生产订单交付需要。感谢您对公司的关注。</w:t>
            </w:r>
          </w:p>
          <w:p w14:paraId="6D95B40A">
            <w:pPr>
              <w:pStyle w:val="7"/>
              <w:spacing w:line="460" w:lineRule="exact"/>
              <w:ind w:left="0" w:leftChars="0" w:firstLine="0" w:firstLineChars="0"/>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最近新技术的发布，商业化落地了吗？</w:t>
            </w:r>
          </w:p>
          <w:p w14:paraId="0271AAEA">
            <w:pPr>
              <w:pStyle w:val="7"/>
              <w:spacing w:line="460" w:lineRule="exact"/>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您好，2026年以来，公司相继发布超节点、高速网络、高端存储、高性能计算平台等产品，相关产品已陆续商业化交付。公司产品商业化过程中也将根据客户需求和技术发展趋势持续迭代。同时，部分产品的商业化交付到大规模产业化可能尚存一定时间。感谢您对公司的关注。</w:t>
            </w:r>
          </w:p>
          <w:p w14:paraId="1CB8A101">
            <w:pPr>
              <w:adjustRightInd w:val="0"/>
              <w:snapToGrid w:val="0"/>
              <w:spacing w:line="500" w:lineRule="exact"/>
              <w:rPr>
                <w:rFonts w:hint="eastAsia" w:ascii="宋体" w:hAnsi="宋体" w:eastAsia="宋体" w:cs="宋体"/>
                <w:bCs/>
                <w:iCs/>
                <w:color w:val="000000"/>
                <w:sz w:val="24"/>
                <w:szCs w:val="24"/>
              </w:rPr>
            </w:pPr>
          </w:p>
        </w:tc>
      </w:tr>
      <w:tr w14:paraId="2E36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center"/>
          </w:tcPr>
          <w:p w14:paraId="0E895953">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附件清单（如有）</w:t>
            </w:r>
          </w:p>
        </w:tc>
        <w:tc>
          <w:tcPr>
            <w:tcW w:w="7188" w:type="dxa"/>
            <w:tcBorders>
              <w:top w:val="single" w:color="auto" w:sz="4" w:space="0"/>
              <w:left w:val="single" w:color="auto" w:sz="4" w:space="0"/>
              <w:bottom w:val="single" w:color="auto" w:sz="4" w:space="0"/>
              <w:right w:val="single" w:color="auto" w:sz="4" w:space="0"/>
            </w:tcBorders>
            <w:noWrap w:val="0"/>
            <w:vAlign w:val="top"/>
          </w:tcPr>
          <w:p w14:paraId="542698F9">
            <w:pPr>
              <w:spacing w:line="420" w:lineRule="exact"/>
              <w:rPr>
                <w:rFonts w:hint="eastAsia" w:ascii="宋体" w:hAnsi="宋体" w:eastAsia="宋体" w:cs="宋体"/>
                <w:bCs/>
                <w:iCs/>
                <w:color w:val="000000"/>
                <w:sz w:val="24"/>
                <w:szCs w:val="24"/>
                <w:lang w:val="en-US" w:eastAsia="zh-CN"/>
              </w:rPr>
            </w:pPr>
            <w:r>
              <w:rPr>
                <w:rFonts w:hint="eastAsia" w:ascii="宋体" w:hAnsi="宋体" w:eastAsia="宋体" w:cs="宋体"/>
                <w:bCs/>
                <w:iCs/>
                <w:color w:val="000000"/>
                <w:sz w:val="24"/>
                <w:szCs w:val="24"/>
              </w:rPr>
              <w:t>本次活动不涉及未公开披露的重大信息。更多互动情况详见</w:t>
            </w:r>
            <w:r>
              <w:rPr>
                <w:rFonts w:hint="eastAsia" w:ascii="宋体" w:hAnsi="宋体" w:eastAsia="宋体" w:cs="宋体"/>
                <w:bCs/>
                <w:sz w:val="24"/>
                <w:szCs w:val="24"/>
              </w:rPr>
              <w:t>全景网“</w:t>
            </w:r>
            <w:r>
              <w:rPr>
                <w:rFonts w:hint="eastAsia" w:ascii="宋体" w:hAnsi="宋体" w:eastAsia="宋体" w:cs="宋体"/>
                <w:sz w:val="24"/>
                <w:szCs w:val="24"/>
              </w:rPr>
              <w:t>投资者关系互动平台</w:t>
            </w:r>
            <w:r>
              <w:rPr>
                <w:rFonts w:hint="eastAsia" w:ascii="宋体" w:hAnsi="宋体" w:eastAsia="宋体" w:cs="宋体"/>
                <w:bCs/>
                <w:sz w:val="24"/>
                <w:szCs w:val="24"/>
              </w:rPr>
              <w:t>”（https://</w:t>
            </w:r>
            <w:r>
              <w:rPr>
                <w:rFonts w:hint="eastAsia" w:ascii="宋体" w:hAnsi="宋体" w:eastAsia="宋体" w:cs="宋体"/>
                <w:bCs/>
                <w:sz w:val="24"/>
                <w:szCs w:val="24"/>
                <w:lang w:val="en-US" w:eastAsia="zh-CN"/>
              </w:rPr>
              <w:t>ir</w:t>
            </w:r>
            <w:r>
              <w:rPr>
                <w:rFonts w:hint="eastAsia" w:ascii="宋体" w:hAnsi="宋体" w:eastAsia="宋体" w:cs="宋体"/>
                <w:bCs/>
                <w:sz w:val="24"/>
                <w:szCs w:val="24"/>
              </w:rPr>
              <w:t>.p5w.net）</w:t>
            </w:r>
            <w:r>
              <w:rPr>
                <w:rFonts w:hint="eastAsia" w:ascii="宋体" w:hAnsi="宋体" w:eastAsia="宋体" w:cs="宋体"/>
                <w:bCs/>
                <w:sz w:val="24"/>
                <w:szCs w:val="24"/>
                <w:lang w:eastAsia="zh-CN"/>
              </w:rPr>
              <w:t>。</w:t>
            </w:r>
          </w:p>
        </w:tc>
      </w:tr>
      <w:tr w14:paraId="2120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tcBorders>
              <w:top w:val="single" w:color="auto" w:sz="4" w:space="0"/>
              <w:left w:val="single" w:color="auto" w:sz="4" w:space="0"/>
              <w:bottom w:val="single" w:color="auto" w:sz="4" w:space="0"/>
              <w:right w:val="single" w:color="auto" w:sz="4" w:space="0"/>
            </w:tcBorders>
            <w:noWrap w:val="0"/>
            <w:vAlign w:val="center"/>
          </w:tcPr>
          <w:p w14:paraId="096772C8">
            <w:pPr>
              <w:spacing w:line="420" w:lineRule="exact"/>
              <w:rPr>
                <w:rFonts w:hint="eastAsia" w:ascii="宋体" w:hAnsi="宋体" w:eastAsia="宋体" w:cs="宋体"/>
                <w:bCs/>
                <w:iCs/>
                <w:color w:val="000000"/>
                <w:kern w:val="0"/>
                <w:sz w:val="24"/>
                <w:szCs w:val="24"/>
              </w:rPr>
            </w:pPr>
            <w:r>
              <w:rPr>
                <w:rFonts w:hint="eastAsia" w:ascii="宋体" w:hAnsi="宋体" w:eastAsia="宋体" w:cs="宋体"/>
                <w:bCs/>
                <w:iCs/>
                <w:color w:val="000000"/>
                <w:kern w:val="0"/>
                <w:sz w:val="24"/>
                <w:szCs w:val="24"/>
              </w:rPr>
              <w:t>日期</w:t>
            </w:r>
          </w:p>
        </w:tc>
        <w:tc>
          <w:tcPr>
            <w:tcW w:w="7188" w:type="dxa"/>
            <w:tcBorders>
              <w:top w:val="single" w:color="auto" w:sz="4" w:space="0"/>
              <w:left w:val="single" w:color="auto" w:sz="4" w:space="0"/>
              <w:bottom w:val="single" w:color="auto" w:sz="4" w:space="0"/>
              <w:right w:val="single" w:color="auto" w:sz="4" w:space="0"/>
            </w:tcBorders>
            <w:noWrap w:val="0"/>
            <w:vAlign w:val="top"/>
          </w:tcPr>
          <w:p w14:paraId="6FA6A673">
            <w:pPr>
              <w:spacing w:line="420" w:lineRule="exact"/>
              <w:rPr>
                <w:rFonts w:hint="eastAsia" w:ascii="宋体" w:hAnsi="宋体" w:eastAsia="宋体" w:cs="宋体"/>
                <w:bCs/>
                <w:iCs/>
                <w:color w:val="000000"/>
                <w:sz w:val="24"/>
                <w:szCs w:val="24"/>
              </w:rPr>
            </w:pPr>
            <w:r>
              <w:rPr>
                <w:rFonts w:hint="eastAsia" w:ascii="宋体" w:hAnsi="宋体" w:eastAsia="宋体" w:cs="宋体"/>
                <w:bCs/>
                <w:iCs/>
                <w:color w:val="000000"/>
                <w:sz w:val="24"/>
                <w:szCs w:val="24"/>
              </w:rPr>
              <w:t>2026年9月3日</w:t>
            </w:r>
          </w:p>
        </w:tc>
      </w:tr>
    </w:tbl>
    <w:p w14:paraId="20E21B4A">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362A9">
    <w:pPr>
      <w:pStyle w:val="2"/>
      <w:jc w:val="right"/>
    </w:pPr>
    <w:r>
      <w:rPr>
        <w:rFonts w:hint="eastAsia" w:ascii="仿宋" w:hAnsi="仿宋" w:eastAsia="仿宋"/>
        <w:sz w:val="24"/>
        <w:szCs w:val="24"/>
        <w:lang w:val="en-US" w:eastAsia="zh-Hans"/>
      </w:rPr>
      <w:t>深圳市全景网络有限公司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6CB2B">
    <w:pPr>
      <w:pStyle w:val="3"/>
      <w:pBdr>
        <w:bottom w:val="none" w:color="auto" w:sz="0" w:space="0"/>
      </w:pBdr>
      <w:jc w:val="left"/>
    </w:pPr>
    <w:r>
      <w:drawing>
        <wp:inline distT="0" distB="0" distL="114300" distR="114300">
          <wp:extent cx="674370" cy="328295"/>
          <wp:effectExtent l="0" t="0" r="11430" b="1905"/>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674370" cy="328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C7"/>
    <w:rsid w:val="000268C0"/>
    <w:rsid w:val="000363B5"/>
    <w:rsid w:val="000375D7"/>
    <w:rsid w:val="00043015"/>
    <w:rsid w:val="00046DDE"/>
    <w:rsid w:val="00047EB9"/>
    <w:rsid w:val="00060A74"/>
    <w:rsid w:val="00067110"/>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741A"/>
    <w:rsid w:val="00814B5B"/>
    <w:rsid w:val="00836F34"/>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41091"/>
    <w:rsid w:val="00C63056"/>
    <w:rsid w:val="00C661D1"/>
    <w:rsid w:val="00C775BA"/>
    <w:rsid w:val="00C85331"/>
    <w:rsid w:val="00C85A50"/>
    <w:rsid w:val="00C94D46"/>
    <w:rsid w:val="00CA443A"/>
    <w:rsid w:val="00CB2461"/>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13EE2DE0"/>
    <w:rsid w:val="1B2418A5"/>
    <w:rsid w:val="1FBFC074"/>
    <w:rsid w:val="36FB9E1F"/>
    <w:rsid w:val="3BFA3B96"/>
    <w:rsid w:val="3CEF3472"/>
    <w:rsid w:val="3EFF16E9"/>
    <w:rsid w:val="576741D0"/>
    <w:rsid w:val="6BB8162A"/>
    <w:rsid w:val="77CF73AC"/>
    <w:rsid w:val="78FF0116"/>
    <w:rsid w:val="B7DDD54D"/>
    <w:rsid w:val="E3FFE6ED"/>
    <w:rsid w:val="F5DB8A63"/>
    <w:rsid w:val="F797912E"/>
    <w:rsid w:val="FE7B48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7">
    <w:name w:val="_Style 6"/>
    <w:basedOn w:val="1"/>
    <w:qFormat/>
    <w:uiPriority w:val="34"/>
    <w:pPr>
      <w:ind w:firstLine="420" w:firstLineChars="200"/>
    </w:pPr>
    <w:rPr>
      <w:rFonts w:ascii="Calibri" w:hAnsi="Calibri" w:eastAsia="宋体" w:cs="Times New Roman"/>
      <w:szCs w:val="22"/>
    </w:rPr>
  </w:style>
  <w:style w:type="paragraph" w:customStyle="1" w:styleId="8">
    <w:name w:val="Char Char Char"/>
    <w:basedOn w:val="1"/>
    <w:qFormat/>
    <w:uiPriority w:val="0"/>
    <w:rPr>
      <w:szCs w:val="21"/>
    </w:rPr>
  </w:style>
  <w:style w:type="paragraph" w:customStyle="1" w:styleId="9">
    <w:name w:val="Char Char Char Char Char Char Char Char Char Char Char Char Char Char Char Char"/>
    <w:basedOn w:val="1"/>
    <w:qFormat/>
    <w:uiPriority w:val="0"/>
  </w:style>
  <w:style w:type="paragraph" w:customStyle="1" w:styleId="10">
    <w:name w:val=" Char Char Char"/>
    <w:basedOn w:val="1"/>
    <w:qFormat/>
    <w:uiPriority w:val="0"/>
  </w:style>
  <w:style w:type="character" w:customStyle="1" w:styleId="11">
    <w:name w:val="页脚 Char"/>
    <w:basedOn w:val="6"/>
    <w:link w:val="2"/>
    <w:qFormat/>
    <w:uiPriority w:val="0"/>
    <w:rPr>
      <w:kern w:val="2"/>
      <w:sz w:val="18"/>
      <w:szCs w:val="18"/>
    </w:rPr>
  </w:style>
  <w:style w:type="character" w:customStyle="1" w:styleId="12">
    <w:name w:val="页眉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939e62f1-5f88-4ba6-9c66-db3bda0136eb</errorID>
      <errorWord>(</errorWord>
      <group>L1_Format</group>
      <groupName>格式问题</groupName>
      <ability>L2_HalfPunc_CN</ability>
      <abilityName>全半角问题</abilityName>
      <candidateList>
        <item>（</item>
      </candidateList>
      <explain>文本全半角错误。</explain>
      <paraID>4063C8D9</paraID>
      <start>10</start>
      <end>11</end>
      <status>unmodified</status>
      <modifiedWord/>
      <trackRevisions>false</trackRevisions>
    </reviewItem>
    <reviewItem>
      <errorID>66dde232-d580-461a-b73c-ddef0a4f4824</errorID>
      <errorWord>)</errorWord>
      <group>L1_Format</group>
      <groupName>格式问题</groupName>
      <ability>L2_HalfPunc_CN</ability>
      <abilityName>全半角问题</abilityName>
      <candidateList>
        <item>）</item>
      </candidateList>
      <explain>文本全半角错误。</explain>
      <paraID>4063C8D9</paraID>
      <start>13</start>
      <end>14</end>
      <status>unmodified</status>
      <modifiedWord/>
      <trackRevisions>false</trackRevisions>
    </reviewItem>
    <reviewItem>
      <errorID>cd34fe94-5198-44eb-9eff-4cb1986bd02a</errorID>
      <errorWord>你好</errorWord>
      <group>L1_Punc</group>
      <groupName>标点问题</groupName>
      <ability>L2_Punc_CN</ability>
      <abilityName>标点符号问题</abilityName>
      <candidateList>
        <item>，你好</item>
      </candidateList>
      <explain/>
      <paraID>39414AD1</paraID>
      <start>4</start>
      <end>6</end>
      <status>unmodified</status>
      <modifiedWord/>
      <trackRevisions>false</trackRevisions>
    </reviewItem>
    <reviewItem>
      <errorID>106393b3-81a4-41c9-928e-e1e74591c310</errorID>
      <errorWord>收以</errorWord>
      <group>L1_Word</group>
      <groupName>字词问题</groupName>
      <ability>L2_Typo</ability>
      <abilityName>字词错误</abilityName>
      <candidateList>
        <item>收益</item>
      </candidateList>
      <explain>存在发音相同字词的误用。</explain>
      <paraID>39414AD1</paraID>
      <start>24</start>
      <end>26</end>
      <status>unmodified</status>
      <modifiedWord/>
      <trackRevisions>false</trackRevisions>
    </reviewItem>
    <reviewItem>
      <errorID>0ffa39c4-5723-41e5-865a-c15d7d90cbde</errorID>
      <errorWord>的</errorWord>
      <group>L1_Word</group>
      <groupName>字词问题</groupName>
      <ability>L2_DDD</ability>
      <abilityName>的地得用法</abilityName>
      <candidateList>
        <item>地</item>
      </candidateList>
      <explain/>
      <paraID> B4F1825</paraID>
      <start>136</start>
      <end>137</end>
      <status>unmodified</status>
      <modifiedWord/>
      <trackRevisions>false</trackRevisions>
    </reviewItem>
    <reviewItem>
      <errorID>c94ba680-2946-41e9-8317-5855b9ea97e2</errorID>
      <errorWord>司</errorWord>
      <group>L1_Word</group>
      <groupName>字词问题</groupName>
      <ability>L2_Typo</ability>
      <abilityName>字词错误</abilityName>
      <candidateList>
        <item>司在</item>
      </candidateList>
      <explain/>
      <paraID> 271AAEA</paraID>
      <start>56</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ea443639-9ccf-478e-98fe-a04e058d2ef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1520</Words>
  <Characters>1607</Characters>
  <Lines>60</Lines>
  <Paragraphs>17</Paragraphs>
  <TotalTime>2</TotalTime>
  <ScaleCrop>false</ScaleCrop>
  <LinksUpToDate>false</LinksUpToDate>
  <CharactersWithSpaces>1725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2012-09-09T08:59:00Z</dcterms:created>
  <dc:creator>微软用户</dc:creator>
  <cp:lastModifiedBy>宸</cp:lastModifiedBy>
  <cp:lastPrinted>2014-02-21T05:34:00Z</cp:lastPrinted>
  <dcterms:modified xsi:type="dcterms:W3CDTF">2026-09-03T09:43:29Z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5221609FCA084EC69D73DAD7A7DD05C3_13</vt:lpwstr>
  </property>
  <property fmtid="{D5CDD505-2E9C-101B-9397-08002B2CF9AE}" pid="4" name="KSOTemplateDocerSaveRecord">
    <vt:lpwstr>eyJoZGlkIjoiNWNlZmMzMmRjYmYxN2Q5NThlOWNhZTU3Yzk3OTViZWIiLCJ1c2VySWQiOiIzOTgxMzU5OTEifQ==</vt:lpwstr>
  </property>
</Properties>
</file>