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4CFE23">
      <w:pPr>
        <w:spacing w:before="156" w:beforeLines="50" w:after="156" w:afterLines="50" w:line="400" w:lineRule="exact"/>
        <w:rPr>
          <w:rFonts w:hint="eastAsia" w:ascii="宋体" w:hAnsi="宋体"/>
          <w:bCs/>
          <w:iCs/>
          <w:sz w:val="24"/>
        </w:rPr>
      </w:pPr>
      <w:r>
        <w:rPr>
          <w:rFonts w:hint="eastAsia" w:ascii="宋体" w:hAnsi="宋体"/>
          <w:bCs/>
          <w:iCs/>
          <w:sz w:val="24"/>
        </w:rPr>
        <w:t>证券代码：</w:t>
      </w:r>
      <w:r>
        <w:rPr>
          <w:rFonts w:hint="eastAsia" w:ascii="Times New Roman" w:hAnsi="Times New Roman"/>
          <w:bCs/>
          <w:iCs/>
          <w:sz w:val="24"/>
        </w:rPr>
        <w:t>603739</w:t>
      </w:r>
      <w:r>
        <w:rPr>
          <w:rFonts w:hint="eastAsia" w:ascii="宋体" w:hAnsi="宋体"/>
          <w:bCs/>
          <w:iCs/>
          <w:sz w:val="24"/>
        </w:rPr>
        <w:t xml:space="preserve">                                  </w:t>
      </w:r>
      <w:r>
        <w:rPr>
          <w:rFonts w:ascii="宋体" w:hAnsi="宋体"/>
          <w:bCs/>
          <w:iCs/>
          <w:sz w:val="24"/>
        </w:rPr>
        <w:t xml:space="preserve"> </w:t>
      </w:r>
      <w:r>
        <w:rPr>
          <w:rFonts w:hint="eastAsia" w:ascii="宋体" w:hAnsi="宋体"/>
          <w:bCs/>
          <w:iCs/>
          <w:sz w:val="24"/>
        </w:rPr>
        <w:t>证券简称：蔚蓝生物</w:t>
      </w:r>
    </w:p>
    <w:p w14:paraId="64D9E96F">
      <w:pPr>
        <w:spacing w:before="312" w:beforeLines="100" w:after="156" w:afterLines="50" w:line="400" w:lineRule="exact"/>
        <w:jc w:val="center"/>
        <w:rPr>
          <w:rFonts w:hint="eastAsia" w:ascii="宋体" w:hAnsi="宋体"/>
          <w:b/>
          <w:bCs/>
          <w:iCs/>
          <w:sz w:val="32"/>
          <w:szCs w:val="32"/>
        </w:rPr>
      </w:pPr>
      <w:r>
        <w:rPr>
          <w:rFonts w:hint="eastAsia" w:ascii="宋体" w:hAnsi="宋体"/>
          <w:b/>
          <w:bCs/>
          <w:iCs/>
          <w:sz w:val="32"/>
          <w:szCs w:val="32"/>
        </w:rPr>
        <w:t>青岛蔚蓝生物股份有限公司</w:t>
      </w:r>
    </w:p>
    <w:p w14:paraId="64BE5EA0">
      <w:pPr>
        <w:spacing w:before="156" w:beforeLines="50" w:line="400" w:lineRule="exact"/>
        <w:jc w:val="center"/>
        <w:rPr>
          <w:rFonts w:hint="eastAsia" w:ascii="宋体" w:hAnsi="宋体"/>
          <w:b/>
          <w:bCs/>
          <w:iCs/>
          <w:sz w:val="32"/>
          <w:szCs w:val="32"/>
        </w:rPr>
      </w:pPr>
      <w:r>
        <w:rPr>
          <w:rFonts w:hint="eastAsia" w:ascii="宋体" w:hAnsi="宋体"/>
          <w:b/>
          <w:bCs/>
          <w:iCs/>
          <w:sz w:val="32"/>
          <w:szCs w:val="32"/>
        </w:rPr>
        <w:t>投资者关系活动记录表</w:t>
      </w:r>
    </w:p>
    <w:p w14:paraId="76411F20">
      <w:pPr>
        <w:spacing w:line="400" w:lineRule="exact"/>
        <w:rPr>
          <w:rFonts w:hint="eastAsia" w:ascii="宋体" w:hAnsi="宋体"/>
          <w:bCs/>
          <w:iCs/>
          <w:sz w:val="24"/>
        </w:rPr>
      </w:pPr>
      <w:r>
        <w:rPr>
          <w:rFonts w:hint="eastAsia" w:ascii="宋体" w:hAnsi="宋体"/>
          <w:bCs/>
          <w:iCs/>
          <w:sz w:val="24"/>
        </w:rPr>
        <w:t xml:space="preserve">                                                         </w:t>
      </w:r>
    </w:p>
    <w:tbl>
      <w:tblPr>
        <w:tblStyle w:val="8"/>
        <w:tblW w:w="10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3"/>
        <w:gridCol w:w="7626"/>
      </w:tblGrid>
      <w:tr w14:paraId="3A0D1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6" w:hRule="atLeast"/>
          <w:jc w:val="center"/>
        </w:trPr>
        <w:tc>
          <w:tcPr>
            <w:tcW w:w="2573" w:type="dxa"/>
            <w:tcBorders>
              <w:top w:val="single" w:color="auto" w:sz="4" w:space="0"/>
              <w:left w:val="single" w:color="auto" w:sz="4" w:space="0"/>
              <w:bottom w:val="single" w:color="auto" w:sz="4" w:space="0"/>
              <w:right w:val="single" w:color="auto" w:sz="4" w:space="0"/>
            </w:tcBorders>
            <w:vAlign w:val="center"/>
          </w:tcPr>
          <w:p w14:paraId="3B540A42">
            <w:pPr>
              <w:jc w:val="center"/>
              <w:rPr>
                <w:rFonts w:hint="eastAsia" w:ascii="宋体" w:hAnsi="宋体"/>
                <w:b/>
                <w:bCs/>
                <w:iCs/>
                <w:sz w:val="24"/>
              </w:rPr>
            </w:pPr>
            <w:r>
              <w:rPr>
                <w:rFonts w:hint="eastAsia"/>
                <w:b/>
                <w:bCs/>
                <w:szCs w:val="21"/>
              </w:rPr>
              <w:t>投资者关系活动类别</w:t>
            </w:r>
          </w:p>
        </w:tc>
        <w:tc>
          <w:tcPr>
            <w:tcW w:w="7626" w:type="dxa"/>
            <w:tcBorders>
              <w:top w:val="single" w:color="auto" w:sz="4" w:space="0"/>
              <w:left w:val="single" w:color="auto" w:sz="4" w:space="0"/>
              <w:bottom w:val="single" w:color="auto" w:sz="4" w:space="0"/>
              <w:right w:val="single" w:color="auto" w:sz="4" w:space="0"/>
            </w:tcBorders>
          </w:tcPr>
          <w:p w14:paraId="6E330B88">
            <w:pPr>
              <w:spacing w:line="360" w:lineRule="auto"/>
              <w:rPr>
                <w:rFonts w:hint="eastAsia" w:ascii="宋体" w:hAnsi="宋体"/>
                <w:bCs/>
                <w:iCs/>
                <w:szCs w:val="21"/>
              </w:rPr>
            </w:pPr>
            <w:r>
              <w:rPr>
                <w:rFonts w:hint="eastAsia" w:ascii="宋体" w:hAnsi="宋体"/>
                <w:bCs/>
                <w:iCs/>
                <w:szCs w:val="21"/>
              </w:rPr>
              <w:t>□</w:t>
            </w:r>
            <w:r>
              <w:rPr>
                <w:szCs w:val="21"/>
              </w:rPr>
              <w:t>特定对象调研</w:t>
            </w:r>
            <w:r>
              <w:rPr>
                <w:rFonts w:hint="eastAsia" w:ascii="宋体" w:hAnsi="宋体"/>
                <w:bCs/>
                <w:iCs/>
                <w:szCs w:val="21"/>
              </w:rPr>
              <w:t xml:space="preserve">        □分析师会议</w:t>
            </w:r>
          </w:p>
          <w:p w14:paraId="374E47A9">
            <w:pPr>
              <w:spacing w:line="360" w:lineRule="auto"/>
              <w:rPr>
                <w:rFonts w:hint="eastAsia" w:ascii="宋体" w:hAnsi="宋体"/>
                <w:bCs/>
                <w:iCs/>
                <w:szCs w:val="21"/>
              </w:rPr>
            </w:pPr>
            <w:r>
              <w:rPr>
                <w:rFonts w:hint="eastAsia" w:ascii="宋体" w:hAnsi="宋体"/>
                <w:bCs/>
                <w:iCs/>
                <w:szCs w:val="21"/>
              </w:rPr>
              <w:t>□媒体采访            □新闻发布会</w:t>
            </w:r>
          </w:p>
          <w:p w14:paraId="25AFE327">
            <w:pPr>
              <w:spacing w:line="360" w:lineRule="auto"/>
              <w:rPr>
                <w:rFonts w:hint="eastAsia" w:ascii="宋体" w:hAnsi="宋体"/>
                <w:bCs/>
                <w:iCs/>
                <w:szCs w:val="21"/>
              </w:rPr>
            </w:pPr>
            <w:r>
              <w:rPr>
                <w:rFonts w:hint="eastAsia" w:ascii="宋体" w:hAnsi="宋体"/>
                <w:bCs/>
                <w:iCs/>
                <w:szCs w:val="21"/>
              </w:rPr>
              <w:t>□现场参观</w:t>
            </w:r>
            <w:r>
              <w:rPr>
                <w:rFonts w:hint="eastAsia" w:ascii="宋体" w:hAnsi="宋体"/>
                <w:bCs/>
                <w:iCs/>
                <w:szCs w:val="21"/>
              </w:rPr>
              <w:tab/>
            </w:r>
            <w:r>
              <w:rPr>
                <w:rFonts w:ascii="宋体" w:hAnsi="宋体"/>
                <w:bCs/>
                <w:iCs/>
                <w:szCs w:val="21"/>
              </w:rPr>
              <w:t xml:space="preserve">          </w:t>
            </w:r>
            <w:r>
              <w:rPr>
                <w:rFonts w:hint="eastAsia" w:ascii="宋体" w:hAnsi="宋体"/>
                <w:bCs/>
                <w:iCs/>
                <w:szCs w:val="21"/>
                <w:lang w:eastAsia="zh-CN"/>
              </w:rPr>
              <w:t>☑</w:t>
            </w:r>
            <w:r>
              <w:rPr>
                <w:rFonts w:hint="eastAsia" w:ascii="宋体" w:hAnsi="宋体"/>
                <w:bCs/>
                <w:iCs/>
                <w:szCs w:val="21"/>
              </w:rPr>
              <w:t>业绩说明会</w:t>
            </w:r>
          </w:p>
          <w:p w14:paraId="78B104AB">
            <w:pPr>
              <w:spacing w:after="156" w:afterLines="50" w:line="360" w:lineRule="auto"/>
              <w:rPr>
                <w:rFonts w:hint="eastAsia" w:ascii="宋体" w:hAnsi="宋体" w:cs="宋体"/>
                <w:u w:val="single"/>
              </w:rPr>
            </w:pPr>
            <w:r>
              <w:rPr>
                <w:rFonts w:hint="eastAsia" w:ascii="宋体" w:hAnsi="宋体"/>
                <w:bCs/>
                <w:iCs/>
                <w:szCs w:val="21"/>
              </w:rPr>
              <w:t>□其他</w:t>
            </w:r>
          </w:p>
        </w:tc>
      </w:tr>
      <w:tr w14:paraId="5AB81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573" w:type="dxa"/>
            <w:tcBorders>
              <w:top w:val="single" w:color="auto" w:sz="4" w:space="0"/>
              <w:left w:val="single" w:color="auto" w:sz="4" w:space="0"/>
              <w:bottom w:val="single" w:color="auto" w:sz="4" w:space="0"/>
              <w:right w:val="single" w:color="auto" w:sz="4" w:space="0"/>
            </w:tcBorders>
            <w:vAlign w:val="center"/>
          </w:tcPr>
          <w:p w14:paraId="2413776B">
            <w:pPr>
              <w:jc w:val="center"/>
              <w:rPr>
                <w:rFonts w:hint="eastAsia" w:ascii="宋体" w:hAnsi="宋体"/>
                <w:b/>
                <w:bCs/>
                <w:iCs/>
                <w:sz w:val="24"/>
              </w:rPr>
            </w:pPr>
            <w:r>
              <w:rPr>
                <w:rFonts w:hint="eastAsia"/>
                <w:b/>
                <w:bCs/>
                <w:szCs w:val="21"/>
              </w:rPr>
              <w:t>参与单位名称及人员姓名</w:t>
            </w:r>
          </w:p>
        </w:tc>
        <w:tc>
          <w:tcPr>
            <w:tcW w:w="7626" w:type="dxa"/>
            <w:tcBorders>
              <w:top w:val="single" w:color="auto" w:sz="4" w:space="0"/>
              <w:left w:val="single" w:color="auto" w:sz="4" w:space="0"/>
              <w:bottom w:val="single" w:color="auto" w:sz="4" w:space="0"/>
              <w:right w:val="single" w:color="auto" w:sz="4" w:space="0"/>
            </w:tcBorders>
            <w:vAlign w:val="center"/>
          </w:tcPr>
          <w:p w14:paraId="0B9127FF">
            <w:pPr>
              <w:spacing w:line="360" w:lineRule="auto"/>
              <w:jc w:val="left"/>
              <w:rPr>
                <w:rFonts w:hint="eastAsia" w:ascii="宋体" w:hAnsi="宋体"/>
                <w:color w:val="000000"/>
                <w:sz w:val="22"/>
                <w:szCs w:val="22"/>
              </w:rPr>
            </w:pPr>
            <w:r>
              <w:rPr>
                <w:rFonts w:ascii="宋体" w:hAnsi="宋体"/>
                <w:szCs w:val="21"/>
              </w:rPr>
              <w:t>投资者网上</w:t>
            </w:r>
            <w:r>
              <w:rPr>
                <w:rFonts w:hint="eastAsia" w:ascii="宋体" w:hAnsi="宋体"/>
                <w:szCs w:val="21"/>
              </w:rPr>
              <w:t>提问</w:t>
            </w:r>
          </w:p>
        </w:tc>
      </w:tr>
      <w:tr w14:paraId="233A7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2573" w:type="dxa"/>
            <w:tcBorders>
              <w:top w:val="single" w:color="auto" w:sz="4" w:space="0"/>
              <w:left w:val="single" w:color="auto" w:sz="4" w:space="0"/>
              <w:bottom w:val="single" w:color="auto" w:sz="4" w:space="0"/>
              <w:right w:val="single" w:color="auto" w:sz="4" w:space="0"/>
            </w:tcBorders>
            <w:vAlign w:val="center"/>
          </w:tcPr>
          <w:p w14:paraId="63E381A3">
            <w:pPr>
              <w:spacing w:line="360" w:lineRule="auto"/>
              <w:jc w:val="center"/>
              <w:rPr>
                <w:b/>
                <w:bCs/>
                <w:szCs w:val="21"/>
              </w:rPr>
            </w:pPr>
            <w:r>
              <w:rPr>
                <w:rFonts w:hint="eastAsia"/>
                <w:b/>
                <w:bCs/>
                <w:szCs w:val="21"/>
              </w:rPr>
              <w:t>时间</w:t>
            </w:r>
          </w:p>
        </w:tc>
        <w:tc>
          <w:tcPr>
            <w:tcW w:w="7626" w:type="dxa"/>
            <w:tcBorders>
              <w:top w:val="single" w:color="auto" w:sz="4" w:space="0"/>
              <w:left w:val="single" w:color="auto" w:sz="4" w:space="0"/>
              <w:bottom w:val="single" w:color="auto" w:sz="4" w:space="0"/>
              <w:right w:val="single" w:color="auto" w:sz="4" w:space="0"/>
            </w:tcBorders>
            <w:vAlign w:val="center"/>
          </w:tcPr>
          <w:p w14:paraId="29F1258E">
            <w:pPr>
              <w:spacing w:line="360" w:lineRule="auto"/>
              <w:rPr>
                <w:rFonts w:hint="eastAsia" w:ascii="宋体" w:hAnsi="宋体"/>
                <w:szCs w:val="21"/>
              </w:rPr>
            </w:pPr>
            <w:r>
              <w:rPr>
                <w:rFonts w:ascii="Times New Roman" w:hAnsi="Times New Roman"/>
                <w:szCs w:val="21"/>
              </w:rPr>
              <w:t>202</w:t>
            </w:r>
            <w:r>
              <w:rPr>
                <w:rFonts w:hint="eastAsia" w:ascii="Times New Roman" w:hAnsi="Times New Roman"/>
                <w:szCs w:val="21"/>
                <w:lang w:val="en-US" w:eastAsia="zh-CN"/>
              </w:rPr>
              <w:t>6</w:t>
            </w:r>
            <w:r>
              <w:rPr>
                <w:rFonts w:ascii="宋体" w:hAnsi="宋体"/>
                <w:szCs w:val="21"/>
              </w:rPr>
              <w:t>年</w:t>
            </w:r>
            <w:r>
              <w:rPr>
                <w:rFonts w:hint="eastAsia" w:ascii="Times New Roman" w:hAnsi="Times New Roman"/>
                <w:szCs w:val="21"/>
                <w:lang w:val="en-US" w:eastAsia="zh-CN"/>
              </w:rPr>
              <w:t>9</w:t>
            </w:r>
            <w:r>
              <w:rPr>
                <w:rFonts w:ascii="宋体" w:hAnsi="宋体"/>
                <w:szCs w:val="21"/>
              </w:rPr>
              <w:t>月</w:t>
            </w:r>
            <w:r>
              <w:rPr>
                <w:rFonts w:hint="eastAsia" w:ascii="Times New Roman" w:hAnsi="Times New Roman"/>
                <w:szCs w:val="21"/>
                <w:lang w:val="en-US" w:eastAsia="zh-CN"/>
              </w:rPr>
              <w:t>4</w:t>
            </w:r>
            <w:r>
              <w:rPr>
                <w:rFonts w:ascii="宋体" w:hAnsi="宋体"/>
                <w:szCs w:val="21"/>
              </w:rPr>
              <w:t>日(周</w:t>
            </w:r>
            <w:r>
              <w:rPr>
                <w:rFonts w:hint="eastAsia" w:ascii="宋体" w:hAnsi="宋体"/>
                <w:szCs w:val="21"/>
                <w:lang w:val="en-US" w:eastAsia="zh-CN"/>
              </w:rPr>
              <w:t>五</w:t>
            </w:r>
            <w:r>
              <w:rPr>
                <w:rFonts w:ascii="宋体" w:hAnsi="宋体"/>
                <w:szCs w:val="21"/>
              </w:rPr>
              <w:t>)</w:t>
            </w:r>
            <w:r>
              <w:rPr>
                <w:rFonts w:hint="eastAsia" w:ascii="Times New Roman" w:hAnsi="Times New Roman"/>
                <w:szCs w:val="21"/>
                <w:lang w:val="en-US" w:eastAsia="zh-CN"/>
              </w:rPr>
              <w:t>9</w:t>
            </w:r>
            <w:r>
              <w:rPr>
                <w:rFonts w:ascii="宋体" w:hAnsi="宋体"/>
                <w:szCs w:val="21"/>
              </w:rPr>
              <w:t>:</w:t>
            </w:r>
            <w:r>
              <w:rPr>
                <w:rFonts w:ascii="Times New Roman" w:hAnsi="Times New Roman"/>
                <w:szCs w:val="21"/>
              </w:rPr>
              <w:t>00</w:t>
            </w:r>
            <w:r>
              <w:rPr>
                <w:rFonts w:hint="eastAsia" w:ascii="宋体" w:hAnsi="宋体"/>
                <w:szCs w:val="21"/>
              </w:rPr>
              <w:t>-</w:t>
            </w:r>
            <w:r>
              <w:rPr>
                <w:rFonts w:hint="eastAsia" w:ascii="Times New Roman" w:hAnsi="Times New Roman"/>
                <w:szCs w:val="21"/>
                <w:lang w:val="en-US" w:eastAsia="zh-CN"/>
              </w:rPr>
              <w:t>10</w:t>
            </w:r>
            <w:r>
              <w:rPr>
                <w:rFonts w:ascii="宋体" w:hAnsi="宋体"/>
                <w:szCs w:val="21"/>
              </w:rPr>
              <w:t>:</w:t>
            </w:r>
            <w:r>
              <w:rPr>
                <w:rFonts w:ascii="Times New Roman" w:hAnsi="Times New Roman"/>
                <w:szCs w:val="21"/>
              </w:rPr>
              <w:t>00</w:t>
            </w:r>
          </w:p>
        </w:tc>
      </w:tr>
      <w:tr w14:paraId="41053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3" w:type="dxa"/>
            <w:tcBorders>
              <w:top w:val="single" w:color="auto" w:sz="4" w:space="0"/>
              <w:left w:val="single" w:color="auto" w:sz="4" w:space="0"/>
              <w:bottom w:val="single" w:color="auto" w:sz="4" w:space="0"/>
              <w:right w:val="single" w:color="auto" w:sz="4" w:space="0"/>
            </w:tcBorders>
            <w:vAlign w:val="center"/>
          </w:tcPr>
          <w:p w14:paraId="15BA77AF">
            <w:pPr>
              <w:spacing w:line="360" w:lineRule="auto"/>
              <w:jc w:val="center"/>
              <w:rPr>
                <w:b/>
                <w:bCs/>
                <w:szCs w:val="21"/>
              </w:rPr>
            </w:pPr>
            <w:r>
              <w:rPr>
                <w:rFonts w:hint="eastAsia"/>
                <w:b/>
                <w:bCs/>
                <w:szCs w:val="21"/>
              </w:rPr>
              <w:t>地点</w:t>
            </w:r>
          </w:p>
        </w:tc>
        <w:tc>
          <w:tcPr>
            <w:tcW w:w="7626" w:type="dxa"/>
            <w:tcBorders>
              <w:top w:val="single" w:color="auto" w:sz="4" w:space="0"/>
              <w:left w:val="single" w:color="auto" w:sz="4" w:space="0"/>
              <w:bottom w:val="single" w:color="auto" w:sz="4" w:space="0"/>
              <w:right w:val="single" w:color="auto" w:sz="4" w:space="0"/>
            </w:tcBorders>
            <w:vAlign w:val="center"/>
          </w:tcPr>
          <w:p w14:paraId="2D8E23EE">
            <w:pPr>
              <w:spacing w:line="420" w:lineRule="exact"/>
              <w:rPr>
                <w:rFonts w:hint="eastAsia" w:ascii="宋体" w:hAnsi="宋体"/>
                <w:szCs w:val="21"/>
              </w:rPr>
            </w:pPr>
            <w:r>
              <w:rPr>
                <w:rFonts w:ascii="Arial" w:hAnsi="Arial" w:eastAsia="宋体" w:cs="Arial"/>
                <w:i w:val="0"/>
                <w:iCs w:val="0"/>
                <w:caps w:val="0"/>
                <w:color w:val="000000"/>
                <w:spacing w:val="0"/>
                <w:sz w:val="21"/>
                <w:szCs w:val="21"/>
                <w:shd w:val="clear" w:fill="FFFFFF"/>
              </w:rPr>
              <w:t>上海证券交易所上证路演中心（网址：</w:t>
            </w:r>
            <w:r>
              <w:rPr>
                <w:rFonts w:hint="default" w:ascii="Times New Roman" w:hAnsi="Times New Roman" w:eastAsia="宋体" w:cs="Times New Roman"/>
                <w:i w:val="0"/>
                <w:iCs w:val="0"/>
                <w:caps w:val="0"/>
                <w:color w:val="000000"/>
                <w:spacing w:val="0"/>
                <w:sz w:val="21"/>
                <w:szCs w:val="21"/>
                <w:shd w:val="clear" w:fill="FFFFFF"/>
              </w:rPr>
              <w:t>https://roadshow.sseinfo.com/</w:t>
            </w:r>
            <w:r>
              <w:rPr>
                <w:rFonts w:ascii="Arial" w:hAnsi="Arial" w:eastAsia="宋体" w:cs="Arial"/>
                <w:i w:val="0"/>
                <w:iCs w:val="0"/>
                <w:caps w:val="0"/>
                <w:color w:val="000000"/>
                <w:spacing w:val="0"/>
                <w:sz w:val="21"/>
                <w:szCs w:val="21"/>
                <w:shd w:val="clear" w:fill="FFFFFF"/>
              </w:rPr>
              <w:t>）</w:t>
            </w:r>
          </w:p>
        </w:tc>
      </w:tr>
      <w:tr w14:paraId="5711F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2573" w:type="dxa"/>
            <w:tcBorders>
              <w:top w:val="single" w:color="auto" w:sz="4" w:space="0"/>
              <w:left w:val="single" w:color="auto" w:sz="4" w:space="0"/>
              <w:bottom w:val="single" w:color="auto" w:sz="4" w:space="0"/>
              <w:right w:val="single" w:color="auto" w:sz="4" w:space="0"/>
            </w:tcBorders>
            <w:vAlign w:val="center"/>
          </w:tcPr>
          <w:p w14:paraId="7F95D817">
            <w:pPr>
              <w:jc w:val="center"/>
              <w:rPr>
                <w:b/>
                <w:bCs/>
                <w:szCs w:val="21"/>
              </w:rPr>
            </w:pPr>
            <w:r>
              <w:rPr>
                <w:rFonts w:hint="eastAsia"/>
                <w:b/>
                <w:bCs/>
                <w:szCs w:val="21"/>
              </w:rPr>
              <w:t>上市公司接待人员姓名</w:t>
            </w:r>
          </w:p>
        </w:tc>
        <w:tc>
          <w:tcPr>
            <w:tcW w:w="7626" w:type="dxa"/>
            <w:tcBorders>
              <w:top w:val="single" w:color="auto" w:sz="4" w:space="0"/>
              <w:left w:val="single" w:color="auto" w:sz="4" w:space="0"/>
              <w:bottom w:val="single" w:color="auto" w:sz="4" w:space="0"/>
              <w:right w:val="single" w:color="auto" w:sz="4" w:space="0"/>
            </w:tcBorders>
            <w:vAlign w:val="center"/>
          </w:tcPr>
          <w:p w14:paraId="25C686B8">
            <w:pPr>
              <w:spacing w:line="360" w:lineRule="auto"/>
              <w:rPr>
                <w:rFonts w:hint="eastAsia" w:ascii="宋体" w:hAnsi="宋体"/>
                <w:szCs w:val="21"/>
              </w:rPr>
            </w:pPr>
            <w:r>
              <w:rPr>
                <w:rFonts w:hint="eastAsia" w:ascii="宋体" w:hAnsi="宋体"/>
                <w:szCs w:val="21"/>
              </w:rPr>
              <w:t>董事长兼</w:t>
            </w:r>
            <w:r>
              <w:rPr>
                <w:rFonts w:hint="eastAsia" w:ascii="宋体" w:hAnsi="宋体"/>
                <w:szCs w:val="21"/>
                <w:lang w:val="en-US" w:eastAsia="zh-CN"/>
              </w:rPr>
              <w:t>总裁</w:t>
            </w:r>
            <w:r>
              <w:rPr>
                <w:rFonts w:hint="eastAsia" w:ascii="宋体" w:hAnsi="宋体"/>
                <w:szCs w:val="21"/>
              </w:rPr>
              <w:t>：陈刚</w:t>
            </w:r>
          </w:p>
          <w:p w14:paraId="562EEAA7">
            <w:pPr>
              <w:spacing w:line="360" w:lineRule="auto"/>
              <w:rPr>
                <w:rFonts w:hint="eastAsia" w:ascii="宋体" w:hAnsi="宋体"/>
                <w:szCs w:val="21"/>
              </w:rPr>
            </w:pPr>
            <w:r>
              <w:rPr>
                <w:rFonts w:hint="eastAsia" w:ascii="宋体" w:hAnsi="宋体"/>
                <w:szCs w:val="21"/>
              </w:rPr>
              <w:t>董事兼财务总监：乔丕远</w:t>
            </w:r>
          </w:p>
          <w:p w14:paraId="19EAF354">
            <w:pPr>
              <w:spacing w:line="360" w:lineRule="auto"/>
              <w:rPr>
                <w:rFonts w:hint="eastAsia" w:ascii="宋体" w:hAnsi="宋体"/>
                <w:szCs w:val="21"/>
              </w:rPr>
            </w:pPr>
            <w:r>
              <w:rPr>
                <w:rFonts w:hint="eastAsia" w:ascii="宋体" w:hAnsi="宋体"/>
                <w:szCs w:val="21"/>
              </w:rPr>
              <w:t>董事会秘书：姜勇</w:t>
            </w:r>
          </w:p>
          <w:p w14:paraId="328FF0B4">
            <w:pPr>
              <w:spacing w:line="360" w:lineRule="auto"/>
              <w:rPr>
                <w:rFonts w:hint="eastAsia" w:ascii="宋体" w:hAnsi="宋体"/>
                <w:szCs w:val="21"/>
              </w:rPr>
            </w:pPr>
            <w:r>
              <w:rPr>
                <w:rFonts w:hint="eastAsia" w:ascii="宋体" w:hAnsi="宋体"/>
                <w:szCs w:val="21"/>
              </w:rPr>
              <w:t>独立董事：</w:t>
            </w:r>
            <w:r>
              <w:rPr>
                <w:rFonts w:hint="eastAsia" w:ascii="宋体" w:hAnsi="宋体"/>
                <w:szCs w:val="21"/>
                <w:lang w:val="en-US" w:eastAsia="zh-CN"/>
              </w:rPr>
              <w:t>邹明</w:t>
            </w:r>
            <w:r>
              <w:rPr>
                <w:rFonts w:hint="eastAsia" w:ascii="宋体" w:hAnsi="宋体"/>
                <w:szCs w:val="21"/>
              </w:rPr>
              <w:t>、王京</w:t>
            </w:r>
          </w:p>
        </w:tc>
      </w:tr>
      <w:tr w14:paraId="62DA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3" w:type="dxa"/>
            <w:tcBorders>
              <w:top w:val="single" w:color="auto" w:sz="4" w:space="0"/>
              <w:left w:val="single" w:color="auto" w:sz="4" w:space="0"/>
              <w:bottom w:val="single" w:color="auto" w:sz="4" w:space="0"/>
              <w:right w:val="single" w:color="auto" w:sz="4" w:space="0"/>
            </w:tcBorders>
            <w:vAlign w:val="center"/>
          </w:tcPr>
          <w:p w14:paraId="6741150E">
            <w:pPr>
              <w:spacing w:line="360" w:lineRule="auto"/>
              <w:jc w:val="center"/>
              <w:rPr>
                <w:b/>
                <w:bCs/>
                <w:szCs w:val="21"/>
              </w:rPr>
            </w:pPr>
            <w:r>
              <w:rPr>
                <w:rFonts w:hint="eastAsia"/>
                <w:b/>
                <w:bCs/>
                <w:szCs w:val="21"/>
              </w:rPr>
              <w:t>投资者关系活动主要内容介绍</w:t>
            </w:r>
          </w:p>
        </w:tc>
        <w:tc>
          <w:tcPr>
            <w:tcW w:w="7626" w:type="dxa"/>
            <w:tcBorders>
              <w:top w:val="single" w:color="auto" w:sz="4" w:space="0"/>
              <w:left w:val="single" w:color="auto" w:sz="4" w:space="0"/>
              <w:bottom w:val="single" w:color="auto" w:sz="4" w:space="0"/>
              <w:right w:val="single" w:color="auto" w:sz="4" w:space="0"/>
            </w:tcBorders>
            <w:vAlign w:val="center"/>
          </w:tcPr>
          <w:p w14:paraId="71CA858B">
            <w:pPr>
              <w:spacing w:line="360" w:lineRule="auto"/>
              <w:rPr>
                <w:rFonts w:hint="eastAsia" w:ascii="宋体" w:hAnsi="宋体" w:eastAsia="宋体" w:cs="宋体"/>
                <w:b/>
                <w:bCs/>
              </w:rPr>
            </w:pPr>
            <w:r>
              <w:rPr>
                <w:rFonts w:hint="eastAsia" w:ascii="宋体" w:hAnsi="宋体" w:eastAsia="宋体" w:cs="宋体"/>
                <w:b/>
                <w:bCs/>
              </w:rPr>
              <w:t>互动交流：</w:t>
            </w:r>
          </w:p>
          <w:p w14:paraId="57112AE5">
            <w:pPr>
              <w:spacing w:line="360" w:lineRule="auto"/>
              <w:ind w:firstLine="420"/>
              <w:rPr>
                <w:rFonts w:hint="eastAsia" w:ascii="宋体" w:hAnsi="宋体" w:eastAsia="宋体" w:cs="宋体"/>
                <w:b/>
                <w:bCs/>
              </w:rPr>
            </w:pPr>
            <w:r>
              <w:rPr>
                <w:rFonts w:hint="eastAsia" w:ascii="宋体" w:hAnsi="宋体" w:eastAsia="宋体" w:cs="宋体"/>
                <w:b/>
                <w:bCs/>
              </w:rPr>
              <w:t>Q</w:t>
            </w:r>
            <w:r>
              <w:rPr>
                <w:rFonts w:hint="eastAsia" w:ascii="Times New Roman" w:hAnsi="Times New Roman" w:eastAsia="宋体" w:cs="宋体"/>
                <w:b/>
                <w:bCs/>
                <w:lang w:val="en-US" w:eastAsia="zh-CN"/>
              </w:rPr>
              <w:t>1</w:t>
            </w:r>
            <w:r>
              <w:rPr>
                <w:rFonts w:hint="eastAsia" w:ascii="宋体" w:hAnsi="宋体" w:eastAsia="宋体" w:cs="宋体"/>
                <w:b/>
                <w:bCs/>
              </w:rPr>
              <w:t>、</w:t>
            </w:r>
            <w:r>
              <w:rPr>
                <w:rFonts w:ascii="siyuan" w:hAnsi="siyuan" w:eastAsia="siyuan" w:cs="siyuan"/>
                <w:b/>
                <w:bCs/>
                <w:i w:val="0"/>
                <w:iCs w:val="0"/>
                <w:caps w:val="0"/>
                <w:color w:val="00040D"/>
                <w:spacing w:val="0"/>
                <w:sz w:val="21"/>
                <w:szCs w:val="21"/>
                <w:shd w:val="clear" w:fill="FFFFFF"/>
              </w:rPr>
              <w:t>公司各位领导好，我是一名投资者，我想问一下，出海是目前国内公司的大趋势，公司目前出海情况如何？未来有何计划和发展战略，谢谢！</w:t>
            </w:r>
          </w:p>
          <w:p w14:paraId="316CDC1E">
            <w:pPr>
              <w:spacing w:before="156" w:beforeLines="50" w:line="360" w:lineRule="auto"/>
              <w:ind w:firstLine="420" w:firstLineChars="200"/>
              <w:rPr>
                <w:rFonts w:hint="eastAsia" w:asciiTheme="minorEastAsia" w:hAnsiTheme="minorEastAsia"/>
                <w:b w:val="0"/>
                <w:bCs/>
                <w:szCs w:val="21"/>
                <w:highlight w:val="none"/>
              </w:rPr>
            </w:pPr>
            <w:r>
              <w:rPr>
                <w:rFonts w:hint="eastAsia" w:asciiTheme="minorEastAsia" w:hAnsiTheme="minorEastAsia"/>
                <w:b w:val="0"/>
                <w:bCs/>
                <w:szCs w:val="21"/>
                <w:highlight w:val="none"/>
              </w:rPr>
              <w:t>尊敬的投资者，您好，感谢您对公司的关注。</w:t>
            </w:r>
          </w:p>
          <w:p w14:paraId="310DE206">
            <w:pPr>
              <w:spacing w:before="156" w:beforeLines="50" w:line="360" w:lineRule="auto"/>
              <w:ind w:firstLine="420" w:firstLineChars="200"/>
              <w:rPr>
                <w:rFonts w:hint="eastAsia" w:asciiTheme="minorEastAsia" w:hAnsiTheme="minorEastAsia"/>
                <w:b w:val="0"/>
                <w:bCs/>
                <w:szCs w:val="21"/>
                <w:highlight w:val="none"/>
              </w:rPr>
            </w:pPr>
            <w:r>
              <w:rPr>
                <w:rFonts w:hint="eastAsia" w:asciiTheme="minorEastAsia" w:hAnsiTheme="minorEastAsia"/>
                <w:b w:val="0"/>
                <w:bCs/>
                <w:szCs w:val="21"/>
                <w:highlight w:val="none"/>
              </w:rPr>
              <w:t>公司持续推进国际化发展战略，境外业务规模稳步扩大。</w:t>
            </w:r>
            <w:r>
              <w:rPr>
                <w:rFonts w:hint="eastAsia" w:ascii="Times New Roman" w:hAnsi="Times New Roman"/>
                <w:b w:val="0"/>
                <w:bCs/>
                <w:szCs w:val="21"/>
                <w:highlight w:val="none"/>
              </w:rPr>
              <w:t>2026</w:t>
            </w:r>
            <w:r>
              <w:rPr>
                <w:rFonts w:hint="eastAsia" w:asciiTheme="minorEastAsia" w:hAnsiTheme="minorEastAsia"/>
                <w:b w:val="0"/>
                <w:bCs/>
                <w:szCs w:val="21"/>
                <w:highlight w:val="none"/>
              </w:rPr>
              <w:t>年上半年，公司实现境外收入</w:t>
            </w:r>
            <w:r>
              <w:rPr>
                <w:rFonts w:hint="eastAsia" w:ascii="Times New Roman" w:hAnsi="Times New Roman"/>
                <w:b w:val="0"/>
                <w:bCs/>
                <w:szCs w:val="21"/>
                <w:highlight w:val="none"/>
              </w:rPr>
              <w:t>9</w:t>
            </w:r>
            <w:r>
              <w:rPr>
                <w:rFonts w:hint="eastAsia" w:asciiTheme="minorEastAsia" w:hAnsiTheme="minorEastAsia"/>
                <w:b w:val="0"/>
                <w:bCs/>
                <w:szCs w:val="21"/>
                <w:highlight w:val="none"/>
              </w:rPr>
              <w:t>,</w:t>
            </w:r>
            <w:r>
              <w:rPr>
                <w:rFonts w:hint="eastAsia" w:ascii="Times New Roman" w:hAnsi="Times New Roman"/>
                <w:b w:val="0"/>
                <w:bCs/>
                <w:szCs w:val="21"/>
                <w:highlight w:val="none"/>
              </w:rPr>
              <w:t>632</w:t>
            </w:r>
            <w:r>
              <w:rPr>
                <w:rFonts w:hint="eastAsia" w:asciiTheme="minorEastAsia" w:hAnsiTheme="minorEastAsia"/>
                <w:b w:val="0"/>
                <w:bCs/>
                <w:szCs w:val="21"/>
                <w:highlight w:val="none"/>
              </w:rPr>
              <w:t>.</w:t>
            </w:r>
            <w:r>
              <w:rPr>
                <w:rFonts w:hint="eastAsia" w:ascii="Times New Roman" w:hAnsi="Times New Roman"/>
                <w:b w:val="0"/>
                <w:bCs/>
                <w:szCs w:val="21"/>
                <w:highlight w:val="none"/>
              </w:rPr>
              <w:t>54</w:t>
            </w:r>
            <w:r>
              <w:rPr>
                <w:rFonts w:hint="eastAsia" w:asciiTheme="minorEastAsia" w:hAnsiTheme="minorEastAsia"/>
                <w:b w:val="0"/>
                <w:bCs/>
                <w:szCs w:val="21"/>
                <w:highlight w:val="none"/>
              </w:rPr>
              <w:t>万元，同比增长</w:t>
            </w:r>
            <w:r>
              <w:rPr>
                <w:rFonts w:hint="eastAsia" w:ascii="Times New Roman" w:hAnsi="Times New Roman"/>
                <w:b w:val="0"/>
                <w:bCs/>
                <w:szCs w:val="21"/>
                <w:highlight w:val="none"/>
              </w:rPr>
              <w:t>66</w:t>
            </w:r>
            <w:r>
              <w:rPr>
                <w:rFonts w:hint="eastAsia" w:asciiTheme="minorEastAsia" w:hAnsiTheme="minorEastAsia"/>
                <w:b w:val="0"/>
                <w:bCs/>
                <w:szCs w:val="21"/>
                <w:highlight w:val="none"/>
              </w:rPr>
              <w:t>.</w:t>
            </w:r>
            <w:r>
              <w:rPr>
                <w:rFonts w:hint="eastAsia" w:ascii="Times New Roman" w:hAnsi="Times New Roman"/>
                <w:b w:val="0"/>
                <w:bCs/>
                <w:szCs w:val="21"/>
                <w:highlight w:val="none"/>
              </w:rPr>
              <w:t>41</w:t>
            </w:r>
            <w:r>
              <w:rPr>
                <w:rFonts w:hint="eastAsia" w:asciiTheme="minorEastAsia" w:hAnsiTheme="minorEastAsia"/>
                <w:b w:val="0"/>
                <w:bCs/>
                <w:szCs w:val="21"/>
                <w:highlight w:val="none"/>
              </w:rPr>
              <w:t>%。目前，公司已在美国、越南、印尼设立子公司，并在中国香港设立蔚蓝子公司，作为国际业务战略发展平台，逐步构建覆盖北美及东南亚重点区域的海外运营体系，不断增强市场开拓、技术服务与客户协同能力。</w:t>
            </w:r>
          </w:p>
          <w:p w14:paraId="18E558A0">
            <w:pPr>
              <w:spacing w:before="156" w:beforeLines="50" w:line="360" w:lineRule="auto"/>
              <w:ind w:firstLine="420" w:firstLineChars="200"/>
              <w:rPr>
                <w:rFonts w:hint="eastAsia" w:asciiTheme="minorEastAsia" w:hAnsiTheme="minorEastAsia"/>
                <w:b w:val="0"/>
                <w:bCs/>
                <w:szCs w:val="21"/>
                <w:highlight w:val="none"/>
              </w:rPr>
            </w:pPr>
            <w:r>
              <w:rPr>
                <w:rFonts w:hint="eastAsia" w:asciiTheme="minorEastAsia" w:hAnsiTheme="minorEastAsia"/>
                <w:b w:val="0"/>
                <w:bCs/>
                <w:szCs w:val="21"/>
                <w:highlight w:val="none"/>
              </w:rPr>
              <w:t>在拓展海外业务的同时，公司积极推进“全球本土化”发展，通过在重点区域设立本地机构、引进并培养当地员工，不断提高海外团队本土化程度，更好地融入当地产业体系和市场环境，提升市场响应效率与客户服务能力。</w:t>
            </w:r>
          </w:p>
          <w:p w14:paraId="0056145A">
            <w:pPr>
              <w:spacing w:before="156" w:beforeLines="50" w:line="360" w:lineRule="auto"/>
              <w:ind w:firstLine="420" w:firstLineChars="200"/>
              <w:rPr>
                <w:rFonts w:hint="eastAsia" w:asciiTheme="minorEastAsia" w:hAnsiTheme="minorEastAsia"/>
                <w:b w:val="0"/>
                <w:bCs/>
                <w:szCs w:val="21"/>
                <w:highlight w:val="none"/>
              </w:rPr>
            </w:pPr>
            <w:r>
              <w:rPr>
                <w:rFonts w:hint="eastAsia" w:asciiTheme="minorEastAsia" w:hAnsiTheme="minorEastAsia"/>
                <w:b w:val="0"/>
                <w:bCs/>
                <w:szCs w:val="21"/>
                <w:highlight w:val="none"/>
              </w:rPr>
              <w:t>未来，公司将把握“一带一路”建设带来的发展机遇，进一步深化中亚、东南亚等区域市场布局，积极开拓拉丁美洲等新兴市场，完善全球业务布局，增强国际业务协同能力和品牌影响力，推动海外业务实现高质量发展。</w:t>
            </w:r>
          </w:p>
          <w:p w14:paraId="40DF01D0">
            <w:pPr>
              <w:spacing w:before="156" w:beforeLines="50" w:line="360" w:lineRule="auto"/>
              <w:ind w:firstLine="420" w:firstLineChars="200"/>
              <w:rPr>
                <w:rFonts w:hint="eastAsia" w:asciiTheme="minorEastAsia" w:hAnsiTheme="minorEastAsia"/>
                <w:b w:val="0"/>
                <w:bCs/>
                <w:szCs w:val="21"/>
                <w:highlight w:val="none"/>
              </w:rPr>
            </w:pPr>
          </w:p>
          <w:p w14:paraId="2A739F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rPr>
            </w:pPr>
            <w:r>
              <w:rPr>
                <w:rFonts w:hint="eastAsia" w:ascii="宋体" w:hAnsi="宋体" w:cs="宋体"/>
                <w:b/>
                <w:bCs/>
                <w:lang w:val="en-US" w:eastAsia="zh-CN"/>
              </w:rPr>
              <w:t>Q</w:t>
            </w:r>
            <w:r>
              <w:rPr>
                <w:rFonts w:hint="eastAsia" w:ascii="Times New Roman" w:hAnsi="Times New Roman" w:cs="宋体"/>
                <w:b/>
                <w:bCs/>
                <w:lang w:val="en-US" w:eastAsia="zh-CN"/>
              </w:rPr>
              <w:t>2</w:t>
            </w:r>
            <w:r>
              <w:rPr>
                <w:rFonts w:hint="eastAsia" w:ascii="宋体" w:hAnsi="宋体" w:cs="宋体"/>
                <w:b/>
                <w:bCs/>
                <w:lang w:val="en-US" w:eastAsia="zh-CN"/>
              </w:rPr>
              <w:t>、</w:t>
            </w:r>
            <w:r>
              <w:rPr>
                <w:rFonts w:hint="eastAsia" w:ascii="宋体" w:hAnsi="宋体" w:eastAsia="宋体" w:cs="宋体"/>
                <w:b/>
                <w:bCs/>
              </w:rPr>
              <w:t>尊敬的董秘，您好！随着人工智能技术快速发展，请问公司当前业务是否已有AI相关应用落地？</w:t>
            </w:r>
          </w:p>
          <w:p w14:paraId="162545AF">
            <w:pPr>
              <w:spacing w:line="360" w:lineRule="auto"/>
              <w:ind w:firstLine="420"/>
              <w:rPr>
                <w:rFonts w:hint="eastAsia" w:asciiTheme="minorEastAsia" w:hAnsiTheme="minorEastAsia"/>
                <w:szCs w:val="21"/>
              </w:rPr>
            </w:pPr>
            <w:r>
              <w:rPr>
                <w:rFonts w:hint="eastAsia" w:asciiTheme="minorEastAsia" w:hAnsiTheme="minorEastAsia"/>
                <w:szCs w:val="21"/>
              </w:rPr>
              <w:t>尊敬的投资者，您好，感谢您对公司的关注。</w:t>
            </w:r>
          </w:p>
          <w:p w14:paraId="0913B811">
            <w:pPr>
              <w:spacing w:line="360" w:lineRule="auto"/>
              <w:ind w:firstLine="420"/>
              <w:rPr>
                <w:rFonts w:hint="eastAsia" w:asciiTheme="minorEastAsia" w:hAnsiTheme="minorEastAsia"/>
                <w:szCs w:val="21"/>
                <w:lang w:eastAsia="zh-CN"/>
              </w:rPr>
            </w:pPr>
            <w:r>
              <w:rPr>
                <w:rFonts w:hint="eastAsia" w:asciiTheme="minorEastAsia" w:hAnsiTheme="minorEastAsia"/>
                <w:szCs w:val="21"/>
              </w:rPr>
              <w:t>公司积极探索</w:t>
            </w:r>
            <w:r>
              <w:rPr>
                <w:rFonts w:hint="default" w:ascii="Times New Roman" w:hAnsi="Times New Roman" w:cs="Times New Roman"/>
                <w:szCs w:val="21"/>
              </w:rPr>
              <w:t>AI</w:t>
            </w:r>
            <w:r>
              <w:rPr>
                <w:rFonts w:hint="eastAsia" w:asciiTheme="minorEastAsia" w:hAnsiTheme="minorEastAsia"/>
                <w:szCs w:val="21"/>
              </w:rPr>
              <w:t>智能改造技术在酶蛋白优化改良、菌株代谢通路优化和智能发酵调控中的应用，已成立</w:t>
            </w:r>
            <w:bookmarkStart w:id="0" w:name="_GoBack"/>
            <w:r>
              <w:rPr>
                <w:rFonts w:hint="eastAsia" w:ascii="Times New Roman" w:hAnsi="Times New Roman" w:cs="Times New Roman"/>
                <w:szCs w:val="21"/>
              </w:rPr>
              <w:t>AI</w:t>
            </w:r>
            <w:bookmarkEnd w:id="0"/>
            <w:r>
              <w:rPr>
                <w:rFonts w:hint="eastAsia" w:asciiTheme="minorEastAsia" w:hAnsiTheme="minorEastAsia"/>
                <w:szCs w:val="21"/>
              </w:rPr>
              <w:t>技术开发及应用实验室，并围绕相关技术与企业开展合作及交流，研讨生物智能制造大模型研发平台的可行性，稳步推进AI技术在酶蛋白功能特性优化、酶蛋白质高效表达的代谢网络调控及菌种智能发酵优化等领域的探索与实践</w:t>
            </w:r>
            <w:r>
              <w:rPr>
                <w:rFonts w:hint="eastAsia" w:asciiTheme="minorEastAsia" w:hAnsiTheme="minorEastAsia"/>
                <w:szCs w:val="21"/>
                <w:lang w:eastAsia="zh-CN"/>
              </w:rPr>
              <w:t>。</w:t>
            </w:r>
          </w:p>
          <w:p w14:paraId="74636389">
            <w:pPr>
              <w:spacing w:line="360" w:lineRule="auto"/>
              <w:ind w:firstLine="420"/>
              <w:rPr>
                <w:rFonts w:hint="eastAsia" w:asciiTheme="minorEastAsia" w:hAnsiTheme="minorEastAsia"/>
                <w:szCs w:val="21"/>
                <w:lang w:eastAsia="zh-CN"/>
              </w:rPr>
            </w:pPr>
          </w:p>
          <w:p w14:paraId="59D80509">
            <w:pPr>
              <w:spacing w:line="360" w:lineRule="auto"/>
              <w:ind w:firstLine="420"/>
              <w:rPr>
                <w:rFonts w:hint="default" w:ascii="宋体" w:hAnsi="宋体" w:eastAsia="宋体" w:cs="宋体"/>
                <w:b/>
                <w:bCs/>
              </w:rPr>
            </w:pPr>
            <w:r>
              <w:rPr>
                <w:rFonts w:hint="eastAsia" w:ascii="宋体" w:hAnsi="宋体" w:eastAsia="宋体" w:cs="宋体"/>
                <w:b/>
                <w:bCs/>
              </w:rPr>
              <w:t>Q</w:t>
            </w:r>
            <w:r>
              <w:rPr>
                <w:rFonts w:hint="eastAsia" w:ascii="Times New Roman" w:hAnsi="Times New Roman" w:cs="宋体"/>
                <w:b/>
                <w:bCs/>
                <w:lang w:val="en-US" w:eastAsia="zh-CN"/>
              </w:rPr>
              <w:t>3</w:t>
            </w:r>
            <w:r>
              <w:rPr>
                <w:rFonts w:hint="eastAsia" w:ascii="宋体" w:hAnsi="宋体" w:eastAsia="宋体" w:cs="宋体"/>
                <w:b/>
                <w:bCs/>
              </w:rPr>
              <w:t>、</w:t>
            </w:r>
            <w:r>
              <w:rPr>
                <w:rFonts w:hint="default" w:ascii="宋体" w:hAnsi="宋体" w:eastAsia="宋体" w:cs="宋体"/>
                <w:b/>
                <w:bCs/>
              </w:rPr>
              <w:t>面对当前宏观经济环境，公司在下半年面临的毛利率压力主要来自哪些环节？</w:t>
            </w:r>
          </w:p>
          <w:p w14:paraId="6DFD9BF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b w:val="0"/>
                <w:bCs/>
                <w:szCs w:val="21"/>
                <w:highlight w:val="none"/>
              </w:rPr>
            </w:pPr>
            <w:r>
              <w:rPr>
                <w:rFonts w:hint="eastAsia" w:asciiTheme="minorEastAsia" w:hAnsiTheme="minorEastAsia"/>
                <w:b w:val="0"/>
                <w:bCs/>
                <w:szCs w:val="21"/>
                <w:highlight w:val="none"/>
              </w:rPr>
              <w:t>尊敬的投资者，您好，感谢您对公司的关注。</w:t>
            </w:r>
          </w:p>
          <w:p w14:paraId="4E72B5D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b w:val="0"/>
                <w:bCs/>
                <w:szCs w:val="21"/>
                <w:highlight w:val="none"/>
                <w:lang w:eastAsia="zh-CN"/>
              </w:rPr>
            </w:pPr>
            <w:r>
              <w:rPr>
                <w:rFonts w:hint="eastAsia" w:asciiTheme="minorEastAsia" w:hAnsiTheme="minorEastAsia"/>
                <w:b w:val="0"/>
                <w:bCs/>
                <w:szCs w:val="21"/>
                <w:highlight w:val="none"/>
              </w:rPr>
              <w:t>下半年公司毛利率主要受下游行业景气度、市场竞争、产品价格及原材料成本波动等因素影响。公司将持续推进降本增效、优化产品结构，努力保持盈利能力稳定</w:t>
            </w:r>
            <w:r>
              <w:rPr>
                <w:rFonts w:hint="eastAsia" w:asciiTheme="minorEastAsia" w:hAnsiTheme="minorEastAsia"/>
                <w:b w:val="0"/>
                <w:bCs/>
                <w:szCs w:val="21"/>
                <w:highlight w:val="none"/>
                <w:lang w:eastAsia="zh-CN"/>
              </w:rPr>
              <w:t>。</w:t>
            </w:r>
          </w:p>
          <w:p w14:paraId="6F04EEE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b w:val="0"/>
                <w:bCs/>
                <w:szCs w:val="21"/>
                <w:highlight w:val="none"/>
                <w:lang w:eastAsia="zh-CN"/>
              </w:rPr>
            </w:pPr>
          </w:p>
          <w:p w14:paraId="5187ADA2">
            <w:pPr>
              <w:spacing w:line="360" w:lineRule="auto"/>
              <w:ind w:firstLine="420"/>
              <w:rPr>
                <w:rFonts w:hint="eastAsia" w:ascii="宋体" w:hAnsi="宋体" w:eastAsia="宋体" w:cs="宋体"/>
                <w:b/>
                <w:bCs/>
                <w:lang w:eastAsia="zh-CN"/>
              </w:rPr>
            </w:pPr>
            <w:r>
              <w:rPr>
                <w:rFonts w:hint="eastAsia" w:ascii="宋体" w:hAnsi="宋体" w:eastAsia="宋体" w:cs="宋体"/>
                <w:b/>
                <w:bCs/>
              </w:rPr>
              <w:t>Q</w:t>
            </w:r>
            <w:r>
              <w:rPr>
                <w:rFonts w:hint="eastAsia" w:ascii="Times New Roman" w:hAnsi="Times New Roman" w:cs="宋体"/>
                <w:b/>
                <w:bCs/>
                <w:lang w:val="en-US" w:eastAsia="zh-CN"/>
              </w:rPr>
              <w:t>4</w:t>
            </w:r>
            <w:r>
              <w:rPr>
                <w:rFonts w:hint="eastAsia" w:ascii="宋体" w:hAnsi="宋体" w:eastAsia="宋体" w:cs="宋体"/>
                <w:b/>
                <w:bCs/>
              </w:rPr>
              <w:t>、尊敬的姜总，请问公司在研发投入方面有何变化</w:t>
            </w:r>
            <w:r>
              <w:rPr>
                <w:rFonts w:hint="eastAsia" w:ascii="宋体" w:hAnsi="宋体" w:cs="宋体"/>
                <w:b/>
                <w:bCs/>
                <w:lang w:eastAsia="zh-CN"/>
              </w:rPr>
              <w:t>？</w:t>
            </w:r>
          </w:p>
          <w:p w14:paraId="0E505ED7">
            <w:pPr>
              <w:spacing w:before="156" w:beforeLines="50" w:line="360" w:lineRule="auto"/>
              <w:ind w:firstLine="420" w:firstLineChars="200"/>
              <w:rPr>
                <w:rFonts w:hint="eastAsia" w:asciiTheme="minorEastAsia" w:hAnsiTheme="minorEastAsia"/>
                <w:szCs w:val="21"/>
              </w:rPr>
            </w:pPr>
            <w:r>
              <w:rPr>
                <w:rFonts w:hint="eastAsia" w:asciiTheme="minorEastAsia" w:hAnsiTheme="minorEastAsia"/>
                <w:szCs w:val="21"/>
              </w:rPr>
              <w:t>尊敬的投资者，您好，感谢您对公司的关注。</w:t>
            </w:r>
          </w:p>
          <w:p w14:paraId="60D2E096">
            <w:pPr>
              <w:spacing w:before="156" w:beforeLines="50" w:line="360" w:lineRule="auto"/>
              <w:ind w:firstLine="420" w:firstLineChars="200"/>
              <w:rPr>
                <w:rFonts w:hint="eastAsia" w:asciiTheme="minorEastAsia" w:hAnsiTheme="minorEastAsia"/>
                <w:szCs w:val="21"/>
              </w:rPr>
            </w:pPr>
            <w:r>
              <w:rPr>
                <w:rFonts w:hint="eastAsia" w:ascii="Times New Roman" w:hAnsi="Times New Roman"/>
                <w:szCs w:val="21"/>
              </w:rPr>
              <w:t>2026</w:t>
            </w:r>
            <w:r>
              <w:rPr>
                <w:rFonts w:hint="eastAsia" w:asciiTheme="minorEastAsia" w:hAnsiTheme="minorEastAsia"/>
                <w:szCs w:val="21"/>
              </w:rPr>
              <w:t>年上半年，公司研发投入</w:t>
            </w:r>
            <w:r>
              <w:rPr>
                <w:rFonts w:hint="eastAsia" w:ascii="Times New Roman" w:hAnsi="Times New Roman"/>
                <w:szCs w:val="21"/>
              </w:rPr>
              <w:t>6</w:t>
            </w:r>
            <w:r>
              <w:rPr>
                <w:rFonts w:hint="eastAsia" w:asciiTheme="minorEastAsia" w:hAnsiTheme="minorEastAsia"/>
                <w:szCs w:val="21"/>
              </w:rPr>
              <w:t>,</w:t>
            </w:r>
            <w:r>
              <w:rPr>
                <w:rFonts w:hint="eastAsia" w:ascii="Times New Roman" w:hAnsi="Times New Roman"/>
                <w:szCs w:val="21"/>
              </w:rPr>
              <w:t>203</w:t>
            </w:r>
            <w:r>
              <w:rPr>
                <w:rFonts w:hint="eastAsia" w:asciiTheme="minorEastAsia" w:hAnsiTheme="minorEastAsia"/>
                <w:szCs w:val="21"/>
              </w:rPr>
              <w:t>.</w:t>
            </w:r>
            <w:r>
              <w:rPr>
                <w:rFonts w:hint="eastAsia" w:ascii="Times New Roman" w:hAnsi="Times New Roman"/>
                <w:szCs w:val="21"/>
              </w:rPr>
              <w:t>38</w:t>
            </w:r>
            <w:r>
              <w:rPr>
                <w:rFonts w:hint="eastAsia" w:asciiTheme="minorEastAsia" w:hAnsiTheme="minorEastAsia"/>
                <w:szCs w:val="21"/>
              </w:rPr>
              <w:t>万元，占营业收入的</w:t>
            </w:r>
            <w:r>
              <w:rPr>
                <w:rFonts w:hint="eastAsia" w:ascii="Times New Roman" w:hAnsi="Times New Roman"/>
                <w:szCs w:val="21"/>
              </w:rPr>
              <w:t>8</w:t>
            </w:r>
            <w:r>
              <w:rPr>
                <w:rFonts w:hint="eastAsia" w:asciiTheme="minorEastAsia" w:hAnsiTheme="minorEastAsia"/>
                <w:szCs w:val="21"/>
              </w:rPr>
              <w:t>.</w:t>
            </w:r>
            <w:r>
              <w:rPr>
                <w:rFonts w:hint="eastAsia" w:ascii="Times New Roman" w:hAnsi="Times New Roman"/>
                <w:szCs w:val="21"/>
              </w:rPr>
              <w:t>74</w:t>
            </w:r>
            <w:r>
              <w:rPr>
                <w:rFonts w:hint="eastAsia" w:asciiTheme="minorEastAsia" w:hAnsiTheme="minorEastAsia"/>
                <w:szCs w:val="21"/>
              </w:rPr>
              <w:t>%，在行业中处于较高水平。</w:t>
            </w:r>
          </w:p>
          <w:p w14:paraId="6F312E34">
            <w:pPr>
              <w:spacing w:before="156" w:beforeLines="50" w:line="360" w:lineRule="auto"/>
              <w:ind w:firstLine="420" w:firstLineChars="200"/>
              <w:rPr>
                <w:rFonts w:hint="eastAsia" w:asciiTheme="minorEastAsia" w:hAnsiTheme="minorEastAsia"/>
                <w:szCs w:val="21"/>
              </w:rPr>
            </w:pPr>
            <w:r>
              <w:rPr>
                <w:rFonts w:hint="eastAsia" w:asciiTheme="minorEastAsia" w:hAnsiTheme="minorEastAsia"/>
                <w:szCs w:val="21"/>
              </w:rPr>
              <w:t>公司搭建了</w:t>
            </w:r>
            <w:r>
              <w:rPr>
                <w:rFonts w:hint="eastAsia" w:ascii="Times New Roman" w:hAnsi="Times New Roman"/>
                <w:szCs w:val="21"/>
              </w:rPr>
              <w:t>6</w:t>
            </w:r>
            <w:r>
              <w:rPr>
                <w:rFonts w:hint="eastAsia" w:asciiTheme="minorEastAsia" w:hAnsiTheme="minorEastAsia"/>
                <w:szCs w:val="21"/>
              </w:rPr>
              <w:t>大技术中心和</w:t>
            </w:r>
            <w:r>
              <w:rPr>
                <w:rFonts w:hint="eastAsia" w:ascii="Times New Roman" w:hAnsi="Times New Roman"/>
                <w:szCs w:val="21"/>
              </w:rPr>
              <w:t>2</w:t>
            </w:r>
            <w:r>
              <w:rPr>
                <w:rFonts w:hint="eastAsia" w:asciiTheme="minorEastAsia" w:hAnsiTheme="minorEastAsia"/>
                <w:szCs w:val="21"/>
              </w:rPr>
              <w:t>个重点实验室，并依托</w:t>
            </w:r>
            <w:r>
              <w:rPr>
                <w:rFonts w:hint="eastAsia" w:ascii="Times New Roman" w:hAnsi="Times New Roman"/>
                <w:szCs w:val="21"/>
              </w:rPr>
              <w:t>8</w:t>
            </w:r>
            <w:r>
              <w:rPr>
                <w:rFonts w:hint="eastAsia" w:asciiTheme="minorEastAsia" w:hAnsiTheme="minorEastAsia"/>
                <w:szCs w:val="21"/>
              </w:rPr>
              <w:t>个国家级创新平台开展研发工作，实行“双长制＋产品经理”的研发管理模式，使用基于集成产品开发系统的管理平台对研发项目进行过程管理，开展了多个领域的应用研发和产品推广。公司的研发以市场为导向，以新产品和新技术开发为目标，以应用研发为纽带，将实验室成果转化成市场需要的产品。</w:t>
            </w:r>
          </w:p>
          <w:p w14:paraId="3CD16AF3">
            <w:pPr>
              <w:spacing w:before="156" w:beforeLines="50" w:line="360" w:lineRule="auto"/>
              <w:ind w:firstLine="420" w:firstLineChars="200"/>
              <w:rPr>
                <w:rFonts w:hint="eastAsia" w:asciiTheme="minorEastAsia" w:hAnsiTheme="minorEastAsia"/>
                <w:szCs w:val="21"/>
              </w:rPr>
            </w:pPr>
            <w:r>
              <w:rPr>
                <w:rFonts w:hint="eastAsia" w:asciiTheme="minorEastAsia" w:hAnsiTheme="minorEastAsia"/>
                <w:szCs w:val="21"/>
              </w:rPr>
              <w:t>截至</w:t>
            </w:r>
            <w:r>
              <w:rPr>
                <w:rFonts w:hint="eastAsia" w:ascii="Times New Roman" w:hAnsi="Times New Roman"/>
                <w:szCs w:val="21"/>
                <w:lang w:val="en-US" w:eastAsia="zh-CN"/>
              </w:rPr>
              <w:t>2026</w:t>
            </w:r>
            <w:r>
              <w:rPr>
                <w:rFonts w:hint="eastAsia" w:asciiTheme="minorEastAsia" w:hAnsiTheme="minorEastAsia"/>
                <w:szCs w:val="21"/>
                <w:lang w:val="en-US" w:eastAsia="zh-CN"/>
              </w:rPr>
              <w:t>年</w:t>
            </w:r>
            <w:r>
              <w:rPr>
                <w:rFonts w:hint="eastAsia" w:ascii="Times New Roman" w:hAnsi="Times New Roman"/>
                <w:szCs w:val="21"/>
                <w:lang w:val="en-US" w:eastAsia="zh-CN"/>
              </w:rPr>
              <w:t>6</w:t>
            </w:r>
            <w:r>
              <w:rPr>
                <w:rFonts w:hint="eastAsia" w:asciiTheme="minorEastAsia" w:hAnsiTheme="minorEastAsia"/>
                <w:szCs w:val="21"/>
                <w:lang w:val="en-US" w:eastAsia="zh-CN"/>
              </w:rPr>
              <w:t>月</w:t>
            </w:r>
            <w:r>
              <w:rPr>
                <w:rFonts w:hint="eastAsia" w:ascii="Times New Roman" w:hAnsi="Times New Roman"/>
                <w:szCs w:val="21"/>
                <w:lang w:val="en-US" w:eastAsia="zh-CN"/>
              </w:rPr>
              <w:t>30</w:t>
            </w:r>
            <w:r>
              <w:rPr>
                <w:rFonts w:hint="eastAsia" w:asciiTheme="minorEastAsia" w:hAnsiTheme="minorEastAsia"/>
                <w:szCs w:val="21"/>
                <w:lang w:val="en-US" w:eastAsia="zh-CN"/>
              </w:rPr>
              <w:t>日</w:t>
            </w:r>
            <w:r>
              <w:rPr>
                <w:rFonts w:hint="eastAsia" w:asciiTheme="minorEastAsia" w:hAnsiTheme="minorEastAsia"/>
                <w:szCs w:val="21"/>
              </w:rPr>
              <w:t>，公司及其子公司</w:t>
            </w:r>
            <w:r>
              <w:rPr>
                <w:rFonts w:hint="eastAsia" w:asciiTheme="minorEastAsia" w:hAnsiTheme="minorEastAsia"/>
                <w:szCs w:val="21"/>
                <w:lang w:val="en-US" w:eastAsia="zh-CN"/>
              </w:rPr>
              <w:t>拥</w:t>
            </w:r>
            <w:r>
              <w:rPr>
                <w:rFonts w:hint="eastAsia" w:asciiTheme="minorEastAsia" w:hAnsiTheme="minorEastAsia"/>
                <w:szCs w:val="21"/>
              </w:rPr>
              <w:t>有博士</w:t>
            </w:r>
            <w:r>
              <w:rPr>
                <w:rFonts w:hint="eastAsia" w:ascii="Times New Roman" w:hAnsi="Times New Roman"/>
                <w:szCs w:val="21"/>
              </w:rPr>
              <w:t>36</w:t>
            </w:r>
            <w:r>
              <w:rPr>
                <w:rFonts w:hint="eastAsia" w:asciiTheme="minorEastAsia" w:hAnsiTheme="minorEastAsia"/>
                <w:szCs w:val="21"/>
              </w:rPr>
              <w:t>人，专职研发人员</w:t>
            </w:r>
            <w:r>
              <w:rPr>
                <w:rFonts w:hint="eastAsia" w:ascii="Times New Roman" w:hAnsi="Times New Roman"/>
                <w:szCs w:val="21"/>
              </w:rPr>
              <w:t>261</w:t>
            </w:r>
            <w:r>
              <w:rPr>
                <w:rFonts w:hint="eastAsia" w:asciiTheme="minorEastAsia" w:hAnsiTheme="minorEastAsia"/>
                <w:szCs w:val="21"/>
              </w:rPr>
              <w:t>人</w:t>
            </w:r>
            <w:r>
              <w:rPr>
                <w:rFonts w:hint="eastAsia" w:asciiTheme="minorEastAsia" w:hAnsiTheme="minorEastAsia"/>
                <w:szCs w:val="21"/>
                <w:lang w:eastAsia="zh-CN"/>
              </w:rPr>
              <w:t>，</w:t>
            </w:r>
            <w:r>
              <w:rPr>
                <w:rFonts w:hint="eastAsia" w:asciiTheme="minorEastAsia" w:hAnsiTheme="minorEastAsia"/>
                <w:szCs w:val="21"/>
              </w:rPr>
              <w:t>拥有国内有效发明专利</w:t>
            </w:r>
            <w:r>
              <w:rPr>
                <w:rFonts w:hint="eastAsia" w:ascii="Times New Roman" w:hAnsi="Times New Roman"/>
                <w:szCs w:val="21"/>
              </w:rPr>
              <w:t>446</w:t>
            </w:r>
            <w:r>
              <w:rPr>
                <w:rFonts w:hint="eastAsia" w:asciiTheme="minorEastAsia" w:hAnsiTheme="minorEastAsia"/>
                <w:szCs w:val="21"/>
              </w:rPr>
              <w:t>件、美国有效专利</w:t>
            </w:r>
            <w:r>
              <w:rPr>
                <w:rFonts w:hint="eastAsia" w:ascii="Times New Roman" w:hAnsi="Times New Roman"/>
                <w:szCs w:val="21"/>
              </w:rPr>
              <w:t>13</w:t>
            </w:r>
            <w:r>
              <w:rPr>
                <w:rFonts w:hint="eastAsia" w:asciiTheme="minorEastAsia" w:hAnsiTheme="minorEastAsia"/>
                <w:szCs w:val="21"/>
              </w:rPr>
              <w:t>件、欧洲有效专利</w:t>
            </w:r>
            <w:r>
              <w:rPr>
                <w:rFonts w:hint="eastAsia" w:ascii="Times New Roman" w:hAnsi="Times New Roman"/>
                <w:szCs w:val="21"/>
              </w:rPr>
              <w:t>4</w:t>
            </w:r>
            <w:r>
              <w:rPr>
                <w:rFonts w:hint="eastAsia" w:asciiTheme="minorEastAsia" w:hAnsiTheme="minorEastAsia"/>
                <w:szCs w:val="21"/>
              </w:rPr>
              <w:t>件、PCT国际申请</w:t>
            </w:r>
            <w:r>
              <w:rPr>
                <w:rFonts w:hint="eastAsia" w:ascii="Times New Roman" w:hAnsi="Times New Roman"/>
                <w:szCs w:val="21"/>
              </w:rPr>
              <w:t>28</w:t>
            </w:r>
            <w:r>
              <w:rPr>
                <w:rFonts w:hint="eastAsia" w:asciiTheme="minorEastAsia" w:hAnsiTheme="minorEastAsia"/>
                <w:szCs w:val="21"/>
              </w:rPr>
              <w:t>件，新兽药注册证书</w:t>
            </w:r>
            <w:r>
              <w:rPr>
                <w:rFonts w:hint="eastAsia" w:ascii="Times New Roman" w:hAnsi="Times New Roman"/>
                <w:szCs w:val="21"/>
              </w:rPr>
              <w:t>60</w:t>
            </w:r>
            <w:r>
              <w:rPr>
                <w:rFonts w:hint="eastAsia" w:asciiTheme="minorEastAsia" w:hAnsiTheme="minorEastAsia"/>
                <w:szCs w:val="21"/>
              </w:rPr>
              <w:t>个（包括国家一类新兽药</w:t>
            </w:r>
            <w:r>
              <w:rPr>
                <w:rFonts w:hint="eastAsia" w:ascii="Times New Roman" w:hAnsi="Times New Roman"/>
                <w:szCs w:val="21"/>
              </w:rPr>
              <w:t>3</w:t>
            </w:r>
            <w:r>
              <w:rPr>
                <w:rFonts w:hint="eastAsia" w:asciiTheme="minorEastAsia" w:hAnsiTheme="minorEastAsia"/>
                <w:szCs w:val="21"/>
              </w:rPr>
              <w:t>项）。</w:t>
            </w:r>
          </w:p>
          <w:p w14:paraId="44DA09F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rPr>
            </w:pPr>
          </w:p>
        </w:tc>
      </w:tr>
      <w:tr w14:paraId="4D477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3" w:type="dxa"/>
            <w:tcBorders>
              <w:top w:val="single" w:color="auto" w:sz="4" w:space="0"/>
              <w:left w:val="single" w:color="auto" w:sz="4" w:space="0"/>
              <w:bottom w:val="single" w:color="auto" w:sz="4" w:space="0"/>
              <w:right w:val="single" w:color="auto" w:sz="4" w:space="0"/>
            </w:tcBorders>
            <w:vAlign w:val="center"/>
          </w:tcPr>
          <w:p w14:paraId="6096B62F">
            <w:pPr>
              <w:spacing w:line="360" w:lineRule="auto"/>
              <w:jc w:val="center"/>
              <w:rPr>
                <w:rFonts w:hint="eastAsia" w:ascii="宋体" w:hAnsi="宋体"/>
                <w:b/>
                <w:iCs/>
                <w:szCs w:val="21"/>
              </w:rPr>
            </w:pPr>
            <w:r>
              <w:rPr>
                <w:rFonts w:hint="eastAsia" w:ascii="宋体" w:hAnsi="宋体"/>
                <w:b/>
                <w:iCs/>
                <w:szCs w:val="21"/>
              </w:rPr>
              <w:t>资料清单（如有）</w:t>
            </w:r>
          </w:p>
        </w:tc>
        <w:tc>
          <w:tcPr>
            <w:tcW w:w="7626" w:type="dxa"/>
            <w:tcBorders>
              <w:top w:val="single" w:color="auto" w:sz="4" w:space="0"/>
              <w:left w:val="single" w:color="auto" w:sz="4" w:space="0"/>
              <w:bottom w:val="single" w:color="auto" w:sz="4" w:space="0"/>
              <w:right w:val="single" w:color="auto" w:sz="4" w:space="0"/>
            </w:tcBorders>
            <w:vAlign w:val="center"/>
          </w:tcPr>
          <w:p w14:paraId="10D81918">
            <w:pPr>
              <w:spacing w:line="360" w:lineRule="auto"/>
              <w:rPr>
                <w:rFonts w:hint="eastAsia" w:ascii="宋体" w:hAnsi="宋体"/>
                <w:bCs/>
                <w:iCs/>
                <w:szCs w:val="21"/>
              </w:rPr>
            </w:pPr>
            <w:r>
              <w:rPr>
                <w:rFonts w:hint="eastAsia" w:ascii="宋体" w:hAnsi="宋体"/>
                <w:bCs/>
                <w:iCs/>
                <w:szCs w:val="21"/>
              </w:rPr>
              <w:t>无</w:t>
            </w:r>
          </w:p>
        </w:tc>
      </w:tr>
      <w:tr w14:paraId="3613D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3" w:type="dxa"/>
            <w:tcBorders>
              <w:top w:val="single" w:color="auto" w:sz="4" w:space="0"/>
              <w:left w:val="single" w:color="auto" w:sz="4" w:space="0"/>
              <w:bottom w:val="single" w:color="auto" w:sz="4" w:space="0"/>
              <w:right w:val="single" w:color="auto" w:sz="4" w:space="0"/>
            </w:tcBorders>
            <w:vAlign w:val="center"/>
          </w:tcPr>
          <w:p w14:paraId="4996083D">
            <w:pPr>
              <w:spacing w:line="360" w:lineRule="auto"/>
              <w:jc w:val="center"/>
              <w:rPr>
                <w:rFonts w:hint="eastAsia" w:ascii="宋体" w:hAnsi="宋体"/>
                <w:b/>
                <w:iCs/>
                <w:szCs w:val="21"/>
              </w:rPr>
            </w:pPr>
            <w:r>
              <w:rPr>
                <w:rFonts w:hint="eastAsia" w:ascii="宋体" w:hAnsi="宋体"/>
                <w:b/>
                <w:iCs/>
                <w:szCs w:val="21"/>
              </w:rPr>
              <w:t>日期</w:t>
            </w:r>
          </w:p>
        </w:tc>
        <w:tc>
          <w:tcPr>
            <w:tcW w:w="7626" w:type="dxa"/>
            <w:tcBorders>
              <w:top w:val="single" w:color="auto" w:sz="4" w:space="0"/>
              <w:left w:val="single" w:color="auto" w:sz="4" w:space="0"/>
              <w:bottom w:val="single" w:color="auto" w:sz="4" w:space="0"/>
              <w:right w:val="single" w:color="auto" w:sz="4" w:space="0"/>
            </w:tcBorders>
          </w:tcPr>
          <w:p w14:paraId="1BC6D631">
            <w:pPr>
              <w:spacing w:line="360" w:lineRule="auto"/>
              <w:rPr>
                <w:rFonts w:hint="eastAsia" w:ascii="宋体" w:hAnsi="宋体"/>
                <w:bCs/>
                <w:iCs/>
                <w:szCs w:val="21"/>
              </w:rPr>
            </w:pPr>
            <w:r>
              <w:rPr>
                <w:rFonts w:hint="eastAsia" w:ascii="Times New Roman" w:hAnsi="Times New Roman"/>
                <w:bCs/>
                <w:iCs/>
                <w:szCs w:val="21"/>
              </w:rPr>
              <w:t>20</w:t>
            </w:r>
            <w:r>
              <w:rPr>
                <w:rFonts w:ascii="Times New Roman" w:hAnsi="Times New Roman"/>
                <w:bCs/>
                <w:iCs/>
                <w:szCs w:val="21"/>
              </w:rPr>
              <w:t>2</w:t>
            </w:r>
            <w:r>
              <w:rPr>
                <w:rFonts w:hint="eastAsia" w:ascii="Times New Roman" w:hAnsi="Times New Roman"/>
                <w:bCs/>
                <w:iCs/>
                <w:szCs w:val="21"/>
                <w:lang w:val="en-US" w:eastAsia="zh-CN"/>
              </w:rPr>
              <w:t>6</w:t>
            </w:r>
            <w:r>
              <w:rPr>
                <w:rFonts w:hint="eastAsia" w:ascii="宋体" w:hAnsi="宋体"/>
                <w:bCs/>
                <w:iCs/>
                <w:szCs w:val="21"/>
              </w:rPr>
              <w:t>年</w:t>
            </w:r>
            <w:r>
              <w:rPr>
                <w:rFonts w:hint="eastAsia" w:ascii="Times New Roman" w:hAnsi="Times New Roman"/>
                <w:bCs/>
                <w:iCs/>
                <w:szCs w:val="21"/>
                <w:lang w:val="en-US" w:eastAsia="zh-CN"/>
              </w:rPr>
              <w:t>9</w:t>
            </w:r>
            <w:r>
              <w:rPr>
                <w:rFonts w:hint="eastAsia" w:ascii="宋体" w:hAnsi="宋体"/>
                <w:bCs/>
                <w:iCs/>
                <w:szCs w:val="21"/>
              </w:rPr>
              <w:t>月</w:t>
            </w:r>
            <w:r>
              <w:rPr>
                <w:rFonts w:hint="eastAsia" w:ascii="Times New Roman" w:hAnsi="Times New Roman"/>
                <w:bCs/>
                <w:iCs/>
                <w:szCs w:val="21"/>
                <w:lang w:val="en-US" w:eastAsia="zh-CN"/>
              </w:rPr>
              <w:t>4</w:t>
            </w:r>
            <w:r>
              <w:rPr>
                <w:rFonts w:hint="eastAsia" w:ascii="宋体" w:hAnsi="宋体"/>
                <w:bCs/>
                <w:iCs/>
                <w:szCs w:val="21"/>
              </w:rPr>
              <w:t>日</w:t>
            </w:r>
          </w:p>
        </w:tc>
      </w:tr>
    </w:tbl>
    <w:p w14:paraId="32C3DBF2"/>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iyuan">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4138714"/>
      <w:docPartObj>
        <w:docPartGallery w:val="autotext"/>
      </w:docPartObj>
    </w:sdtPr>
    <w:sdtContent>
      <w:sdt>
        <w:sdtPr>
          <w:id w:val="1728636285"/>
          <w:docPartObj>
            <w:docPartGallery w:val="autotext"/>
          </w:docPartObj>
        </w:sdtPr>
        <w:sdtContent>
          <w:p w14:paraId="22730864">
            <w:pPr>
              <w:pStyle w:val="4"/>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14:paraId="45E6F280">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991"/>
    <w:rsid w:val="00003313"/>
    <w:rsid w:val="0000481D"/>
    <w:rsid w:val="00005DAC"/>
    <w:rsid w:val="00011116"/>
    <w:rsid w:val="0001124C"/>
    <w:rsid w:val="000112A8"/>
    <w:rsid w:val="0001248C"/>
    <w:rsid w:val="00013EB8"/>
    <w:rsid w:val="00015ECA"/>
    <w:rsid w:val="000179F8"/>
    <w:rsid w:val="000327A3"/>
    <w:rsid w:val="000376BD"/>
    <w:rsid w:val="00041F36"/>
    <w:rsid w:val="00042425"/>
    <w:rsid w:val="00042D61"/>
    <w:rsid w:val="0004381D"/>
    <w:rsid w:val="0004425A"/>
    <w:rsid w:val="00050639"/>
    <w:rsid w:val="00053079"/>
    <w:rsid w:val="000538B2"/>
    <w:rsid w:val="000555E8"/>
    <w:rsid w:val="00055B93"/>
    <w:rsid w:val="00056A56"/>
    <w:rsid w:val="00060417"/>
    <w:rsid w:val="00062ED2"/>
    <w:rsid w:val="00065F9A"/>
    <w:rsid w:val="0007165F"/>
    <w:rsid w:val="000716B2"/>
    <w:rsid w:val="00073E27"/>
    <w:rsid w:val="000745D4"/>
    <w:rsid w:val="00075D83"/>
    <w:rsid w:val="00077F0A"/>
    <w:rsid w:val="00083170"/>
    <w:rsid w:val="0008715E"/>
    <w:rsid w:val="00090110"/>
    <w:rsid w:val="0009157B"/>
    <w:rsid w:val="000937D8"/>
    <w:rsid w:val="00094559"/>
    <w:rsid w:val="000963F8"/>
    <w:rsid w:val="00096790"/>
    <w:rsid w:val="00097010"/>
    <w:rsid w:val="00097358"/>
    <w:rsid w:val="000A1720"/>
    <w:rsid w:val="000A35C0"/>
    <w:rsid w:val="000A3D1C"/>
    <w:rsid w:val="000A41FF"/>
    <w:rsid w:val="000A4D0A"/>
    <w:rsid w:val="000B5B1D"/>
    <w:rsid w:val="000B75FA"/>
    <w:rsid w:val="000C1FF1"/>
    <w:rsid w:val="000C29B6"/>
    <w:rsid w:val="000C4790"/>
    <w:rsid w:val="000C4CE9"/>
    <w:rsid w:val="000C6998"/>
    <w:rsid w:val="000C6ABC"/>
    <w:rsid w:val="000D0AC5"/>
    <w:rsid w:val="000D2D4F"/>
    <w:rsid w:val="000D6EFD"/>
    <w:rsid w:val="000D78E1"/>
    <w:rsid w:val="000D79E7"/>
    <w:rsid w:val="000D79FA"/>
    <w:rsid w:val="000D7A0E"/>
    <w:rsid w:val="000F0064"/>
    <w:rsid w:val="000F172B"/>
    <w:rsid w:val="000F342B"/>
    <w:rsid w:val="000F42C3"/>
    <w:rsid w:val="000F4792"/>
    <w:rsid w:val="000F483F"/>
    <w:rsid w:val="000F546C"/>
    <w:rsid w:val="000F7283"/>
    <w:rsid w:val="001002C9"/>
    <w:rsid w:val="00100650"/>
    <w:rsid w:val="00105E12"/>
    <w:rsid w:val="001072B6"/>
    <w:rsid w:val="00110E5C"/>
    <w:rsid w:val="001123BE"/>
    <w:rsid w:val="001133D6"/>
    <w:rsid w:val="001165C2"/>
    <w:rsid w:val="00116EAF"/>
    <w:rsid w:val="00120DAE"/>
    <w:rsid w:val="00122DCC"/>
    <w:rsid w:val="0012316E"/>
    <w:rsid w:val="00125A8C"/>
    <w:rsid w:val="00131DF5"/>
    <w:rsid w:val="00133D3D"/>
    <w:rsid w:val="001352BA"/>
    <w:rsid w:val="00136AE0"/>
    <w:rsid w:val="00137B14"/>
    <w:rsid w:val="001460A5"/>
    <w:rsid w:val="0014658E"/>
    <w:rsid w:val="00147055"/>
    <w:rsid w:val="0015027D"/>
    <w:rsid w:val="0015253F"/>
    <w:rsid w:val="00153982"/>
    <w:rsid w:val="00154DCA"/>
    <w:rsid w:val="0015685B"/>
    <w:rsid w:val="0015750F"/>
    <w:rsid w:val="00160A06"/>
    <w:rsid w:val="001645CD"/>
    <w:rsid w:val="00165405"/>
    <w:rsid w:val="0016550A"/>
    <w:rsid w:val="00166C5B"/>
    <w:rsid w:val="00166D7C"/>
    <w:rsid w:val="00174CA2"/>
    <w:rsid w:val="0017794C"/>
    <w:rsid w:val="00190A30"/>
    <w:rsid w:val="0019123E"/>
    <w:rsid w:val="001932C3"/>
    <w:rsid w:val="001972E7"/>
    <w:rsid w:val="001A0212"/>
    <w:rsid w:val="001A18EE"/>
    <w:rsid w:val="001A2CB0"/>
    <w:rsid w:val="001A3082"/>
    <w:rsid w:val="001A412F"/>
    <w:rsid w:val="001B35BA"/>
    <w:rsid w:val="001B45E2"/>
    <w:rsid w:val="001B73AD"/>
    <w:rsid w:val="001C1CF1"/>
    <w:rsid w:val="001C2658"/>
    <w:rsid w:val="001C2683"/>
    <w:rsid w:val="001C3BC8"/>
    <w:rsid w:val="001C4C70"/>
    <w:rsid w:val="001C7856"/>
    <w:rsid w:val="001D0424"/>
    <w:rsid w:val="001D0AE1"/>
    <w:rsid w:val="001D0AED"/>
    <w:rsid w:val="001D15C8"/>
    <w:rsid w:val="001D71CA"/>
    <w:rsid w:val="001E0BFC"/>
    <w:rsid w:val="001E1D06"/>
    <w:rsid w:val="001E1FF3"/>
    <w:rsid w:val="001E3D90"/>
    <w:rsid w:val="001E43F2"/>
    <w:rsid w:val="001E47E8"/>
    <w:rsid w:val="001E6FA0"/>
    <w:rsid w:val="001E7D40"/>
    <w:rsid w:val="001F0F44"/>
    <w:rsid w:val="001F0F48"/>
    <w:rsid w:val="001F5292"/>
    <w:rsid w:val="00200378"/>
    <w:rsid w:val="0020501B"/>
    <w:rsid w:val="0020628B"/>
    <w:rsid w:val="002065C5"/>
    <w:rsid w:val="002147A0"/>
    <w:rsid w:val="00214920"/>
    <w:rsid w:val="002156BA"/>
    <w:rsid w:val="002163EC"/>
    <w:rsid w:val="00220D67"/>
    <w:rsid w:val="00224B65"/>
    <w:rsid w:val="002251AA"/>
    <w:rsid w:val="0022532B"/>
    <w:rsid w:val="00225678"/>
    <w:rsid w:val="00230B44"/>
    <w:rsid w:val="00234315"/>
    <w:rsid w:val="00237B81"/>
    <w:rsid w:val="0024021D"/>
    <w:rsid w:val="00243779"/>
    <w:rsid w:val="002438FD"/>
    <w:rsid w:val="00244A8D"/>
    <w:rsid w:val="00250796"/>
    <w:rsid w:val="00255050"/>
    <w:rsid w:val="00255ED3"/>
    <w:rsid w:val="0025798C"/>
    <w:rsid w:val="00260083"/>
    <w:rsid w:val="00262656"/>
    <w:rsid w:val="00263832"/>
    <w:rsid w:val="002645F6"/>
    <w:rsid w:val="0026505E"/>
    <w:rsid w:val="00267CCA"/>
    <w:rsid w:val="00272FDB"/>
    <w:rsid w:val="00275DB6"/>
    <w:rsid w:val="00277B2E"/>
    <w:rsid w:val="00280B3D"/>
    <w:rsid w:val="00285604"/>
    <w:rsid w:val="00285C06"/>
    <w:rsid w:val="00292B89"/>
    <w:rsid w:val="00293E1C"/>
    <w:rsid w:val="002950D1"/>
    <w:rsid w:val="00297DA1"/>
    <w:rsid w:val="002A0E68"/>
    <w:rsid w:val="002A20EE"/>
    <w:rsid w:val="002A23E4"/>
    <w:rsid w:val="002A39C8"/>
    <w:rsid w:val="002A4F5B"/>
    <w:rsid w:val="002A6558"/>
    <w:rsid w:val="002B08BB"/>
    <w:rsid w:val="002C459F"/>
    <w:rsid w:val="002C5642"/>
    <w:rsid w:val="002C79A0"/>
    <w:rsid w:val="002D115E"/>
    <w:rsid w:val="002D1FB4"/>
    <w:rsid w:val="002D53EB"/>
    <w:rsid w:val="002D605F"/>
    <w:rsid w:val="002D66F8"/>
    <w:rsid w:val="002E3531"/>
    <w:rsid w:val="002E6F8A"/>
    <w:rsid w:val="00301A0A"/>
    <w:rsid w:val="00302C67"/>
    <w:rsid w:val="00303971"/>
    <w:rsid w:val="003047A1"/>
    <w:rsid w:val="003116F8"/>
    <w:rsid w:val="0031175F"/>
    <w:rsid w:val="00311901"/>
    <w:rsid w:val="00312A87"/>
    <w:rsid w:val="00312FC4"/>
    <w:rsid w:val="0031376D"/>
    <w:rsid w:val="00315695"/>
    <w:rsid w:val="0032148D"/>
    <w:rsid w:val="00322AB5"/>
    <w:rsid w:val="00322DB6"/>
    <w:rsid w:val="003251C0"/>
    <w:rsid w:val="00327E87"/>
    <w:rsid w:val="00330197"/>
    <w:rsid w:val="003338D3"/>
    <w:rsid w:val="003348C8"/>
    <w:rsid w:val="00345859"/>
    <w:rsid w:val="00350081"/>
    <w:rsid w:val="0035357C"/>
    <w:rsid w:val="0035378E"/>
    <w:rsid w:val="003554FF"/>
    <w:rsid w:val="00357536"/>
    <w:rsid w:val="00357E91"/>
    <w:rsid w:val="00360FF6"/>
    <w:rsid w:val="0037108B"/>
    <w:rsid w:val="00373E26"/>
    <w:rsid w:val="00374542"/>
    <w:rsid w:val="00377F4B"/>
    <w:rsid w:val="0038296C"/>
    <w:rsid w:val="00383C24"/>
    <w:rsid w:val="00384F11"/>
    <w:rsid w:val="00385DE6"/>
    <w:rsid w:val="00390750"/>
    <w:rsid w:val="003924B7"/>
    <w:rsid w:val="00392797"/>
    <w:rsid w:val="00392C3A"/>
    <w:rsid w:val="003938E4"/>
    <w:rsid w:val="0039465D"/>
    <w:rsid w:val="00397633"/>
    <w:rsid w:val="003A1AC3"/>
    <w:rsid w:val="003A26EE"/>
    <w:rsid w:val="003A2C05"/>
    <w:rsid w:val="003A4069"/>
    <w:rsid w:val="003A7865"/>
    <w:rsid w:val="003B3E0A"/>
    <w:rsid w:val="003B7BD6"/>
    <w:rsid w:val="003C0B8F"/>
    <w:rsid w:val="003C1A63"/>
    <w:rsid w:val="003C324F"/>
    <w:rsid w:val="003C3848"/>
    <w:rsid w:val="003C468C"/>
    <w:rsid w:val="003D1928"/>
    <w:rsid w:val="003D31C7"/>
    <w:rsid w:val="003D58F5"/>
    <w:rsid w:val="003D5D92"/>
    <w:rsid w:val="003E1E40"/>
    <w:rsid w:val="003E4C01"/>
    <w:rsid w:val="003E4DA6"/>
    <w:rsid w:val="003E61E1"/>
    <w:rsid w:val="003E7720"/>
    <w:rsid w:val="003F167E"/>
    <w:rsid w:val="003F1DB6"/>
    <w:rsid w:val="003F2375"/>
    <w:rsid w:val="003F3BAB"/>
    <w:rsid w:val="003F6052"/>
    <w:rsid w:val="003F67F3"/>
    <w:rsid w:val="003F6804"/>
    <w:rsid w:val="0040069E"/>
    <w:rsid w:val="00400733"/>
    <w:rsid w:val="004033B7"/>
    <w:rsid w:val="00403A10"/>
    <w:rsid w:val="00404516"/>
    <w:rsid w:val="00405103"/>
    <w:rsid w:val="00406675"/>
    <w:rsid w:val="0041006F"/>
    <w:rsid w:val="00412315"/>
    <w:rsid w:val="0041356B"/>
    <w:rsid w:val="0041385A"/>
    <w:rsid w:val="00413FC9"/>
    <w:rsid w:val="00414877"/>
    <w:rsid w:val="00415DDE"/>
    <w:rsid w:val="00416446"/>
    <w:rsid w:val="0041681A"/>
    <w:rsid w:val="00423096"/>
    <w:rsid w:val="004329D3"/>
    <w:rsid w:val="00435DFE"/>
    <w:rsid w:val="00435E4B"/>
    <w:rsid w:val="00441B7C"/>
    <w:rsid w:val="00441BF3"/>
    <w:rsid w:val="0044313B"/>
    <w:rsid w:val="00445760"/>
    <w:rsid w:val="004469B6"/>
    <w:rsid w:val="00446BAC"/>
    <w:rsid w:val="00447251"/>
    <w:rsid w:val="00450958"/>
    <w:rsid w:val="00456913"/>
    <w:rsid w:val="00460ECE"/>
    <w:rsid w:val="0046654A"/>
    <w:rsid w:val="00466691"/>
    <w:rsid w:val="00466BBD"/>
    <w:rsid w:val="00471136"/>
    <w:rsid w:val="004719CF"/>
    <w:rsid w:val="00472F6C"/>
    <w:rsid w:val="00474C6E"/>
    <w:rsid w:val="0047535B"/>
    <w:rsid w:val="00475F95"/>
    <w:rsid w:val="00480110"/>
    <w:rsid w:val="0048353C"/>
    <w:rsid w:val="004839B5"/>
    <w:rsid w:val="0048551B"/>
    <w:rsid w:val="004900D7"/>
    <w:rsid w:val="0049272D"/>
    <w:rsid w:val="00495A84"/>
    <w:rsid w:val="00497884"/>
    <w:rsid w:val="004A2320"/>
    <w:rsid w:val="004A3266"/>
    <w:rsid w:val="004A514B"/>
    <w:rsid w:val="004A56A4"/>
    <w:rsid w:val="004A5820"/>
    <w:rsid w:val="004A5B9B"/>
    <w:rsid w:val="004B094B"/>
    <w:rsid w:val="004B3660"/>
    <w:rsid w:val="004B3889"/>
    <w:rsid w:val="004B46DF"/>
    <w:rsid w:val="004B675F"/>
    <w:rsid w:val="004B76C2"/>
    <w:rsid w:val="004C351A"/>
    <w:rsid w:val="004C46F6"/>
    <w:rsid w:val="004C7FA2"/>
    <w:rsid w:val="004D0397"/>
    <w:rsid w:val="004D1742"/>
    <w:rsid w:val="004D23DB"/>
    <w:rsid w:val="004D3862"/>
    <w:rsid w:val="004D5129"/>
    <w:rsid w:val="004E0398"/>
    <w:rsid w:val="004E1EA4"/>
    <w:rsid w:val="004E6980"/>
    <w:rsid w:val="004E7B53"/>
    <w:rsid w:val="004F0996"/>
    <w:rsid w:val="004F3BED"/>
    <w:rsid w:val="004F4972"/>
    <w:rsid w:val="005004FB"/>
    <w:rsid w:val="00504C99"/>
    <w:rsid w:val="00504CB8"/>
    <w:rsid w:val="0051445A"/>
    <w:rsid w:val="005145C5"/>
    <w:rsid w:val="0051482B"/>
    <w:rsid w:val="005152F5"/>
    <w:rsid w:val="005159A3"/>
    <w:rsid w:val="00525374"/>
    <w:rsid w:val="0052642B"/>
    <w:rsid w:val="00527854"/>
    <w:rsid w:val="00527D50"/>
    <w:rsid w:val="00530208"/>
    <w:rsid w:val="00531076"/>
    <w:rsid w:val="005330AC"/>
    <w:rsid w:val="00535DBC"/>
    <w:rsid w:val="00542D86"/>
    <w:rsid w:val="00545917"/>
    <w:rsid w:val="00553A71"/>
    <w:rsid w:val="00553ACA"/>
    <w:rsid w:val="005542D3"/>
    <w:rsid w:val="00554622"/>
    <w:rsid w:val="005548B1"/>
    <w:rsid w:val="00554D97"/>
    <w:rsid w:val="0055698B"/>
    <w:rsid w:val="005606D8"/>
    <w:rsid w:val="005611FF"/>
    <w:rsid w:val="00565032"/>
    <w:rsid w:val="00566403"/>
    <w:rsid w:val="0057510B"/>
    <w:rsid w:val="00576CE5"/>
    <w:rsid w:val="005826B1"/>
    <w:rsid w:val="00582CED"/>
    <w:rsid w:val="00584449"/>
    <w:rsid w:val="00596222"/>
    <w:rsid w:val="0059688D"/>
    <w:rsid w:val="00597504"/>
    <w:rsid w:val="005A0058"/>
    <w:rsid w:val="005A2E25"/>
    <w:rsid w:val="005A4325"/>
    <w:rsid w:val="005A6FB2"/>
    <w:rsid w:val="005A740E"/>
    <w:rsid w:val="005B272B"/>
    <w:rsid w:val="005B3DA2"/>
    <w:rsid w:val="005C1A6B"/>
    <w:rsid w:val="005C1E37"/>
    <w:rsid w:val="005C46A6"/>
    <w:rsid w:val="005C5881"/>
    <w:rsid w:val="005C7AD8"/>
    <w:rsid w:val="005D1FC6"/>
    <w:rsid w:val="005D3099"/>
    <w:rsid w:val="005D4429"/>
    <w:rsid w:val="005D50AF"/>
    <w:rsid w:val="005E035F"/>
    <w:rsid w:val="005E04B6"/>
    <w:rsid w:val="005F1F2B"/>
    <w:rsid w:val="005F2CEF"/>
    <w:rsid w:val="006010A1"/>
    <w:rsid w:val="00606D23"/>
    <w:rsid w:val="006073B7"/>
    <w:rsid w:val="00607A6B"/>
    <w:rsid w:val="00607D5C"/>
    <w:rsid w:val="006113E2"/>
    <w:rsid w:val="006124FE"/>
    <w:rsid w:val="00620610"/>
    <w:rsid w:val="00622F23"/>
    <w:rsid w:val="00624675"/>
    <w:rsid w:val="006250F1"/>
    <w:rsid w:val="006258AC"/>
    <w:rsid w:val="00627A7E"/>
    <w:rsid w:val="00630B02"/>
    <w:rsid w:val="006312BF"/>
    <w:rsid w:val="0063221C"/>
    <w:rsid w:val="0063331C"/>
    <w:rsid w:val="00635D03"/>
    <w:rsid w:val="006364CF"/>
    <w:rsid w:val="00636A04"/>
    <w:rsid w:val="00636F7B"/>
    <w:rsid w:val="00642346"/>
    <w:rsid w:val="00642EDE"/>
    <w:rsid w:val="00647E42"/>
    <w:rsid w:val="006554EA"/>
    <w:rsid w:val="00663C64"/>
    <w:rsid w:val="00675EA5"/>
    <w:rsid w:val="00676545"/>
    <w:rsid w:val="00676AA3"/>
    <w:rsid w:val="006776DD"/>
    <w:rsid w:val="006778BD"/>
    <w:rsid w:val="00677BCC"/>
    <w:rsid w:val="0068057E"/>
    <w:rsid w:val="006863E1"/>
    <w:rsid w:val="0068787E"/>
    <w:rsid w:val="006926E5"/>
    <w:rsid w:val="00693B7C"/>
    <w:rsid w:val="006A18BB"/>
    <w:rsid w:val="006A358C"/>
    <w:rsid w:val="006A4078"/>
    <w:rsid w:val="006A437C"/>
    <w:rsid w:val="006A443E"/>
    <w:rsid w:val="006A6B11"/>
    <w:rsid w:val="006B2DB5"/>
    <w:rsid w:val="006B3358"/>
    <w:rsid w:val="006B7B08"/>
    <w:rsid w:val="006C1E19"/>
    <w:rsid w:val="006C2DD4"/>
    <w:rsid w:val="006C5444"/>
    <w:rsid w:val="006C6238"/>
    <w:rsid w:val="006C6FBE"/>
    <w:rsid w:val="006D3E79"/>
    <w:rsid w:val="006E48F1"/>
    <w:rsid w:val="006F0F05"/>
    <w:rsid w:val="006F3D7C"/>
    <w:rsid w:val="006F53DF"/>
    <w:rsid w:val="006F5EA5"/>
    <w:rsid w:val="006F6A5B"/>
    <w:rsid w:val="006F6C61"/>
    <w:rsid w:val="00702E7F"/>
    <w:rsid w:val="00706770"/>
    <w:rsid w:val="00706CD8"/>
    <w:rsid w:val="00707B26"/>
    <w:rsid w:val="00711F90"/>
    <w:rsid w:val="007122E2"/>
    <w:rsid w:val="007126A8"/>
    <w:rsid w:val="00715C98"/>
    <w:rsid w:val="0071684F"/>
    <w:rsid w:val="0071709A"/>
    <w:rsid w:val="007214AB"/>
    <w:rsid w:val="00723214"/>
    <w:rsid w:val="00725162"/>
    <w:rsid w:val="00730231"/>
    <w:rsid w:val="00730803"/>
    <w:rsid w:val="00740228"/>
    <w:rsid w:val="00741427"/>
    <w:rsid w:val="00742C52"/>
    <w:rsid w:val="007436E7"/>
    <w:rsid w:val="0074420C"/>
    <w:rsid w:val="00746D96"/>
    <w:rsid w:val="00750BFB"/>
    <w:rsid w:val="00750CDA"/>
    <w:rsid w:val="007518D0"/>
    <w:rsid w:val="007525F4"/>
    <w:rsid w:val="00753D2C"/>
    <w:rsid w:val="00762F91"/>
    <w:rsid w:val="00765BC5"/>
    <w:rsid w:val="00766329"/>
    <w:rsid w:val="007673A9"/>
    <w:rsid w:val="00771781"/>
    <w:rsid w:val="00777CE8"/>
    <w:rsid w:val="0078383E"/>
    <w:rsid w:val="007845B6"/>
    <w:rsid w:val="0078557F"/>
    <w:rsid w:val="007873BC"/>
    <w:rsid w:val="0079083C"/>
    <w:rsid w:val="00793EE3"/>
    <w:rsid w:val="007944DE"/>
    <w:rsid w:val="00795926"/>
    <w:rsid w:val="007978C8"/>
    <w:rsid w:val="007A079F"/>
    <w:rsid w:val="007A0ABC"/>
    <w:rsid w:val="007A4782"/>
    <w:rsid w:val="007A6E8D"/>
    <w:rsid w:val="007B0A98"/>
    <w:rsid w:val="007B1150"/>
    <w:rsid w:val="007B3257"/>
    <w:rsid w:val="007B5503"/>
    <w:rsid w:val="007B70C0"/>
    <w:rsid w:val="007C1F54"/>
    <w:rsid w:val="007C7A1D"/>
    <w:rsid w:val="007D0B51"/>
    <w:rsid w:val="007D2079"/>
    <w:rsid w:val="007D7204"/>
    <w:rsid w:val="007E1143"/>
    <w:rsid w:val="007E1756"/>
    <w:rsid w:val="007E2232"/>
    <w:rsid w:val="007E346D"/>
    <w:rsid w:val="007E4C95"/>
    <w:rsid w:val="007E5642"/>
    <w:rsid w:val="007F0597"/>
    <w:rsid w:val="007F26C4"/>
    <w:rsid w:val="007F590D"/>
    <w:rsid w:val="007F70F1"/>
    <w:rsid w:val="007F77DF"/>
    <w:rsid w:val="007F7A9E"/>
    <w:rsid w:val="008028D0"/>
    <w:rsid w:val="00810F7C"/>
    <w:rsid w:val="00812192"/>
    <w:rsid w:val="00816335"/>
    <w:rsid w:val="0081708C"/>
    <w:rsid w:val="008239BC"/>
    <w:rsid w:val="0083371C"/>
    <w:rsid w:val="0083622A"/>
    <w:rsid w:val="008379A0"/>
    <w:rsid w:val="0084054D"/>
    <w:rsid w:val="0084595B"/>
    <w:rsid w:val="00846446"/>
    <w:rsid w:val="00846797"/>
    <w:rsid w:val="00850372"/>
    <w:rsid w:val="008530A5"/>
    <w:rsid w:val="00853165"/>
    <w:rsid w:val="00854110"/>
    <w:rsid w:val="00856F01"/>
    <w:rsid w:val="008600BB"/>
    <w:rsid w:val="0086140C"/>
    <w:rsid w:val="00861B26"/>
    <w:rsid w:val="00861BF9"/>
    <w:rsid w:val="008632F8"/>
    <w:rsid w:val="00863DFF"/>
    <w:rsid w:val="00866970"/>
    <w:rsid w:val="00871888"/>
    <w:rsid w:val="00872DEA"/>
    <w:rsid w:val="00873EF7"/>
    <w:rsid w:val="00876537"/>
    <w:rsid w:val="00876A69"/>
    <w:rsid w:val="008774A9"/>
    <w:rsid w:val="008807D0"/>
    <w:rsid w:val="00880FFD"/>
    <w:rsid w:val="0088540C"/>
    <w:rsid w:val="00885BA6"/>
    <w:rsid w:val="00894789"/>
    <w:rsid w:val="008A3176"/>
    <w:rsid w:val="008A320D"/>
    <w:rsid w:val="008A4983"/>
    <w:rsid w:val="008B0770"/>
    <w:rsid w:val="008B1954"/>
    <w:rsid w:val="008B3852"/>
    <w:rsid w:val="008B4A36"/>
    <w:rsid w:val="008B7651"/>
    <w:rsid w:val="008C048D"/>
    <w:rsid w:val="008C239D"/>
    <w:rsid w:val="008C47BE"/>
    <w:rsid w:val="008C6126"/>
    <w:rsid w:val="008C68A9"/>
    <w:rsid w:val="008D08F0"/>
    <w:rsid w:val="008D26A5"/>
    <w:rsid w:val="008D344B"/>
    <w:rsid w:val="008D47CF"/>
    <w:rsid w:val="008D5769"/>
    <w:rsid w:val="008E5166"/>
    <w:rsid w:val="008E56EF"/>
    <w:rsid w:val="008E5848"/>
    <w:rsid w:val="008E58D0"/>
    <w:rsid w:val="008E6633"/>
    <w:rsid w:val="008E728B"/>
    <w:rsid w:val="008F097A"/>
    <w:rsid w:val="008F42C9"/>
    <w:rsid w:val="008F4957"/>
    <w:rsid w:val="008F65C1"/>
    <w:rsid w:val="008F79B6"/>
    <w:rsid w:val="00902D39"/>
    <w:rsid w:val="00902E06"/>
    <w:rsid w:val="00904637"/>
    <w:rsid w:val="00907E1F"/>
    <w:rsid w:val="00913F04"/>
    <w:rsid w:val="00914AC5"/>
    <w:rsid w:val="0091528E"/>
    <w:rsid w:val="009202C3"/>
    <w:rsid w:val="0092137B"/>
    <w:rsid w:val="00921E94"/>
    <w:rsid w:val="00922D63"/>
    <w:rsid w:val="0092497E"/>
    <w:rsid w:val="00926ECB"/>
    <w:rsid w:val="00927909"/>
    <w:rsid w:val="009318A8"/>
    <w:rsid w:val="00931F52"/>
    <w:rsid w:val="009327FE"/>
    <w:rsid w:val="00934503"/>
    <w:rsid w:val="00934544"/>
    <w:rsid w:val="00935B78"/>
    <w:rsid w:val="00936072"/>
    <w:rsid w:val="00937E61"/>
    <w:rsid w:val="009411F7"/>
    <w:rsid w:val="00942ABD"/>
    <w:rsid w:val="00944D20"/>
    <w:rsid w:val="00945A10"/>
    <w:rsid w:val="009467F5"/>
    <w:rsid w:val="00955C8B"/>
    <w:rsid w:val="009679D6"/>
    <w:rsid w:val="00967C55"/>
    <w:rsid w:val="00967D64"/>
    <w:rsid w:val="00973FA9"/>
    <w:rsid w:val="00976D70"/>
    <w:rsid w:val="00976D8B"/>
    <w:rsid w:val="009916E1"/>
    <w:rsid w:val="009921D2"/>
    <w:rsid w:val="00992F9B"/>
    <w:rsid w:val="00994337"/>
    <w:rsid w:val="009965EB"/>
    <w:rsid w:val="00996E7A"/>
    <w:rsid w:val="00996F4E"/>
    <w:rsid w:val="009A2AF4"/>
    <w:rsid w:val="009A4284"/>
    <w:rsid w:val="009B3598"/>
    <w:rsid w:val="009B6250"/>
    <w:rsid w:val="009B6D3F"/>
    <w:rsid w:val="009C0468"/>
    <w:rsid w:val="009C3B44"/>
    <w:rsid w:val="009C59CA"/>
    <w:rsid w:val="009C6085"/>
    <w:rsid w:val="009C6179"/>
    <w:rsid w:val="009C6DA1"/>
    <w:rsid w:val="009C72FF"/>
    <w:rsid w:val="009C792E"/>
    <w:rsid w:val="009D298F"/>
    <w:rsid w:val="009D36F6"/>
    <w:rsid w:val="009D674B"/>
    <w:rsid w:val="009E3821"/>
    <w:rsid w:val="009E39CD"/>
    <w:rsid w:val="009E4A7F"/>
    <w:rsid w:val="009E4D41"/>
    <w:rsid w:val="009E56DD"/>
    <w:rsid w:val="009E620B"/>
    <w:rsid w:val="009F70CC"/>
    <w:rsid w:val="00A00831"/>
    <w:rsid w:val="00A04516"/>
    <w:rsid w:val="00A054ED"/>
    <w:rsid w:val="00A059DA"/>
    <w:rsid w:val="00A05E12"/>
    <w:rsid w:val="00A0605B"/>
    <w:rsid w:val="00A1251F"/>
    <w:rsid w:val="00A12AF7"/>
    <w:rsid w:val="00A14C0B"/>
    <w:rsid w:val="00A1627D"/>
    <w:rsid w:val="00A20F81"/>
    <w:rsid w:val="00A21154"/>
    <w:rsid w:val="00A221F6"/>
    <w:rsid w:val="00A2308C"/>
    <w:rsid w:val="00A23485"/>
    <w:rsid w:val="00A26CA6"/>
    <w:rsid w:val="00A3358F"/>
    <w:rsid w:val="00A3409B"/>
    <w:rsid w:val="00A359F9"/>
    <w:rsid w:val="00A37806"/>
    <w:rsid w:val="00A41AEE"/>
    <w:rsid w:val="00A45131"/>
    <w:rsid w:val="00A47E53"/>
    <w:rsid w:val="00A52272"/>
    <w:rsid w:val="00A55FF0"/>
    <w:rsid w:val="00A57D34"/>
    <w:rsid w:val="00A60F4E"/>
    <w:rsid w:val="00A65035"/>
    <w:rsid w:val="00A655E9"/>
    <w:rsid w:val="00A73FD4"/>
    <w:rsid w:val="00A7420E"/>
    <w:rsid w:val="00A753B1"/>
    <w:rsid w:val="00A82AC2"/>
    <w:rsid w:val="00A82D40"/>
    <w:rsid w:val="00A91C22"/>
    <w:rsid w:val="00A9223C"/>
    <w:rsid w:val="00A92928"/>
    <w:rsid w:val="00A92B87"/>
    <w:rsid w:val="00A945A6"/>
    <w:rsid w:val="00A95485"/>
    <w:rsid w:val="00A96120"/>
    <w:rsid w:val="00A96AEB"/>
    <w:rsid w:val="00AA1098"/>
    <w:rsid w:val="00AA2E70"/>
    <w:rsid w:val="00AA32BA"/>
    <w:rsid w:val="00AA3D81"/>
    <w:rsid w:val="00AA76DD"/>
    <w:rsid w:val="00AA7E8F"/>
    <w:rsid w:val="00AB152B"/>
    <w:rsid w:val="00AB19E8"/>
    <w:rsid w:val="00AB30D0"/>
    <w:rsid w:val="00AB36EE"/>
    <w:rsid w:val="00AB5660"/>
    <w:rsid w:val="00AB57FB"/>
    <w:rsid w:val="00AC23D5"/>
    <w:rsid w:val="00AC267E"/>
    <w:rsid w:val="00AC7CF5"/>
    <w:rsid w:val="00AD1BA5"/>
    <w:rsid w:val="00AD2D73"/>
    <w:rsid w:val="00AD4887"/>
    <w:rsid w:val="00AD7311"/>
    <w:rsid w:val="00AE0615"/>
    <w:rsid w:val="00AE0A0C"/>
    <w:rsid w:val="00AE3F46"/>
    <w:rsid w:val="00AE3F95"/>
    <w:rsid w:val="00AE5B12"/>
    <w:rsid w:val="00AF0EF5"/>
    <w:rsid w:val="00AF3525"/>
    <w:rsid w:val="00B0116D"/>
    <w:rsid w:val="00B01991"/>
    <w:rsid w:val="00B026D7"/>
    <w:rsid w:val="00B02AE3"/>
    <w:rsid w:val="00B03245"/>
    <w:rsid w:val="00B03D16"/>
    <w:rsid w:val="00B03FD2"/>
    <w:rsid w:val="00B07B65"/>
    <w:rsid w:val="00B159BC"/>
    <w:rsid w:val="00B16080"/>
    <w:rsid w:val="00B210CF"/>
    <w:rsid w:val="00B22805"/>
    <w:rsid w:val="00B233B0"/>
    <w:rsid w:val="00B248EC"/>
    <w:rsid w:val="00B24E9A"/>
    <w:rsid w:val="00B257DB"/>
    <w:rsid w:val="00B26947"/>
    <w:rsid w:val="00B32642"/>
    <w:rsid w:val="00B33FC2"/>
    <w:rsid w:val="00B3427A"/>
    <w:rsid w:val="00B3486D"/>
    <w:rsid w:val="00B418AF"/>
    <w:rsid w:val="00B425F1"/>
    <w:rsid w:val="00B42E55"/>
    <w:rsid w:val="00B4428A"/>
    <w:rsid w:val="00B51361"/>
    <w:rsid w:val="00B538F9"/>
    <w:rsid w:val="00B54AE6"/>
    <w:rsid w:val="00B60DB0"/>
    <w:rsid w:val="00B62006"/>
    <w:rsid w:val="00B636C5"/>
    <w:rsid w:val="00B63E7C"/>
    <w:rsid w:val="00B64929"/>
    <w:rsid w:val="00B652E4"/>
    <w:rsid w:val="00B65921"/>
    <w:rsid w:val="00B6661C"/>
    <w:rsid w:val="00B8244D"/>
    <w:rsid w:val="00B90130"/>
    <w:rsid w:val="00B91C4A"/>
    <w:rsid w:val="00B96054"/>
    <w:rsid w:val="00B96873"/>
    <w:rsid w:val="00B9728C"/>
    <w:rsid w:val="00BA03A5"/>
    <w:rsid w:val="00BA0C52"/>
    <w:rsid w:val="00BA0F54"/>
    <w:rsid w:val="00BA1EDA"/>
    <w:rsid w:val="00BA3413"/>
    <w:rsid w:val="00BA4298"/>
    <w:rsid w:val="00BB142E"/>
    <w:rsid w:val="00BB2420"/>
    <w:rsid w:val="00BB4501"/>
    <w:rsid w:val="00BB5AF5"/>
    <w:rsid w:val="00BB5E69"/>
    <w:rsid w:val="00BC010A"/>
    <w:rsid w:val="00BC2733"/>
    <w:rsid w:val="00BC42BF"/>
    <w:rsid w:val="00BC6A08"/>
    <w:rsid w:val="00BC7608"/>
    <w:rsid w:val="00BD2906"/>
    <w:rsid w:val="00BD3950"/>
    <w:rsid w:val="00BD6718"/>
    <w:rsid w:val="00BE154A"/>
    <w:rsid w:val="00BE1D06"/>
    <w:rsid w:val="00BE1F5B"/>
    <w:rsid w:val="00BE2194"/>
    <w:rsid w:val="00BE62BA"/>
    <w:rsid w:val="00BF0FA2"/>
    <w:rsid w:val="00BF1F31"/>
    <w:rsid w:val="00BF3594"/>
    <w:rsid w:val="00BF532E"/>
    <w:rsid w:val="00BF5AE3"/>
    <w:rsid w:val="00C025F2"/>
    <w:rsid w:val="00C02AA1"/>
    <w:rsid w:val="00C042D4"/>
    <w:rsid w:val="00C05076"/>
    <w:rsid w:val="00C05D00"/>
    <w:rsid w:val="00C13A1E"/>
    <w:rsid w:val="00C15048"/>
    <w:rsid w:val="00C22E43"/>
    <w:rsid w:val="00C23984"/>
    <w:rsid w:val="00C25D14"/>
    <w:rsid w:val="00C30189"/>
    <w:rsid w:val="00C318A2"/>
    <w:rsid w:val="00C330C2"/>
    <w:rsid w:val="00C40E69"/>
    <w:rsid w:val="00C41104"/>
    <w:rsid w:val="00C46789"/>
    <w:rsid w:val="00C50802"/>
    <w:rsid w:val="00C528CC"/>
    <w:rsid w:val="00C56029"/>
    <w:rsid w:val="00C56527"/>
    <w:rsid w:val="00C56CD9"/>
    <w:rsid w:val="00C61AAF"/>
    <w:rsid w:val="00C62CCC"/>
    <w:rsid w:val="00C65931"/>
    <w:rsid w:val="00C65C5E"/>
    <w:rsid w:val="00C70F9E"/>
    <w:rsid w:val="00C71394"/>
    <w:rsid w:val="00C74A9A"/>
    <w:rsid w:val="00C75289"/>
    <w:rsid w:val="00C774BF"/>
    <w:rsid w:val="00C815AD"/>
    <w:rsid w:val="00C816FF"/>
    <w:rsid w:val="00C832C9"/>
    <w:rsid w:val="00C857E2"/>
    <w:rsid w:val="00C924B3"/>
    <w:rsid w:val="00C95293"/>
    <w:rsid w:val="00CA0062"/>
    <w:rsid w:val="00CA6E5C"/>
    <w:rsid w:val="00CB2215"/>
    <w:rsid w:val="00CB68A5"/>
    <w:rsid w:val="00CB69CA"/>
    <w:rsid w:val="00CC0FF0"/>
    <w:rsid w:val="00CC15E4"/>
    <w:rsid w:val="00CC3992"/>
    <w:rsid w:val="00CC3CC7"/>
    <w:rsid w:val="00CC5CC5"/>
    <w:rsid w:val="00CD122E"/>
    <w:rsid w:val="00CD14A8"/>
    <w:rsid w:val="00CD2870"/>
    <w:rsid w:val="00CD3BE6"/>
    <w:rsid w:val="00CD4662"/>
    <w:rsid w:val="00CD6776"/>
    <w:rsid w:val="00CD7A87"/>
    <w:rsid w:val="00CE32D1"/>
    <w:rsid w:val="00CE3726"/>
    <w:rsid w:val="00CF09D0"/>
    <w:rsid w:val="00CF0F73"/>
    <w:rsid w:val="00CF1A31"/>
    <w:rsid w:val="00CF1D61"/>
    <w:rsid w:val="00CF251F"/>
    <w:rsid w:val="00CF4ABC"/>
    <w:rsid w:val="00CF4F5B"/>
    <w:rsid w:val="00D00674"/>
    <w:rsid w:val="00D00EE6"/>
    <w:rsid w:val="00D0153F"/>
    <w:rsid w:val="00D03F61"/>
    <w:rsid w:val="00D0523A"/>
    <w:rsid w:val="00D074B5"/>
    <w:rsid w:val="00D07958"/>
    <w:rsid w:val="00D10339"/>
    <w:rsid w:val="00D10E79"/>
    <w:rsid w:val="00D11459"/>
    <w:rsid w:val="00D1151A"/>
    <w:rsid w:val="00D13828"/>
    <w:rsid w:val="00D167DB"/>
    <w:rsid w:val="00D2180E"/>
    <w:rsid w:val="00D277EE"/>
    <w:rsid w:val="00D27ABB"/>
    <w:rsid w:val="00D31922"/>
    <w:rsid w:val="00D32156"/>
    <w:rsid w:val="00D374B7"/>
    <w:rsid w:val="00D430D3"/>
    <w:rsid w:val="00D47F93"/>
    <w:rsid w:val="00D52334"/>
    <w:rsid w:val="00D52DB4"/>
    <w:rsid w:val="00D531E1"/>
    <w:rsid w:val="00D55BEE"/>
    <w:rsid w:val="00D56522"/>
    <w:rsid w:val="00D60587"/>
    <w:rsid w:val="00D646F1"/>
    <w:rsid w:val="00D652E9"/>
    <w:rsid w:val="00D67572"/>
    <w:rsid w:val="00D73D64"/>
    <w:rsid w:val="00D750A5"/>
    <w:rsid w:val="00D7601D"/>
    <w:rsid w:val="00D76135"/>
    <w:rsid w:val="00D76788"/>
    <w:rsid w:val="00D76A1A"/>
    <w:rsid w:val="00D855FD"/>
    <w:rsid w:val="00D90AF7"/>
    <w:rsid w:val="00D91234"/>
    <w:rsid w:val="00D93661"/>
    <w:rsid w:val="00D9498C"/>
    <w:rsid w:val="00D95FD2"/>
    <w:rsid w:val="00D9666D"/>
    <w:rsid w:val="00D97B60"/>
    <w:rsid w:val="00DA154C"/>
    <w:rsid w:val="00DA1D20"/>
    <w:rsid w:val="00DA234D"/>
    <w:rsid w:val="00DA24CB"/>
    <w:rsid w:val="00DA2CE1"/>
    <w:rsid w:val="00DA302A"/>
    <w:rsid w:val="00DA621B"/>
    <w:rsid w:val="00DB077F"/>
    <w:rsid w:val="00DB61BE"/>
    <w:rsid w:val="00DB67CB"/>
    <w:rsid w:val="00DC3A04"/>
    <w:rsid w:val="00DD1ABA"/>
    <w:rsid w:val="00DD4ABF"/>
    <w:rsid w:val="00DD6A31"/>
    <w:rsid w:val="00DD74A5"/>
    <w:rsid w:val="00DD7D22"/>
    <w:rsid w:val="00DE54E8"/>
    <w:rsid w:val="00DE7C50"/>
    <w:rsid w:val="00DF2806"/>
    <w:rsid w:val="00DF4558"/>
    <w:rsid w:val="00DF46C2"/>
    <w:rsid w:val="00DF63A4"/>
    <w:rsid w:val="00E029E9"/>
    <w:rsid w:val="00E04691"/>
    <w:rsid w:val="00E05C17"/>
    <w:rsid w:val="00E10857"/>
    <w:rsid w:val="00E12987"/>
    <w:rsid w:val="00E1317F"/>
    <w:rsid w:val="00E13CB1"/>
    <w:rsid w:val="00E20638"/>
    <w:rsid w:val="00E20E24"/>
    <w:rsid w:val="00E24526"/>
    <w:rsid w:val="00E262BE"/>
    <w:rsid w:val="00E3797A"/>
    <w:rsid w:val="00E434D1"/>
    <w:rsid w:val="00E44CAF"/>
    <w:rsid w:val="00E47C4B"/>
    <w:rsid w:val="00E508EE"/>
    <w:rsid w:val="00E53BA2"/>
    <w:rsid w:val="00E53C3D"/>
    <w:rsid w:val="00E53D59"/>
    <w:rsid w:val="00E60C54"/>
    <w:rsid w:val="00E62D6A"/>
    <w:rsid w:val="00E65972"/>
    <w:rsid w:val="00E65D96"/>
    <w:rsid w:val="00E670E9"/>
    <w:rsid w:val="00E7397D"/>
    <w:rsid w:val="00E8248A"/>
    <w:rsid w:val="00E82946"/>
    <w:rsid w:val="00E82989"/>
    <w:rsid w:val="00E847D0"/>
    <w:rsid w:val="00E96241"/>
    <w:rsid w:val="00EA4F7D"/>
    <w:rsid w:val="00EA4F8D"/>
    <w:rsid w:val="00EA5404"/>
    <w:rsid w:val="00EA6EF7"/>
    <w:rsid w:val="00EB4B0F"/>
    <w:rsid w:val="00EB59A0"/>
    <w:rsid w:val="00EB6D89"/>
    <w:rsid w:val="00EC12F9"/>
    <w:rsid w:val="00EC2AE5"/>
    <w:rsid w:val="00EC3B5D"/>
    <w:rsid w:val="00EC641D"/>
    <w:rsid w:val="00ED2F7B"/>
    <w:rsid w:val="00ED4FA0"/>
    <w:rsid w:val="00ED5039"/>
    <w:rsid w:val="00ED597E"/>
    <w:rsid w:val="00EE08E0"/>
    <w:rsid w:val="00EE0EBC"/>
    <w:rsid w:val="00EE0F1F"/>
    <w:rsid w:val="00EE1A19"/>
    <w:rsid w:val="00EE1D68"/>
    <w:rsid w:val="00EE508B"/>
    <w:rsid w:val="00EE549D"/>
    <w:rsid w:val="00EF2583"/>
    <w:rsid w:val="00EF5896"/>
    <w:rsid w:val="00F00D44"/>
    <w:rsid w:val="00F0635D"/>
    <w:rsid w:val="00F066A6"/>
    <w:rsid w:val="00F07E7E"/>
    <w:rsid w:val="00F1166B"/>
    <w:rsid w:val="00F12E61"/>
    <w:rsid w:val="00F134AE"/>
    <w:rsid w:val="00F141DC"/>
    <w:rsid w:val="00F168D6"/>
    <w:rsid w:val="00F17978"/>
    <w:rsid w:val="00F239D0"/>
    <w:rsid w:val="00F24E46"/>
    <w:rsid w:val="00F2659A"/>
    <w:rsid w:val="00F303CE"/>
    <w:rsid w:val="00F304EF"/>
    <w:rsid w:val="00F325CC"/>
    <w:rsid w:val="00F32975"/>
    <w:rsid w:val="00F32B4F"/>
    <w:rsid w:val="00F33AA7"/>
    <w:rsid w:val="00F3647F"/>
    <w:rsid w:val="00F40484"/>
    <w:rsid w:val="00F40A41"/>
    <w:rsid w:val="00F44124"/>
    <w:rsid w:val="00F462CE"/>
    <w:rsid w:val="00F5042E"/>
    <w:rsid w:val="00F508F7"/>
    <w:rsid w:val="00F52237"/>
    <w:rsid w:val="00F52FB7"/>
    <w:rsid w:val="00F5310C"/>
    <w:rsid w:val="00F6038D"/>
    <w:rsid w:val="00F633F1"/>
    <w:rsid w:val="00F7125F"/>
    <w:rsid w:val="00F71A48"/>
    <w:rsid w:val="00F74531"/>
    <w:rsid w:val="00F76381"/>
    <w:rsid w:val="00F80152"/>
    <w:rsid w:val="00F81823"/>
    <w:rsid w:val="00F81D48"/>
    <w:rsid w:val="00F81DA6"/>
    <w:rsid w:val="00F9231C"/>
    <w:rsid w:val="00F9406A"/>
    <w:rsid w:val="00F963D3"/>
    <w:rsid w:val="00FA39FB"/>
    <w:rsid w:val="00FA3AE8"/>
    <w:rsid w:val="00FA3E06"/>
    <w:rsid w:val="00FA43FE"/>
    <w:rsid w:val="00FA4EA3"/>
    <w:rsid w:val="00FA73F8"/>
    <w:rsid w:val="00FA7896"/>
    <w:rsid w:val="00FB0790"/>
    <w:rsid w:val="00FB253F"/>
    <w:rsid w:val="00FB50DC"/>
    <w:rsid w:val="00FB5E7D"/>
    <w:rsid w:val="00FC2C2E"/>
    <w:rsid w:val="00FC361A"/>
    <w:rsid w:val="00FC39B2"/>
    <w:rsid w:val="00FC3AF7"/>
    <w:rsid w:val="00FC5A71"/>
    <w:rsid w:val="00FD3BF8"/>
    <w:rsid w:val="00FD4811"/>
    <w:rsid w:val="00FE0362"/>
    <w:rsid w:val="00FE5C9A"/>
    <w:rsid w:val="00FE661A"/>
    <w:rsid w:val="00FE70BF"/>
    <w:rsid w:val="00FF1B01"/>
    <w:rsid w:val="00FF472E"/>
    <w:rsid w:val="00FF6131"/>
    <w:rsid w:val="01C40DDD"/>
    <w:rsid w:val="0397607D"/>
    <w:rsid w:val="045C354F"/>
    <w:rsid w:val="052E462D"/>
    <w:rsid w:val="09A60DC8"/>
    <w:rsid w:val="09DB4F16"/>
    <w:rsid w:val="0A825391"/>
    <w:rsid w:val="0BC419DA"/>
    <w:rsid w:val="0CB8153E"/>
    <w:rsid w:val="0CE23EB3"/>
    <w:rsid w:val="1001144E"/>
    <w:rsid w:val="113D64B6"/>
    <w:rsid w:val="137D703E"/>
    <w:rsid w:val="14EC447B"/>
    <w:rsid w:val="16E96798"/>
    <w:rsid w:val="1E672DC4"/>
    <w:rsid w:val="1EA96F39"/>
    <w:rsid w:val="21EE1107"/>
    <w:rsid w:val="222334A6"/>
    <w:rsid w:val="22D24584"/>
    <w:rsid w:val="24DD793C"/>
    <w:rsid w:val="25317C88"/>
    <w:rsid w:val="26924756"/>
    <w:rsid w:val="27F60D15"/>
    <w:rsid w:val="2A97058D"/>
    <w:rsid w:val="2AA8279A"/>
    <w:rsid w:val="2FD14541"/>
    <w:rsid w:val="2FED29FE"/>
    <w:rsid w:val="302E54F0"/>
    <w:rsid w:val="318A49A8"/>
    <w:rsid w:val="32BF0681"/>
    <w:rsid w:val="33044C2E"/>
    <w:rsid w:val="33EC194A"/>
    <w:rsid w:val="369342FF"/>
    <w:rsid w:val="377C1237"/>
    <w:rsid w:val="3C4165AB"/>
    <w:rsid w:val="3D2D0B07"/>
    <w:rsid w:val="405C39B3"/>
    <w:rsid w:val="41032081"/>
    <w:rsid w:val="42784CF1"/>
    <w:rsid w:val="43601A0D"/>
    <w:rsid w:val="463E3161"/>
    <w:rsid w:val="48BA396D"/>
    <w:rsid w:val="4AEC002A"/>
    <w:rsid w:val="4EB255E9"/>
    <w:rsid w:val="52020133"/>
    <w:rsid w:val="540B1521"/>
    <w:rsid w:val="54BE017D"/>
    <w:rsid w:val="564156CE"/>
    <w:rsid w:val="592F3F03"/>
    <w:rsid w:val="5A0F163F"/>
    <w:rsid w:val="5B392E17"/>
    <w:rsid w:val="5B8A5DC6"/>
    <w:rsid w:val="61840B64"/>
    <w:rsid w:val="62D81168"/>
    <w:rsid w:val="630006BE"/>
    <w:rsid w:val="64994927"/>
    <w:rsid w:val="64D8544F"/>
    <w:rsid w:val="64F16511"/>
    <w:rsid w:val="6C417D7E"/>
    <w:rsid w:val="6F0B4673"/>
    <w:rsid w:val="70A266F9"/>
    <w:rsid w:val="753541F8"/>
    <w:rsid w:val="762D1373"/>
    <w:rsid w:val="77D5581E"/>
    <w:rsid w:val="77DC6BAC"/>
    <w:rsid w:val="78A80B1A"/>
    <w:rsid w:val="7A28432B"/>
    <w:rsid w:val="7D007C35"/>
    <w:rsid w:val="7DC919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qFormat/>
    <w:uiPriority w:val="0"/>
    <w:pPr>
      <w:jc w:val="left"/>
    </w:pPr>
  </w:style>
  <w:style w:type="paragraph" w:styleId="3">
    <w:name w:val="Balloon Text"/>
    <w:basedOn w:val="1"/>
    <w:link w:val="16"/>
    <w:qFormat/>
    <w:uiPriority w:val="0"/>
    <w:rPr>
      <w:sz w:val="18"/>
      <w:szCs w:val="18"/>
    </w:rPr>
  </w:style>
  <w:style w:type="paragraph" w:styleId="4">
    <w:name w:val="footer"/>
    <w:basedOn w:val="1"/>
    <w:link w:val="15"/>
    <w:qFormat/>
    <w:uiPriority w:val="99"/>
    <w:pPr>
      <w:tabs>
        <w:tab w:val="center" w:pos="4153"/>
        <w:tab w:val="right" w:pos="8306"/>
      </w:tabs>
      <w:snapToGrid w:val="0"/>
      <w:jc w:val="left"/>
    </w:pPr>
    <w:rPr>
      <w:sz w:val="18"/>
      <w:szCs w:val="18"/>
      <w:lang w:val="zh-CN" w:eastAsia="zh-CN"/>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lang w:val="zh-CN" w:eastAsia="zh-CN"/>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7">
    <w:name w:val="annotation subject"/>
    <w:basedOn w:val="2"/>
    <w:next w:val="2"/>
    <w:link w:val="18"/>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Emphasis"/>
    <w:basedOn w:val="10"/>
    <w:qFormat/>
    <w:uiPriority w:val="20"/>
    <w:rPr>
      <w:i/>
      <w:iCs/>
    </w:rPr>
  </w:style>
  <w:style w:type="character" w:styleId="12">
    <w:name w:val="Hyperlink"/>
    <w:basedOn w:val="10"/>
    <w:unhideWhenUsed/>
    <w:qFormat/>
    <w:uiPriority w:val="0"/>
    <w:rPr>
      <w:color w:val="0563C1" w:themeColor="hyperlink"/>
      <w:u w:val="single"/>
      <w14:textFill>
        <w14:solidFill>
          <w14:schemeClr w14:val="hlink"/>
        </w14:solidFill>
      </w14:textFill>
    </w:rPr>
  </w:style>
  <w:style w:type="character" w:styleId="13">
    <w:name w:val="annotation reference"/>
    <w:basedOn w:val="10"/>
    <w:qFormat/>
    <w:uiPriority w:val="0"/>
    <w:rPr>
      <w:sz w:val="21"/>
      <w:szCs w:val="21"/>
    </w:rPr>
  </w:style>
  <w:style w:type="character" w:customStyle="1" w:styleId="14">
    <w:name w:val="页眉 字符"/>
    <w:link w:val="5"/>
    <w:qFormat/>
    <w:uiPriority w:val="0"/>
    <w:rPr>
      <w:kern w:val="2"/>
      <w:sz w:val="18"/>
      <w:szCs w:val="18"/>
    </w:rPr>
  </w:style>
  <w:style w:type="character" w:customStyle="1" w:styleId="15">
    <w:name w:val="页脚 字符"/>
    <w:link w:val="4"/>
    <w:qFormat/>
    <w:uiPriority w:val="99"/>
    <w:rPr>
      <w:kern w:val="2"/>
      <w:sz w:val="18"/>
      <w:szCs w:val="18"/>
    </w:rPr>
  </w:style>
  <w:style w:type="character" w:customStyle="1" w:styleId="16">
    <w:name w:val="批注框文本 字符"/>
    <w:link w:val="3"/>
    <w:qFormat/>
    <w:uiPriority w:val="0"/>
    <w:rPr>
      <w:kern w:val="2"/>
      <w:sz w:val="18"/>
      <w:szCs w:val="18"/>
    </w:rPr>
  </w:style>
  <w:style w:type="character" w:customStyle="1" w:styleId="17">
    <w:name w:val="批注文字 字符"/>
    <w:basedOn w:val="10"/>
    <w:link w:val="2"/>
    <w:qFormat/>
    <w:uiPriority w:val="0"/>
    <w:rPr>
      <w:kern w:val="2"/>
      <w:sz w:val="21"/>
      <w:szCs w:val="24"/>
    </w:rPr>
  </w:style>
  <w:style w:type="character" w:customStyle="1" w:styleId="18">
    <w:name w:val="批注主题 字符"/>
    <w:basedOn w:val="17"/>
    <w:link w:val="7"/>
    <w:qFormat/>
    <w:uiPriority w:val="0"/>
    <w:rPr>
      <w:b/>
      <w:bCs/>
      <w:kern w:val="2"/>
      <w:sz w:val="21"/>
      <w:szCs w:val="24"/>
    </w:rPr>
  </w:style>
  <w:style w:type="paragraph" w:styleId="19">
    <w:name w:val="List Paragraph"/>
    <w:basedOn w:val="1"/>
    <w:qFormat/>
    <w:uiPriority w:val="34"/>
    <w:pPr>
      <w:ind w:firstLine="420" w:firstLineChars="200"/>
    </w:pPr>
  </w:style>
  <w:style w:type="character" w:styleId="20">
    <w:name w:val="Placeholder Text"/>
    <w:basedOn w:val="10"/>
    <w:semiHidden/>
    <w:qFormat/>
    <w:uiPriority w:val="99"/>
    <w:rPr>
      <w:color w:val="808080"/>
    </w:rPr>
  </w:style>
  <w:style w:type="character" w:customStyle="1" w:styleId="21">
    <w:name w:val="apple-converted-space"/>
    <w:basedOn w:val="10"/>
    <w:qFormat/>
    <w:uiPriority w:val="0"/>
  </w:style>
  <w:style w:type="paragraph" w:customStyle="1" w:styleId="22">
    <w:name w:val="pagenumber"/>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0C716-B489-4B93-9CA3-D4DB396F121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1309</Words>
  <Characters>1409</Characters>
  <Lines>48</Lines>
  <Paragraphs>43</Paragraphs>
  <TotalTime>12</TotalTime>
  <ScaleCrop>false</ScaleCrop>
  <LinksUpToDate>false</LinksUpToDate>
  <CharactersWithSpaces>1532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2025-11-05T02:28:00Z</dcterms:created>
  <dc:creator>微软用户</dc:creator>
  <cp:lastModifiedBy>飞雪连天</cp:lastModifiedBy>
  <cp:lastPrinted>2025-11-05T02:37:00Z</cp:lastPrinted>
  <dcterms:modified xsi:type="dcterms:W3CDTF">2026-09-04T02:51:25Z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2025-05-12T00:07:57Z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978cd0b0-d605-45ef-92c1-966d203ca6c7</vt:lpwstr>
  </property>
  <property fmtid="{D5CDD505-2E9C-101B-9397-08002B2CF9AE}" pid="7" name="MSIP_Label_defa4170-0d19-0005-0004-bc88714345d2_ActionId">
    <vt:lpwstr>bb078fb5-80ff-42a1-8c7c-52ac67436e26</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KSOTemplateDocerSaveRecord">
    <vt:lpwstr>eyJoZGlkIjoiODdiNDkzY2YzZDlkNDAwZWYwMTFmNjY0OTU4MDc5NTMiLCJ1c2VySWQiOiIzMjQ0OTM1MTUifQ==</vt:lpwstr>
  </property>
  <property fmtid="{D5CDD505-2E9C-101B-9397-08002B2CF9AE}" pid="11" name="KSOProductBuildVer">
    <vt:lpwstr>2052-12.1.0.28043</vt:lpwstr>
  </property>
  <property fmtid="{D5CDD505-2E9C-101B-9397-08002B2CF9AE}" pid="12" name="ICV">
    <vt:lpwstr>D04392FCA8E942F9AE81453194EBD0AC_12</vt:lpwstr>
  </property>
</Properties>
</file>