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0A1EE4">
      <w:pPr>
        <w:spacing w:line="288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证券代码：688146                                   证券简称：中船特气</w:t>
      </w:r>
    </w:p>
    <w:p w14:paraId="5E4FDBC1">
      <w:pPr>
        <w:spacing w:before="156" w:beforeLines="50" w:after="156" w:afterLines="50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中船（邯郸）派瑞特种气体股份有限公司</w:t>
      </w:r>
    </w:p>
    <w:p w14:paraId="38AE6D88">
      <w:pPr>
        <w:spacing w:before="156" w:beforeLines="50" w:after="156" w:afterLines="50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</w:rPr>
        <w:t>投资者关系活动记录表</w:t>
      </w:r>
    </w:p>
    <w:p w14:paraId="16ACBBE5">
      <w:pPr>
        <w:spacing w:line="288" w:lineRule="auto"/>
        <w:jc w:val="right"/>
        <w:rPr>
          <w:rFonts w:hint="eastAsia" w:ascii="宋体" w:hAnsi="宋体" w:eastAsia="宋体" w:cs="宋体"/>
          <w:sz w:val="24"/>
          <w:lang w:eastAsia="zh-CN"/>
        </w:rPr>
      </w:pPr>
      <w:r>
        <w:rPr>
          <w:rFonts w:ascii="宋体" w:hAnsi="宋体" w:eastAsia="宋体" w:cs="宋体"/>
          <w:sz w:val="24"/>
        </w:rPr>
        <w:t>编号：202</w:t>
      </w:r>
      <w:r>
        <w:rPr>
          <w:rFonts w:hint="eastAsia" w:ascii="宋体" w:hAnsi="宋体" w:eastAsia="宋体" w:cs="宋体"/>
          <w:sz w:val="24"/>
        </w:rPr>
        <w:t>6-00</w:t>
      </w:r>
      <w:r>
        <w:rPr>
          <w:rFonts w:hint="eastAsia" w:ascii="宋体" w:hAnsi="宋体" w:eastAsia="宋体" w:cs="宋体"/>
          <w:sz w:val="24"/>
          <w:lang w:val="en-US" w:eastAsia="zh-CN"/>
        </w:rPr>
        <w:t>7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6"/>
        <w:gridCol w:w="5970"/>
      </w:tblGrid>
      <w:tr w14:paraId="68DDF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2326" w:type="dxa"/>
            <w:vAlign w:val="center"/>
          </w:tcPr>
          <w:p w14:paraId="7BB11096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  <w:t>投资者关系</w:t>
            </w:r>
          </w:p>
          <w:p w14:paraId="52D646DF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  <w:t>活动类别</w:t>
            </w:r>
          </w:p>
        </w:tc>
        <w:tc>
          <w:tcPr>
            <w:tcW w:w="5970" w:type="dxa"/>
            <w:vAlign w:val="center"/>
          </w:tcPr>
          <w:p w14:paraId="0169C6F0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sym w:font="Wingdings 2" w:char="F052"/>
            </w:r>
            <w:r>
              <w:rPr>
                <w:rFonts w:ascii="宋体" w:hAnsi="宋体" w:eastAsia="宋体" w:cs="宋体"/>
                <w:sz w:val="24"/>
                <w:highlight w:val="none"/>
              </w:rPr>
              <w:t xml:space="preserve">特定对象调研 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 xml:space="preserve">  □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>分析师会议</w:t>
            </w:r>
          </w:p>
          <w:p w14:paraId="52018435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□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 xml:space="preserve">媒体采访 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 xml:space="preserve">      □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>业绩说明会</w:t>
            </w:r>
          </w:p>
          <w:p w14:paraId="1F39C6BD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highlight w:val="none"/>
              </w:rPr>
              <w:t xml:space="preserve">□新闻发布会 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 xml:space="preserve">    □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>路演活动</w:t>
            </w:r>
          </w:p>
          <w:p w14:paraId="068A0BAB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□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 xml:space="preserve">现场参观 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 xml:space="preserve">     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□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>电话会议</w:t>
            </w:r>
          </w:p>
          <w:p w14:paraId="78EE4BC6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highlight w:val="none"/>
              </w:rPr>
              <w:t>□其他</w:t>
            </w:r>
          </w:p>
        </w:tc>
      </w:tr>
      <w:tr w14:paraId="1D3B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2326" w:type="dxa"/>
            <w:vAlign w:val="center"/>
          </w:tcPr>
          <w:p w14:paraId="260DB807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  <w:t>参与单位名称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>：</w:t>
            </w:r>
          </w:p>
        </w:tc>
        <w:tc>
          <w:tcPr>
            <w:tcW w:w="5970" w:type="dxa"/>
            <w:vAlign w:val="center"/>
          </w:tcPr>
          <w:p w14:paraId="5280409E">
            <w:pPr>
              <w:spacing w:line="360" w:lineRule="auto"/>
              <w:rPr>
                <w:rFonts w:hint="default" w:ascii="宋体" w:hAnsi="宋体" w:eastAsia="宋体" w:cs="宋体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长江证券、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天风证券、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中泰证券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国金证券、东吴证券、泰康资管、银华基金、南方基金、新华资产、国寿养老、华安基金、博时基金、国华兴益保险、大德保信基金、中金资管、金鹰基金、诚盛投资、华宝基金、汇泉基金、富国基金、永赢基金等</w:t>
            </w:r>
          </w:p>
        </w:tc>
      </w:tr>
      <w:tr w14:paraId="2DAFE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326" w:type="dxa"/>
            <w:vAlign w:val="center"/>
          </w:tcPr>
          <w:p w14:paraId="1CD258BE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时间</w:t>
            </w:r>
          </w:p>
        </w:tc>
        <w:tc>
          <w:tcPr>
            <w:tcW w:w="5970" w:type="dxa"/>
            <w:vAlign w:val="center"/>
          </w:tcPr>
          <w:p w14:paraId="4CA33EE0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2026年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月1日-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月3日</w:t>
            </w:r>
          </w:p>
        </w:tc>
      </w:tr>
      <w:tr w14:paraId="425CB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326" w:type="dxa"/>
            <w:vAlign w:val="center"/>
          </w:tcPr>
          <w:p w14:paraId="50304EE3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地点</w:t>
            </w:r>
          </w:p>
        </w:tc>
        <w:tc>
          <w:tcPr>
            <w:tcW w:w="5970" w:type="dxa"/>
            <w:vAlign w:val="center"/>
          </w:tcPr>
          <w:p w14:paraId="684F3979">
            <w:pPr>
              <w:wordWrap w:val="0"/>
              <w:spacing w:line="360" w:lineRule="auto"/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北京市、上海市</w:t>
            </w:r>
          </w:p>
        </w:tc>
      </w:tr>
      <w:tr w14:paraId="77AF9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326" w:type="dxa"/>
            <w:vAlign w:val="center"/>
          </w:tcPr>
          <w:p w14:paraId="7ACEBE92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上市公司接待人员</w:t>
            </w:r>
          </w:p>
        </w:tc>
        <w:tc>
          <w:tcPr>
            <w:tcW w:w="5970" w:type="dxa"/>
            <w:vAlign w:val="center"/>
          </w:tcPr>
          <w:p w14:paraId="712370E9">
            <w:pPr>
              <w:spacing w:line="360" w:lineRule="auto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副总经理、董事会秘书：许晖</w:t>
            </w:r>
          </w:p>
          <w:p w14:paraId="5F2AFBDE">
            <w:pPr>
              <w:spacing w:line="360" w:lineRule="auto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证券事务代表：付磊</w:t>
            </w:r>
          </w:p>
        </w:tc>
      </w:tr>
      <w:tr w14:paraId="2813E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</w:trPr>
        <w:tc>
          <w:tcPr>
            <w:tcW w:w="2326" w:type="dxa"/>
            <w:vAlign w:val="center"/>
          </w:tcPr>
          <w:p w14:paraId="2572B86A">
            <w:pPr>
              <w:spacing w:line="360" w:lineRule="auto"/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  <w:t>投资者关系活动</w:t>
            </w:r>
          </w:p>
          <w:p w14:paraId="3D1975C7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  <w:t>主要内容</w:t>
            </w:r>
          </w:p>
        </w:tc>
        <w:tc>
          <w:tcPr>
            <w:tcW w:w="5970" w:type="dxa"/>
            <w:vAlign w:val="center"/>
          </w:tcPr>
          <w:p w14:paraId="5FA390F5">
            <w:pPr>
              <w:pStyle w:val="9"/>
              <w:numPr>
                <w:numId w:val="0"/>
              </w:numPr>
              <w:spacing w:line="360" w:lineRule="auto"/>
              <w:ind w:left="482" w:leftChars="0"/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公司基本情况介绍。</w:t>
            </w:r>
          </w:p>
          <w:p w14:paraId="5C9DF85C">
            <w:pPr>
              <w:spacing w:line="360" w:lineRule="auto"/>
              <w:ind w:firstLine="482"/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二、问答及交流</w:t>
            </w:r>
          </w:p>
          <w:p w14:paraId="6FECEF7C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 xml:space="preserve">1.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公司六氟化钨产品现有产能和新增产能建设进展情况？</w:t>
            </w:r>
          </w:p>
          <w:p w14:paraId="2A24C375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公司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现有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六氟化钨产能为2000吨/年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产线均可生产6N级产品。新增产能建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设进展方面：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>公司年产3383吨高纯硫化氢等电子气体建设项目新增1000吨/年六氟化钨产能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建设地点为河北省邯郸市肥乡区，</w:t>
            </w:r>
            <w:r>
              <w:rPr>
                <w:rFonts w:ascii="宋体" w:hAnsi="宋体" w:eastAsia="宋体" w:cs="宋体"/>
                <w:sz w:val="24"/>
                <w:highlight w:val="none"/>
              </w:rPr>
              <w:t>预计将于2027年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建成投产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具体建成时间以实际施工进度为准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公司上海子公司新增1000吨/年六氟化钨产能项目，目前处于环评公示等前期审批阶段，暂时无法预计具体的建设周期。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关于新增产能的具体建设进度，请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持续关注公司公告信息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。</w:t>
            </w:r>
          </w:p>
          <w:p w14:paraId="49F0A862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2.公司六氟化钨产品订单情况以及产能利用率情况。</w:t>
            </w:r>
          </w:p>
          <w:p w14:paraId="57A1D852">
            <w:pPr>
              <w:spacing w:line="360" w:lineRule="auto"/>
              <w:ind w:firstLine="480" w:firstLineChars="200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六氟化钨作为存储芯片制造工艺中的关键耗材，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受益于当下AI驱动的存储需求持续增长，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highlight w:val="none"/>
                <w:lang w:val="en-US" w:eastAsia="zh-CN" w:bidi="ar-SA"/>
              </w:rPr>
              <w:t>3D NAND与HBM高带宽内存工艺不断突破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，带动了六氟化钨的整体市场需求的提升。目前，公司六氟化钨产能利用率处于较高水平，具体订单情况及对公司营业收入的影响，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请关注公司后续定期报告。</w:t>
            </w:r>
          </w:p>
          <w:p w14:paraId="582F4DB4">
            <w:pPr>
              <w:spacing w:line="360" w:lineRule="auto"/>
              <w:ind w:firstLine="482" w:firstLineChars="200"/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公司六氟化钨产品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现阶段客户端的议价周期以及境内外客户之间的定价差异情况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？</w:t>
            </w:r>
          </w:p>
          <w:p w14:paraId="4BCB4546">
            <w:pPr>
              <w:spacing w:line="360" w:lineRule="auto"/>
              <w:ind w:firstLine="480" w:firstLineChars="200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公司六氟化钨产品现阶段议价周期以季度议价为主，自今年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三季度起，公司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六氟化钨产品定价策略由成本转变为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基于供需关系、产业趋势、市场竞争格局和国家政策的自主定价策略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目前境内外客户关于六氟化钨产品议价沟通工作有序推进。</w:t>
            </w:r>
          </w:p>
          <w:p w14:paraId="7E14409D">
            <w:pPr>
              <w:spacing w:line="360" w:lineRule="auto"/>
              <w:ind w:firstLine="480" w:firstLineChars="200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针对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境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内外客户，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基于“一企一策”制定了差异化销售策略，但整体内外价差比例不会过大。公司既要保障国内集成电路产业链供应安全，也要遵循市场化原则。</w:t>
            </w:r>
          </w:p>
          <w:p w14:paraId="5E8D3C4A">
            <w:pPr>
              <w:spacing w:line="360" w:lineRule="auto"/>
              <w:ind w:firstLine="482" w:firstLineChars="200"/>
              <w:rPr>
                <w:rFonts w:hint="default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4. 公司六氟化钨产品在海外客户的认证及供货进展如何？</w:t>
            </w:r>
          </w:p>
          <w:p w14:paraId="6A808C12">
            <w:pPr>
              <w:spacing w:line="360" w:lineRule="auto"/>
              <w:ind w:firstLine="480" w:firstLineChars="200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公司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六氟化钨产品已稳定供应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绝大部分头部存储企业，个别海外客户认证工作正在持续推进中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目前进展顺利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预计境外六氟化钨产品销售价格及营业额将保持正向增长。后续进展情况如达到监管规则确定的披露标准，公司将及时进行公告披露。</w:t>
            </w:r>
          </w:p>
          <w:p w14:paraId="271AFD3F">
            <w:pPr>
              <w:spacing w:line="360" w:lineRule="auto"/>
              <w:ind w:firstLine="482" w:firstLineChars="200"/>
              <w:rPr>
                <w:rFonts w:ascii="宋体" w:hAnsi="宋体" w:eastAsia="宋体" w:cs="宋体"/>
                <w:b/>
                <w:bCs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 xml:space="preserve">5.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据公开信息显示，部分境外存储厂商提出在芯片沉积工艺中“以钼代钨”，请问公司如何看待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下游技术路线变化？</w:t>
            </w:r>
          </w:p>
          <w:p w14:paraId="31F2E505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据了解，目前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部分境外存储厂商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在超高层数3D NAND产线开展钼工艺小批量验证及试用，尚未实现全行业规模化替代。在逻辑芯片接触孔、钨塞、DRAM通孔、HBM等高占比核心制程场景，钨基沉积工艺仍是全球主流成熟技术路线。同时，钨转钼工艺需整体改造沉积设备、重构制程体系、长期良率验证，投入成本高、切换周期长。</w:t>
            </w:r>
          </w:p>
          <w:p w14:paraId="7BBC9950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同时，公司积极跟踪钼系前驱体、新型互连材料技术进展，开展前沿技术预研储备。目前公司已组建前驱体方向研发团队，采取不同技术路线，开展钼系前驱体材料的研发布局工作，做好项目研发及技术储备工作。</w:t>
            </w:r>
          </w:p>
          <w:p w14:paraId="5DB79F22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 xml:space="preserve">6.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公司如何判断六氟化钨产品在未来2-3年整体市场供需情况和竞争格局。</w:t>
            </w:r>
          </w:p>
          <w:p w14:paraId="51D6ED5F">
            <w:pPr>
              <w:spacing w:line="360" w:lineRule="auto"/>
              <w:ind w:firstLine="480" w:firstLineChars="200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六氟化钨作为芯片制造工艺中的关键耗材之一，</w:t>
            </w:r>
            <w:r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  <w:t>广泛应用于3D NAND闪存、先进逻辑芯片、HBM高带宽存储等半导体领域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，其市场需求量与下游客户产能利用率、先进工艺节点的突破以及资本性支出投放节奏呈直接正相关。</w:t>
            </w:r>
          </w:p>
          <w:p w14:paraId="3A125FA2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  <w:t>AI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产业的持续高景气度带动了对存储需求的增长，</w:t>
            </w:r>
            <w:r>
              <w:rPr>
                <w:rFonts w:hint="eastAsia" w:ascii="宋体" w:hAnsi="宋体" w:eastAsia="宋体" w:cs="宋体"/>
                <w:sz w:val="24"/>
                <w:highlight w:val="none"/>
              </w:rPr>
              <w:t>3D NAND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eastAsia="zh-CN"/>
              </w:rPr>
              <w:t>、</w:t>
            </w:r>
            <w:r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  <w:t>HBM等先进技术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的更新迭代，</w:t>
            </w:r>
            <w:r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  <w:t>下游客户资本性支出持续扩大，预计市场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对高纯度六氟化钨产品的</w:t>
            </w:r>
            <w:r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  <w:t>需求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将</w:t>
            </w:r>
            <w:r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  <w:t>保持较快增长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。</w:t>
            </w:r>
          </w:p>
          <w:p w14:paraId="4D1F93BC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公司将持续关注钨粉出口管制政策及对海外厂商的实际影响、新进入者的产能释放节奏和技术突破进展、下游存储芯片厂商的资本性支出计划及产线建设进度等。若上述因素发生较大变化，可能对市场供需格局产生影响。</w:t>
            </w:r>
          </w:p>
          <w:p w14:paraId="342C0571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7.据公开信息查询，在对境外特定国家或地区进行了钨粉出口限制的情况下，请问公司目前六氟化钨产品是否存在出口限制性政策？</w:t>
            </w:r>
          </w:p>
          <w:p w14:paraId="63BB78C1">
            <w:pPr>
              <w:spacing w:line="360" w:lineRule="auto"/>
              <w:ind w:firstLine="480" w:firstLineChars="200"/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截至目前，公司六氟化钨产品与境外客户正常签订合同，按约定交付产品，未受限制。</w:t>
            </w:r>
          </w:p>
          <w:p w14:paraId="7F74633B">
            <w:pPr>
              <w:spacing w:line="360" w:lineRule="auto"/>
              <w:ind w:firstLine="482" w:firstLineChars="200"/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  <w:lang w:val="en-US" w:eastAsia="zh-CN"/>
              </w:rPr>
              <w:t>8.上半年，公司三氟甲磺酸系列产品的整体经营情况。</w:t>
            </w:r>
          </w:p>
          <w:p w14:paraId="764A368F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三氟甲磺酸系列产品具有产品品种多、生产规模小、产品附加值高等特点。目前公司可生产的产品有三氟甲磺酸、三氟甲磺酸酐、三氟甲磺酸三甲基硅酯、双（三氟甲磺酰）亚胺锂、三氟甲磺酸锂等产品。公司三氟甲磺酸产能910吨，产能位居世界前列。</w:t>
            </w:r>
          </w:p>
          <w:p w14:paraId="0F0E0649">
            <w:pPr>
              <w:spacing w:line="360" w:lineRule="auto"/>
              <w:ind w:firstLine="480" w:firstLineChars="200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受益于</w:t>
            </w:r>
            <w:r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  <w:t>医药中间体下游需求扩张对三氟甲磺酸系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列</w:t>
            </w:r>
            <w:r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  <w:t>主要产品需求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的增加，2026年上半年，公司三氟甲磺酸、三氟甲磺酸酐等产品销量和产品营收较上年同期实现稳步增长</w:t>
            </w:r>
            <w:r>
              <w:rPr>
                <w:rFonts w:hint="default" w:ascii="宋体" w:hAnsi="宋体" w:eastAsia="宋体" w:cs="宋体"/>
                <w:sz w:val="24"/>
                <w:highlight w:val="none"/>
                <w:lang w:val="en-US"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highlight w:val="none"/>
                <w:lang w:val="en-US" w:eastAsia="zh-CN"/>
              </w:rPr>
              <w:t>具体信息详见公司披露的《2026年半年度报告》。</w:t>
            </w:r>
          </w:p>
        </w:tc>
      </w:tr>
      <w:tr w14:paraId="13C3F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326" w:type="dxa"/>
            <w:vAlign w:val="center"/>
          </w:tcPr>
          <w:p w14:paraId="1DFB57D3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highlight w:val="none"/>
              </w:rPr>
              <w:t>附件清单</w:t>
            </w:r>
          </w:p>
        </w:tc>
        <w:tc>
          <w:tcPr>
            <w:tcW w:w="5970" w:type="dxa"/>
            <w:vAlign w:val="center"/>
          </w:tcPr>
          <w:p w14:paraId="4E650029">
            <w:pPr>
              <w:spacing w:line="360" w:lineRule="auto"/>
              <w:rPr>
                <w:rFonts w:ascii="宋体" w:hAnsi="宋体" w:eastAsia="宋体" w:cs="宋体"/>
                <w:sz w:val="24"/>
                <w:highlight w:val="none"/>
              </w:rPr>
            </w:pPr>
            <w:r>
              <w:rPr>
                <w:rFonts w:ascii="宋体" w:hAnsi="宋体" w:eastAsia="宋体" w:cs="宋体"/>
                <w:sz w:val="24"/>
                <w:highlight w:val="none"/>
              </w:rPr>
              <w:t>无</w:t>
            </w:r>
          </w:p>
        </w:tc>
      </w:tr>
    </w:tbl>
    <w:p w14:paraId="60A02903">
      <w:pPr>
        <w:spacing w:line="360" w:lineRule="auto"/>
        <w:ind w:firstLine="482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风险提示：</w:t>
      </w:r>
      <w:r>
        <w:rPr>
          <w:rFonts w:hint="eastAsia" w:ascii="宋体" w:hAnsi="宋体" w:eastAsia="宋体" w:cs="宋体"/>
          <w:sz w:val="24"/>
        </w:rPr>
        <w:t>以上如涉及对行业预测、公司发展战略和经营计划等相关内容,不能视作公司或公司管理层对行业、公司发展或业绩的承诺和保证，敬请广大投资者注意投资风险。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JiYzNkOWYyZjA1ZGM0ZjI0YzBkMzEwMjI5OTMxOTYifQ=="/>
  </w:docVars>
  <w:rsids>
    <w:rsidRoot w:val="00E41DD3"/>
    <w:rsid w:val="0002334C"/>
    <w:rsid w:val="000420C5"/>
    <w:rsid w:val="0004696C"/>
    <w:rsid w:val="00047A58"/>
    <w:rsid w:val="00047D33"/>
    <w:rsid w:val="000619DF"/>
    <w:rsid w:val="00080B0E"/>
    <w:rsid w:val="00097DF2"/>
    <w:rsid w:val="000B413E"/>
    <w:rsid w:val="000B69AB"/>
    <w:rsid w:val="000C265C"/>
    <w:rsid w:val="000D37DA"/>
    <w:rsid w:val="000E4815"/>
    <w:rsid w:val="000F0EAB"/>
    <w:rsid w:val="000F517A"/>
    <w:rsid w:val="00102C3D"/>
    <w:rsid w:val="001058FB"/>
    <w:rsid w:val="00112CFF"/>
    <w:rsid w:val="0011307A"/>
    <w:rsid w:val="0011435A"/>
    <w:rsid w:val="00120ED8"/>
    <w:rsid w:val="00126CC4"/>
    <w:rsid w:val="0013310C"/>
    <w:rsid w:val="00136CB9"/>
    <w:rsid w:val="0014011E"/>
    <w:rsid w:val="0015638D"/>
    <w:rsid w:val="00156953"/>
    <w:rsid w:val="00162EAA"/>
    <w:rsid w:val="001A08E2"/>
    <w:rsid w:val="001A6617"/>
    <w:rsid w:val="001B0496"/>
    <w:rsid w:val="001B628C"/>
    <w:rsid w:val="001C5D9E"/>
    <w:rsid w:val="001C62FE"/>
    <w:rsid w:val="001D3399"/>
    <w:rsid w:val="001D5CDA"/>
    <w:rsid w:val="001F5183"/>
    <w:rsid w:val="00200CD0"/>
    <w:rsid w:val="00201935"/>
    <w:rsid w:val="00204F66"/>
    <w:rsid w:val="0021387A"/>
    <w:rsid w:val="00224437"/>
    <w:rsid w:val="00237C1F"/>
    <w:rsid w:val="002432EE"/>
    <w:rsid w:val="00255892"/>
    <w:rsid w:val="002609CF"/>
    <w:rsid w:val="00273527"/>
    <w:rsid w:val="00291E73"/>
    <w:rsid w:val="00295D29"/>
    <w:rsid w:val="002B1C01"/>
    <w:rsid w:val="002B312D"/>
    <w:rsid w:val="002C3803"/>
    <w:rsid w:val="002C424F"/>
    <w:rsid w:val="002C4C59"/>
    <w:rsid w:val="002D48FC"/>
    <w:rsid w:val="002D714D"/>
    <w:rsid w:val="002F6723"/>
    <w:rsid w:val="003057E1"/>
    <w:rsid w:val="003065CA"/>
    <w:rsid w:val="003147DC"/>
    <w:rsid w:val="00320893"/>
    <w:rsid w:val="003479D7"/>
    <w:rsid w:val="00352AAB"/>
    <w:rsid w:val="00360DF7"/>
    <w:rsid w:val="00361851"/>
    <w:rsid w:val="0037392B"/>
    <w:rsid w:val="0038581E"/>
    <w:rsid w:val="003A39C0"/>
    <w:rsid w:val="003B181E"/>
    <w:rsid w:val="003F61BD"/>
    <w:rsid w:val="003F69AD"/>
    <w:rsid w:val="004543E6"/>
    <w:rsid w:val="00464A9A"/>
    <w:rsid w:val="004861CD"/>
    <w:rsid w:val="00494DCA"/>
    <w:rsid w:val="004A1C8D"/>
    <w:rsid w:val="004D079B"/>
    <w:rsid w:val="004D0DE8"/>
    <w:rsid w:val="004D5456"/>
    <w:rsid w:val="004D69C4"/>
    <w:rsid w:val="005022A2"/>
    <w:rsid w:val="0050639A"/>
    <w:rsid w:val="0051215D"/>
    <w:rsid w:val="00513E02"/>
    <w:rsid w:val="005305F5"/>
    <w:rsid w:val="00550720"/>
    <w:rsid w:val="00552D82"/>
    <w:rsid w:val="00561BAF"/>
    <w:rsid w:val="005716B2"/>
    <w:rsid w:val="00581330"/>
    <w:rsid w:val="00583EB6"/>
    <w:rsid w:val="00596575"/>
    <w:rsid w:val="005A3DDC"/>
    <w:rsid w:val="005C13B0"/>
    <w:rsid w:val="005D7FDD"/>
    <w:rsid w:val="00601F1A"/>
    <w:rsid w:val="00603EE3"/>
    <w:rsid w:val="00614B51"/>
    <w:rsid w:val="00621B8D"/>
    <w:rsid w:val="00624D09"/>
    <w:rsid w:val="00630078"/>
    <w:rsid w:val="00647780"/>
    <w:rsid w:val="00650180"/>
    <w:rsid w:val="006518ED"/>
    <w:rsid w:val="00673A71"/>
    <w:rsid w:val="006A4388"/>
    <w:rsid w:val="006B13E9"/>
    <w:rsid w:val="006C01C2"/>
    <w:rsid w:val="006C23B5"/>
    <w:rsid w:val="006D3709"/>
    <w:rsid w:val="006E553B"/>
    <w:rsid w:val="006F6563"/>
    <w:rsid w:val="0071750F"/>
    <w:rsid w:val="007250C4"/>
    <w:rsid w:val="00732907"/>
    <w:rsid w:val="00737DEE"/>
    <w:rsid w:val="007504E2"/>
    <w:rsid w:val="00752A8C"/>
    <w:rsid w:val="00755A3E"/>
    <w:rsid w:val="007613FB"/>
    <w:rsid w:val="00767F36"/>
    <w:rsid w:val="00775286"/>
    <w:rsid w:val="0078343D"/>
    <w:rsid w:val="007836EA"/>
    <w:rsid w:val="00784D9E"/>
    <w:rsid w:val="00791D44"/>
    <w:rsid w:val="007B569E"/>
    <w:rsid w:val="007B6F87"/>
    <w:rsid w:val="007E23FB"/>
    <w:rsid w:val="007F2193"/>
    <w:rsid w:val="00804746"/>
    <w:rsid w:val="0081221E"/>
    <w:rsid w:val="00821414"/>
    <w:rsid w:val="008251BA"/>
    <w:rsid w:val="0083791E"/>
    <w:rsid w:val="008565A6"/>
    <w:rsid w:val="00867AC9"/>
    <w:rsid w:val="008737EA"/>
    <w:rsid w:val="00882B14"/>
    <w:rsid w:val="008B30D6"/>
    <w:rsid w:val="008B32B8"/>
    <w:rsid w:val="008C1707"/>
    <w:rsid w:val="008C4F8D"/>
    <w:rsid w:val="008C7324"/>
    <w:rsid w:val="008D1146"/>
    <w:rsid w:val="008E0E57"/>
    <w:rsid w:val="008F23BF"/>
    <w:rsid w:val="008F72FE"/>
    <w:rsid w:val="00920FD8"/>
    <w:rsid w:val="0093255B"/>
    <w:rsid w:val="00953355"/>
    <w:rsid w:val="009575A0"/>
    <w:rsid w:val="009802AF"/>
    <w:rsid w:val="009924E1"/>
    <w:rsid w:val="009B101A"/>
    <w:rsid w:val="00A06C21"/>
    <w:rsid w:val="00A179CC"/>
    <w:rsid w:val="00A24293"/>
    <w:rsid w:val="00A364D6"/>
    <w:rsid w:val="00A37175"/>
    <w:rsid w:val="00A37D37"/>
    <w:rsid w:val="00A45DE0"/>
    <w:rsid w:val="00A50C5B"/>
    <w:rsid w:val="00A55535"/>
    <w:rsid w:val="00A557CE"/>
    <w:rsid w:val="00A70E42"/>
    <w:rsid w:val="00A71158"/>
    <w:rsid w:val="00A727BA"/>
    <w:rsid w:val="00A76526"/>
    <w:rsid w:val="00A82B7C"/>
    <w:rsid w:val="00AA6A79"/>
    <w:rsid w:val="00AB3D43"/>
    <w:rsid w:val="00AB61ED"/>
    <w:rsid w:val="00AC21AA"/>
    <w:rsid w:val="00AF1C7A"/>
    <w:rsid w:val="00AF22B9"/>
    <w:rsid w:val="00B10D7A"/>
    <w:rsid w:val="00B25BC6"/>
    <w:rsid w:val="00B754FB"/>
    <w:rsid w:val="00B83BCF"/>
    <w:rsid w:val="00BA1E03"/>
    <w:rsid w:val="00BE1853"/>
    <w:rsid w:val="00C0231E"/>
    <w:rsid w:val="00C124E6"/>
    <w:rsid w:val="00C213B4"/>
    <w:rsid w:val="00C24FDF"/>
    <w:rsid w:val="00C36C41"/>
    <w:rsid w:val="00C46A52"/>
    <w:rsid w:val="00C51DCB"/>
    <w:rsid w:val="00C52567"/>
    <w:rsid w:val="00C61EFC"/>
    <w:rsid w:val="00C83676"/>
    <w:rsid w:val="00C858DF"/>
    <w:rsid w:val="00C91937"/>
    <w:rsid w:val="00CC5C1E"/>
    <w:rsid w:val="00CE0DED"/>
    <w:rsid w:val="00CF6629"/>
    <w:rsid w:val="00D05D35"/>
    <w:rsid w:val="00D07391"/>
    <w:rsid w:val="00D07733"/>
    <w:rsid w:val="00D17FD5"/>
    <w:rsid w:val="00D362F2"/>
    <w:rsid w:val="00D45C12"/>
    <w:rsid w:val="00D510BB"/>
    <w:rsid w:val="00D53E95"/>
    <w:rsid w:val="00D5744D"/>
    <w:rsid w:val="00D60741"/>
    <w:rsid w:val="00D73C06"/>
    <w:rsid w:val="00D7482C"/>
    <w:rsid w:val="00D94E8C"/>
    <w:rsid w:val="00DB2CD7"/>
    <w:rsid w:val="00DB7DF4"/>
    <w:rsid w:val="00DC2F31"/>
    <w:rsid w:val="00DC7861"/>
    <w:rsid w:val="00DE16D3"/>
    <w:rsid w:val="00DE2D30"/>
    <w:rsid w:val="00DE73B3"/>
    <w:rsid w:val="00DF6552"/>
    <w:rsid w:val="00E0335A"/>
    <w:rsid w:val="00E05429"/>
    <w:rsid w:val="00E253D2"/>
    <w:rsid w:val="00E30A59"/>
    <w:rsid w:val="00E31DB3"/>
    <w:rsid w:val="00E334B6"/>
    <w:rsid w:val="00E41DD3"/>
    <w:rsid w:val="00E47A2C"/>
    <w:rsid w:val="00E53973"/>
    <w:rsid w:val="00E66A72"/>
    <w:rsid w:val="00E929AE"/>
    <w:rsid w:val="00EB4107"/>
    <w:rsid w:val="00EB6567"/>
    <w:rsid w:val="00EB7B79"/>
    <w:rsid w:val="00EF07D4"/>
    <w:rsid w:val="00EF4E19"/>
    <w:rsid w:val="00EF7D75"/>
    <w:rsid w:val="00F25459"/>
    <w:rsid w:val="00F306B2"/>
    <w:rsid w:val="00F61E25"/>
    <w:rsid w:val="00F73735"/>
    <w:rsid w:val="00FA1EBC"/>
    <w:rsid w:val="00FC574F"/>
    <w:rsid w:val="00FD281E"/>
    <w:rsid w:val="00FD476B"/>
    <w:rsid w:val="00FE575F"/>
    <w:rsid w:val="0D522589"/>
    <w:rsid w:val="0E436275"/>
    <w:rsid w:val="0E7476E7"/>
    <w:rsid w:val="14E107D2"/>
    <w:rsid w:val="16847881"/>
    <w:rsid w:val="229712DA"/>
    <w:rsid w:val="24E84DA9"/>
    <w:rsid w:val="2DF6341D"/>
    <w:rsid w:val="4C2921B3"/>
    <w:rsid w:val="4CBA251B"/>
    <w:rsid w:val="505F3BA0"/>
    <w:rsid w:val="5B4C0B44"/>
    <w:rsid w:val="5E3865C5"/>
    <w:rsid w:val="626443FB"/>
    <w:rsid w:val="6F994FF1"/>
    <w:rsid w:val="6FBE6756"/>
    <w:rsid w:val="70D26170"/>
    <w:rsid w:val="76B669CC"/>
    <w:rsid w:val="7773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3647E-D84C-45C9-8FBE-678D686812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2004</Words>
  <Characters>2083</Characters>
  <Lines>14</Lines>
  <Paragraphs>4</Paragraphs>
  <TotalTime>78</TotalTime>
  <ScaleCrop>false</ScaleCrop>
  <LinksUpToDate>false</LinksUpToDate>
  <CharactersWithSpaces>2148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2026-04-22T10:14:00Z</dcterms:created>
  <dc:creator>董事会办公室</dc:creator>
  <cp:lastModifiedBy>付磊</cp:lastModifiedBy>
  <dcterms:modified xsi:type="dcterms:W3CDTF">2026-09-04T08:34:48Z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C561AE247A294EE6B7C85FCF493B260A_13</vt:lpwstr>
  </property>
  <property fmtid="{D5CDD505-2E9C-101B-9397-08002B2CF9AE}" pid="4" name="KSOTemplateDocerSaveRecord">
    <vt:lpwstr>eyJoZGlkIjoiMmE4MGY0MjBlYWZmMjNkOWQwYmQ5MTEwZGNiYzk2YmQiLCJ1c2VySWQiOiI1Njg2OTc0NTIifQ==</vt:lpwstr>
  </property>
</Properties>
</file>