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4E6FA">
      <w:pPr>
        <w:spacing w:before="156" w:beforeLines="50" w:after="156" w:afterLines="50" w:line="360" w:lineRule="auto"/>
        <w:rPr>
          <w:rFonts w:hint="eastAsia" w:ascii="宋体" w:hAnsi="宋体"/>
          <w:bCs/>
          <w:iCs/>
          <w:color w:val="000000"/>
          <w:sz w:val="28"/>
        </w:rPr>
      </w:pPr>
      <w:r>
        <w:rPr>
          <w:rFonts w:hint="eastAsia" w:ascii="宋体" w:hAnsi="宋体"/>
          <w:bCs/>
          <w:iCs/>
          <w:color w:val="000000"/>
          <w:sz w:val="28"/>
        </w:rPr>
        <w:t>证券代码：</w:t>
      </w:r>
      <w:r>
        <w:rPr>
          <w:rFonts w:ascii="宋体" w:hAnsi="宋体"/>
          <w:bCs/>
          <w:iCs/>
          <w:color w:val="000000"/>
          <w:sz w:val="28"/>
        </w:rPr>
        <w:t>688</w:t>
      </w:r>
      <w:r>
        <w:rPr>
          <w:rFonts w:hint="eastAsia" w:ascii="宋体" w:hAnsi="宋体"/>
          <w:bCs/>
          <w:iCs/>
          <w:color w:val="000000"/>
          <w:sz w:val="28"/>
        </w:rPr>
        <w:t>5</w:t>
      </w:r>
      <w:r>
        <w:rPr>
          <w:rFonts w:ascii="宋体" w:hAnsi="宋体"/>
          <w:bCs/>
          <w:iCs/>
          <w:color w:val="000000"/>
          <w:sz w:val="28"/>
        </w:rPr>
        <w:t>48</w:t>
      </w:r>
      <w:r>
        <w:rPr>
          <w:rFonts w:hint="eastAsia" w:ascii="宋体" w:hAnsi="宋体"/>
          <w:bCs/>
          <w:iCs/>
          <w:color w:val="000000"/>
          <w:sz w:val="28"/>
        </w:rPr>
        <w:t xml:space="preserve">                         证券简称：广钢气体</w:t>
      </w:r>
    </w:p>
    <w:p w14:paraId="5D1DD2F8">
      <w:pPr>
        <w:spacing w:before="156" w:beforeLines="50" w:after="156" w:afterLines="50" w:line="360" w:lineRule="auto"/>
        <w:jc w:val="center"/>
        <w:rPr>
          <w:rFonts w:hint="eastAsia" w:ascii="宋体" w:hAnsi="宋体"/>
          <w:b/>
          <w:bCs/>
          <w:iCs/>
          <w:color w:val="000000"/>
          <w:sz w:val="32"/>
          <w:szCs w:val="32"/>
        </w:rPr>
      </w:pPr>
    </w:p>
    <w:p w14:paraId="5C335F3D">
      <w:pPr>
        <w:spacing w:before="156" w:beforeLines="50" w:after="156" w:afterLines="50" w:line="360" w:lineRule="auto"/>
        <w:jc w:val="center"/>
        <w:rPr>
          <w:rFonts w:hint="eastAsia" w:ascii="宋体" w:hAnsi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广州广钢气体能源股份有限公司</w:t>
      </w:r>
    </w:p>
    <w:p w14:paraId="39D99D9F">
      <w:pPr>
        <w:spacing w:before="156" w:beforeLines="50" w:after="156" w:afterLines="50" w:line="360" w:lineRule="auto"/>
        <w:jc w:val="center"/>
        <w:rPr>
          <w:rFonts w:hint="eastAsia" w:ascii="宋体" w:hAnsi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投资者关系活动记录表</w:t>
      </w:r>
    </w:p>
    <w:p w14:paraId="6C80BD44">
      <w:pPr>
        <w:spacing w:line="360" w:lineRule="auto"/>
        <w:rPr>
          <w:rFonts w:hint="eastAsia" w:ascii="宋体" w:hAnsi="宋体"/>
          <w:bCs/>
          <w:iCs/>
          <w:color w:val="000000"/>
          <w:sz w:val="24"/>
        </w:rPr>
      </w:pPr>
      <w:r>
        <w:rPr>
          <w:rFonts w:hint="eastAsia" w:ascii="宋体" w:hAnsi="宋体"/>
          <w:bCs/>
          <w:iCs/>
          <w:color w:val="000000"/>
          <w:sz w:val="24"/>
        </w:rPr>
        <w:t xml:space="preserve">                                                        编号：2</w:t>
      </w:r>
      <w:r>
        <w:rPr>
          <w:rFonts w:ascii="宋体" w:hAnsi="宋体"/>
          <w:bCs/>
          <w:iCs/>
          <w:color w:val="000000"/>
          <w:sz w:val="24"/>
        </w:rPr>
        <w:t>02</w:t>
      </w:r>
      <w:r>
        <w:rPr>
          <w:rFonts w:hint="eastAsia" w:ascii="宋体" w:hAnsi="宋体"/>
          <w:bCs/>
          <w:iCs/>
          <w:color w:val="000000"/>
          <w:sz w:val="24"/>
        </w:rPr>
        <w:t>6-</w:t>
      </w:r>
      <w:r>
        <w:rPr>
          <w:rFonts w:ascii="宋体" w:hAnsi="宋体"/>
          <w:bCs/>
          <w:iCs/>
          <w:color w:val="000000"/>
          <w:sz w:val="24"/>
        </w:rPr>
        <w:t>00</w:t>
      </w:r>
      <w:r>
        <w:rPr>
          <w:rFonts w:hint="eastAsia" w:ascii="宋体" w:hAnsi="宋体"/>
          <w:bCs/>
          <w:iCs/>
          <w:color w:val="000000"/>
          <w:sz w:val="24"/>
        </w:rPr>
        <w:t>4</w:t>
      </w:r>
    </w:p>
    <w:tbl>
      <w:tblPr>
        <w:tblStyle w:val="9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6631"/>
      </w:tblGrid>
      <w:tr w14:paraId="59FA2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9D81C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投资者关系活动类别</w:t>
            </w:r>
          </w:p>
          <w:p w14:paraId="23146E22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</w:p>
        </w:tc>
        <w:tc>
          <w:tcPr>
            <w:tcW w:w="6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1DE86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特定对象调研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分析师会议</w:t>
            </w:r>
          </w:p>
          <w:p w14:paraId="4B52A228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媒体采访    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业绩说明会</w:t>
            </w:r>
          </w:p>
          <w:p w14:paraId="3C23AC74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新闻发布会  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路演活动</w:t>
            </w:r>
          </w:p>
          <w:p w14:paraId="3F9BA267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现场参观     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sym w:font="Wingdings 2" w:char="0052"/>
            </w:r>
            <w:r>
              <w:rPr>
                <w:rFonts w:hint="eastAsia" w:ascii="宋体" w:hAnsi="宋体"/>
                <w:sz w:val="24"/>
              </w:rPr>
              <w:t>电话会议</w:t>
            </w:r>
          </w:p>
          <w:p w14:paraId="50B20F1A">
            <w:pPr>
              <w:tabs>
                <w:tab w:val="center" w:pos="3199"/>
              </w:tabs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其他 （</w:t>
            </w:r>
            <w:r>
              <w:rPr>
                <w:rFonts w:hint="eastAsia" w:ascii="宋体" w:hAnsi="宋体"/>
                <w:sz w:val="24"/>
                <w:u w:val="single"/>
              </w:rPr>
              <w:t>请文字说明其他活动内容）</w:t>
            </w:r>
          </w:p>
        </w:tc>
      </w:tr>
      <w:tr w14:paraId="0995A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AB11A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参与单位名称</w:t>
            </w:r>
          </w:p>
          <w:p w14:paraId="45693558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（排名不分先后）</w:t>
            </w:r>
          </w:p>
        </w:tc>
        <w:tc>
          <w:tcPr>
            <w:tcW w:w="6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05765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具体名单详见附件</w:t>
            </w:r>
          </w:p>
        </w:tc>
      </w:tr>
      <w:tr w14:paraId="0554D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09A2F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7CB73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2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02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6年8月31日</w:t>
            </w:r>
          </w:p>
        </w:tc>
      </w:tr>
      <w:tr w14:paraId="56923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7C355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D4F27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公司会议室</w:t>
            </w:r>
          </w:p>
        </w:tc>
      </w:tr>
      <w:tr w14:paraId="2C822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FC6F4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上市公司接待人员</w:t>
            </w:r>
          </w:p>
        </w:tc>
        <w:tc>
          <w:tcPr>
            <w:tcW w:w="6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B23AB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总会计师（财务负责人）：施海光先生</w:t>
            </w:r>
          </w:p>
          <w:p w14:paraId="3CD402F4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董事会秘书、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总法律顾问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：贺新先生</w:t>
            </w:r>
          </w:p>
          <w:p w14:paraId="0CA9A1CF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投资总监：杨能先生</w:t>
            </w:r>
          </w:p>
        </w:tc>
      </w:tr>
      <w:tr w14:paraId="67A94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CA328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6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C03E8">
            <w:pPr>
              <w:spacing w:line="360" w:lineRule="auto"/>
              <w:rPr>
                <w:rFonts w:hint="eastAsia" w:ascii="宋体" w:hAnsi="宋体"/>
                <w:b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一、经营情况简介：</w:t>
            </w:r>
          </w:p>
          <w:p w14:paraId="03F8A487">
            <w:pPr>
              <w:spacing w:line="360" w:lineRule="auto"/>
              <w:ind w:firstLine="482" w:firstLineChars="200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2026年半年度，公司盈利能力的持续性和韧性得到进一步验证。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2026年上半年公司实现营业收入13.33亿元，同比增长19.62%；归母净利润2.56亿元，同比增长117.73%；扣非归母净利润2.29亿元，同比增长121.63%；基本每股收益0.19元，同比增长111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.11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%；加权平均净资产收益率4.17%，较上年同期提升2.17个百分点，利润增速远超收入增速，盈利弹性充分释放。经营活动现金流净额3.61亿元，持续保持强劲水平；资产负债率33.6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%，财务杠杆稳健。</w:t>
            </w:r>
          </w:p>
          <w:p w14:paraId="4B697476">
            <w:pPr>
              <w:spacing w:line="360" w:lineRule="auto"/>
              <w:ind w:firstLine="480" w:firstLineChars="200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核心驱动因素为电子大宗气体主业持续扩张，前期筹建项目陆续投产带来稳定收入与利润增量；氦气作为电子大宗气体的重要组成部分，依托公司全球化供应链保障能力，在上半年特殊市场环境下对当期利润形成一定贡献。</w:t>
            </w:r>
          </w:p>
          <w:p w14:paraId="38AD7EB3">
            <w:pPr>
              <w:spacing w:line="360" w:lineRule="auto"/>
              <w:ind w:firstLine="480" w:firstLineChars="200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上半年电子大宗气体业务实现收入10.56亿元，同比增长30.18%，占主营业务收入比重进一步提升至八成。通用工业气体业务作为重要补充，上半年实现收入2.17亿元。</w:t>
            </w:r>
          </w:p>
          <w:p w14:paraId="2C30FF2B">
            <w:pPr>
              <w:spacing w:line="360" w:lineRule="auto"/>
              <w:ind w:firstLine="480" w:firstLineChars="200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气源布局方面，公司已构建涵盖中东、欧洲、北美等多区域气源的全球化氦气供应体系，上半年面对全球供应链阶段性紧张格局，有效保障战略客户的稳定供应；储运能力方面，公司已累计投资近百台液氦冷箱；氦气供应方面，公司在上海、武汉、广州等地建成智能化氦气充装工厂；战略储备方面，全力推进国内首个小分子深地存储项目建设，着力打造“氦气银行”，进一步夯实国内氦气战略储备能力。</w:t>
            </w:r>
          </w:p>
          <w:p w14:paraId="04FF4DC1">
            <w:pPr>
              <w:spacing w:line="360" w:lineRule="auto"/>
              <w:ind w:firstLine="482" w:firstLineChars="200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持续股东回报，创造长期价值。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2026年半年度，公司拟向全体股东每10股派发现金红利0.78元（含税），占2026年半年度合并报表归母净利润的40.21%。</w:t>
            </w:r>
          </w:p>
          <w:p w14:paraId="763E3CD4">
            <w:pPr>
              <w:spacing w:line="360" w:lineRule="auto"/>
              <w:ind w:firstLine="480" w:firstLineChars="200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val="en-US" w:eastAsia="zh-CN"/>
              </w:rPr>
              <w:t>截至2026年上半年，公司累计服务11座12英寸晶圆厂，为8条高世代显示产线供应电子大宗气体，并完成西南区域布局。</w:t>
            </w:r>
          </w:p>
          <w:p w14:paraId="3797F446">
            <w:pPr>
              <w:spacing w:line="360" w:lineRule="auto"/>
              <w:ind w:firstLine="480" w:firstLineChars="200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</w:p>
          <w:p w14:paraId="76B1E0E3">
            <w:pPr>
              <w:spacing w:line="360" w:lineRule="auto"/>
              <w:rPr>
                <w:rFonts w:hint="eastAsia" w:ascii="宋体" w:hAnsi="宋体"/>
                <w:b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二、问答环节主要内容：</w:t>
            </w:r>
          </w:p>
          <w:p w14:paraId="043F8DCF">
            <w:pPr>
              <w:widowControl/>
              <w:spacing w:line="360" w:lineRule="auto"/>
              <w:rPr>
                <w:rFonts w:hint="eastAsia" w:ascii="宋体" w:hAnsi="宋体"/>
                <w:b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Q1：电子大宗气体板块毛利率提升的主要原因是什么？</w:t>
            </w:r>
          </w:p>
          <w:p w14:paraId="2C26E8F8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答：毛利率提升主要来自两方面：一是部分电子大宗气体项目进入产能爬坡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商业化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阶段，带动毛利提升；二是全球氦气供需格局发生变化，价格上涨对毛利率提升产生正向贡献。</w:t>
            </w:r>
          </w:p>
          <w:p w14:paraId="749CE748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</w:p>
          <w:p w14:paraId="7B907B06">
            <w:pPr>
              <w:widowControl/>
              <w:spacing w:line="360" w:lineRule="auto"/>
              <w:rPr>
                <w:rFonts w:hint="eastAsia" w:ascii="宋体" w:hAnsi="宋体"/>
                <w:b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Q2：2026年国内电子大宗气体行业的整体市场空间如何？公司下半年的订单趋势？</w:t>
            </w:r>
          </w:p>
          <w:p w14:paraId="70CC7F93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答：2026年是半导体行业发展机遇期，电子大宗气体</w:t>
            </w:r>
            <w:r>
              <w:rPr>
                <w:rFonts w:ascii="宋体" w:hAnsi="宋体" w:cs="宋体"/>
                <w:sz w:val="24"/>
              </w:rPr>
              <w:t>领域预计进入投资与招标集中释放阶段，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2026年下半年公司将持续跟进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北京、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上海、武汉、合肥等地相关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重点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项目。</w:t>
            </w:r>
          </w:p>
          <w:p w14:paraId="619F9C80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</w:p>
          <w:p w14:paraId="0D485398">
            <w:pPr>
              <w:widowControl/>
              <w:spacing w:line="360" w:lineRule="auto"/>
              <w:rPr>
                <w:rFonts w:hint="eastAsia" w:ascii="宋体" w:hAnsi="宋体"/>
                <w:b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Q3：公司超临界二氧化碳产品目前的应用场景、领域是什么？如何展望该产品的市场空间和竞争格局？</w:t>
            </w:r>
          </w:p>
          <w:p w14:paraId="35716337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答：超临界二氧化碳主要应用于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高端芯片制造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清洗工艺，可以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替代部分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传统湿电子化学品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实现更好的清洗效果，提升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芯片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产品良率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公司已在半导体项目实现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了超临界二氧化碳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输送系统的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商业化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落地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。超临界二氧化碳在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国际半导体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市场的应用已经较为普遍，目前国内应用尚处于前期阶段，只有少数头部半导体客户工厂采用，预计未来国内该领域也有较大的发展空间。（超临界二氧化碳收入占比较小，请勿放大单一产品对公司业绩的影响）</w:t>
            </w:r>
          </w:p>
          <w:p w14:paraId="1B7B5CB7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</w:p>
          <w:p w14:paraId="66BB2D4D">
            <w:pPr>
              <w:widowControl/>
              <w:spacing w:line="360" w:lineRule="auto"/>
              <w:rPr>
                <w:rFonts w:hint="eastAsia" w:ascii="宋体" w:hAnsi="宋体"/>
                <w:b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Q4：2026年氦气整体涨价幅度如何？公司氦气进口情况变化？</w:t>
            </w:r>
          </w:p>
          <w:p w14:paraId="773C2C7B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答：2026年上半年氦气行业受多重国际事件影响，因中东地缘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冲突加剧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及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海外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出口管制，全球氦气现货价格出现明显波动。公司及时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调用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全球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氦气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供应链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系统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依托多元化一手气源布局，加大北美、欧洲气源的采购力度，同时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释放液氦战略储备，优先保障国内集成电路、新型显示面板等关键行业的氦气需求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。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目前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全球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氦气供应仍未恢复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正常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水平，公司将提前做好各项安排，保障重点客户的供应服务。</w:t>
            </w:r>
          </w:p>
          <w:p w14:paraId="1965AF26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</w:p>
          <w:p w14:paraId="65338CC3">
            <w:pPr>
              <w:widowControl/>
              <w:spacing w:line="360" w:lineRule="auto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/>
                <w:b/>
                <w:bCs/>
                <w:iCs/>
                <w:color w:val="000000"/>
                <w:sz w:val="24"/>
              </w:rPr>
              <w:t>Q</w:t>
            </w: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5</w:t>
            </w:r>
            <w:r>
              <w:rPr>
                <w:rFonts w:ascii="宋体" w:hAnsi="宋体"/>
                <w:b/>
                <w:bCs/>
                <w:iCs/>
                <w:color w:val="000000"/>
                <w:sz w:val="24"/>
              </w:rPr>
              <w:t>：公司未来在市场拓展方面的战略是怎样的？</w:t>
            </w:r>
          </w:p>
          <w:p w14:paraId="665FC2DB">
            <w:pPr>
              <w:widowControl/>
              <w:spacing w:line="360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答：</w:t>
            </w:r>
            <w:r>
              <w:rPr>
                <w:rFonts w:ascii="宋体" w:hAnsi="宋体" w:eastAsia="宋体" w:cs="宋体"/>
                <w:sz w:val="24"/>
                <w:szCs w:val="24"/>
              </w:rPr>
              <w:t>受益于人工智能产业高景气发展，AI芯片、高端存储芯片市场需求持续旺盛，国内集成电路产业稳步发展、晶圆制造产能不断扩容，为电子大宗气体行业发展筑牢增长根基。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行业数据显示</w:t>
            </w:r>
            <w:r>
              <w:rPr>
                <w:rFonts w:ascii="宋体" w:hAnsi="宋体" w:eastAsia="宋体" w:cs="宋体"/>
                <w:sz w:val="24"/>
                <w:szCs w:val="24"/>
              </w:rPr>
              <w:t>，电子气体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行业</w:t>
            </w:r>
            <w:r>
              <w:rPr>
                <w:rFonts w:ascii="宋体" w:hAnsi="宋体" w:eastAsia="宋体" w:cs="宋体"/>
                <w:sz w:val="24"/>
                <w:szCs w:val="24"/>
              </w:rPr>
              <w:t>2026年市场规模预计222亿元，2030年有望达到298亿元。电子大宗气体行业壁垒较高，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主要参与方均得到了市场和客户的</w:t>
            </w:r>
            <w:r>
              <w:rPr>
                <w:rFonts w:ascii="宋体" w:hAnsi="宋体" w:eastAsia="宋体" w:cs="宋体"/>
                <w:sz w:val="24"/>
                <w:szCs w:val="24"/>
              </w:rPr>
              <w:t>长期检验。公司依托三大核心竞争优势夯实长期发展根基：一是体制机制优势，兼具国企责任担当与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市场化管理体系</w:t>
            </w:r>
            <w:r>
              <w:rPr>
                <w:rFonts w:ascii="宋体" w:hAnsi="宋体" w:eastAsia="宋体" w:cs="宋体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以</w:t>
            </w:r>
            <w:r>
              <w:rPr>
                <w:rFonts w:ascii="宋体" w:hAnsi="宋体" w:eastAsia="宋体" w:cs="宋体"/>
                <w:sz w:val="24"/>
                <w:szCs w:val="24"/>
              </w:rPr>
              <w:t>全球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智慧赋能本土产业</w:t>
            </w:r>
            <w:r>
              <w:rPr>
                <w:rFonts w:ascii="宋体" w:hAnsi="宋体" w:eastAsia="宋体" w:cs="宋体"/>
                <w:sz w:val="24"/>
                <w:szCs w:val="24"/>
              </w:rPr>
              <w:t>；二是专业稳定的创业团队，坚持工艺与产品持续迭代升级，能够匹配半导体客户严苛的纯度标准，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形成精益求精的品控文化</w:t>
            </w:r>
            <w:r>
              <w:rPr>
                <w:rFonts w:ascii="宋体" w:hAnsi="宋体" w:eastAsia="宋体" w:cs="宋体"/>
                <w:sz w:val="24"/>
                <w:szCs w:val="24"/>
              </w:rPr>
              <w:t>；三是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数十年的合资和电子大宗气体行业经验，铸就了</w:t>
            </w:r>
            <w:r>
              <w:rPr>
                <w:rFonts w:ascii="宋体" w:hAnsi="宋体" w:eastAsia="宋体" w:cs="宋体"/>
                <w:sz w:val="24"/>
                <w:szCs w:val="24"/>
              </w:rPr>
              <w:t>深厚的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历史沉淀</w:t>
            </w:r>
            <w:r>
              <w:rPr>
                <w:rFonts w:ascii="宋体" w:hAnsi="宋体" w:eastAsia="宋体" w:cs="宋体"/>
                <w:sz w:val="24"/>
                <w:szCs w:val="24"/>
              </w:rPr>
              <w:t>。未来，公司将坚定不移实施客户多元化与全球化发展战略，持续拓宽成长边界，进一步打开中长期增长空间，支撑经营业绩实现稳健、可持续增长。</w:t>
            </w:r>
          </w:p>
          <w:p w14:paraId="0754B846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</w:p>
          <w:p w14:paraId="53B55792">
            <w:pPr>
              <w:widowControl/>
              <w:spacing w:line="360" w:lineRule="auto"/>
              <w:rPr>
                <w:rFonts w:hint="eastAsia" w:ascii="宋体" w:hAnsi="宋体"/>
                <w:b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Q</w:t>
            </w:r>
            <w:r>
              <w:rPr>
                <w:rFonts w:hint="eastAsia" w:ascii="宋体" w:hAnsi="宋体"/>
                <w:b/>
                <w:i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：公司电子特气业务的最新进展如何？</w:t>
            </w:r>
          </w:p>
          <w:p w14:paraId="607A26FF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答：公司在电子特气领域重点布局行业前十大品种中的三大核心品种，分别为六氟丁二烯（C4F6）、溴化氢（HBr）及氯化氢（HC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l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）。</w:t>
            </w:r>
          </w:p>
          <w:p w14:paraId="6EED6ADB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六氟丁二烯（C4F6）：在潜江布局，正开展工艺调试与优化工作；溴化氢（HB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r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）：在合肥布局，已完成机械竣工，即将进入调试环节；电子氯化氢（HC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l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）：在上海布局，正处于工艺调试阶段。</w:t>
            </w:r>
          </w:p>
          <w:p w14:paraId="65BD7BB9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</w:p>
          <w:p w14:paraId="704727E8">
            <w:pPr>
              <w:widowControl/>
              <w:spacing w:line="360" w:lineRule="auto"/>
              <w:rPr>
                <w:rFonts w:hint="eastAsia" w:ascii="宋体" w:hAnsi="宋体"/>
                <w:b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Q</w:t>
            </w:r>
            <w:r>
              <w:rPr>
                <w:rFonts w:hint="eastAsia" w:ascii="宋体" w:hAnsi="宋体"/>
                <w:b/>
                <w:iCs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：公司与韩国AirFirst合作的相关背景及战略意义是什么？</w:t>
            </w:r>
          </w:p>
          <w:p w14:paraId="3A19DCED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答：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val="en-US" w:eastAsia="zh-CN"/>
              </w:rPr>
              <w:t>AirFirst曾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eastAsia="zh-CN"/>
              </w:rPr>
              <w:t>是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林德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val="en-US" w:eastAsia="zh-CN"/>
              </w:rPr>
              <w:t>韩国的核心资产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，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val="en-US" w:eastAsia="zh-CN"/>
              </w:rPr>
              <w:t>由于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林德和普莱克斯合并的反垄断审查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val="en-US" w:eastAsia="zh-CN"/>
              </w:rPr>
              <w:t>而剥离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，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val="en-US" w:eastAsia="zh-CN"/>
              </w:rPr>
              <w:t>现独立发展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eastAsia="zh-CN"/>
              </w:rPr>
              <w:t>。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公司与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val="en-US" w:eastAsia="zh-CN"/>
              </w:rPr>
              <w:t>AirFirst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均可提供高端全流程大宗电子气体工程与运维系统，服务各自区域头部晶圆制造厂</w:t>
            </w:r>
            <w:bookmarkStart w:id="0" w:name="_GoBack"/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。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val="en-US" w:eastAsia="zh-CN"/>
              </w:rPr>
              <w:t>A</w:t>
            </w:r>
            <w:bookmarkEnd w:id="0"/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val="en-US" w:eastAsia="zh-CN"/>
              </w:rPr>
              <w:t>irFirst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布局韩国市场，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eastAsia="zh-CN"/>
              </w:rPr>
              <w:t>在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val="en-US" w:eastAsia="zh-CN"/>
              </w:rPr>
              <w:t>当地具备广泛的客户资源和成熟的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eastAsia="zh-CN"/>
              </w:rPr>
              <w:t>电子大宗气体项目运营能力；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G-gas深耕中国市场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val="en-US" w:eastAsia="zh-CN"/>
              </w:rPr>
              <w:t>自研自制的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eastAsia="zh-CN"/>
              </w:rPr>
              <w:t>Supe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r-N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系列超高纯制氮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装置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已成功在中国头部半导体项目应用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。本次战略合作整合了</w:t>
            </w:r>
            <w:r>
              <w:rPr>
                <w:rFonts w:hint="eastAsia" w:ascii="宋体" w:hAnsi="宋体"/>
                <w:b w:val="0"/>
                <w:bCs/>
                <w:iCs/>
                <w:color w:val="000000"/>
                <w:sz w:val="24"/>
                <w:lang w:val="en-US" w:eastAsia="zh-CN"/>
              </w:rPr>
              <w:t>AirFirst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成熟的韩国客户资源及本土运维经验，以及G-gas的自主设备核心技术，可精准匹配韩国先进晶圆厂对高纯氮气供应的稳定性、经济性与高品质严谨要求。双方将打通技术与商务团队协同，加速定制化“Super-N”解决方案在韩国半导体市场的落地应用与批量交付。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（具体合作事项、实施进度存在不确定性，请以公司公告为准，不构成对投资者的业绩承诺。）</w:t>
            </w:r>
          </w:p>
          <w:p w14:paraId="61F84A93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</w:p>
          <w:p w14:paraId="77B4A19F">
            <w:pPr>
              <w:widowControl/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欢迎关注公司微信公众号“广钢气体”，了解更多公司动态。</w:t>
            </w:r>
          </w:p>
        </w:tc>
      </w:tr>
      <w:tr w14:paraId="7D6AC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C08C9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附件清单（如有）</w:t>
            </w:r>
          </w:p>
        </w:tc>
        <w:tc>
          <w:tcPr>
            <w:tcW w:w="6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9E249">
            <w:pPr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无</w:t>
            </w:r>
          </w:p>
        </w:tc>
      </w:tr>
      <w:tr w14:paraId="21DF0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B39D6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风险提示</w:t>
            </w:r>
          </w:p>
        </w:tc>
        <w:tc>
          <w:tcPr>
            <w:tcW w:w="6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66937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以上如涉及对行业的预测、公司发展战略规划等相关内容，不能视作公司或公司管理层对行业、公司发展或业绩的承诺和保证，敬请广大投资者注意投资风险。</w:t>
            </w:r>
          </w:p>
        </w:tc>
      </w:tr>
      <w:tr w14:paraId="4D3D6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66189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关于本次活动是否涉及应当披露重大信息的说明</w:t>
            </w:r>
          </w:p>
        </w:tc>
        <w:tc>
          <w:tcPr>
            <w:tcW w:w="6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873BF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本次活动不涉及应当披露重大信息。</w:t>
            </w:r>
          </w:p>
        </w:tc>
      </w:tr>
      <w:tr w14:paraId="36FD5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1A7E6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300AA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2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02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6年8月31日</w:t>
            </w:r>
          </w:p>
        </w:tc>
      </w:tr>
    </w:tbl>
    <w:p w14:paraId="57A392EA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136EB8AD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附件清单：参会机构名单</w:t>
      </w:r>
    </w:p>
    <w:tbl>
      <w:tblPr>
        <w:tblStyle w:val="9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38E6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E2E2E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机构名称</w:t>
            </w:r>
          </w:p>
        </w:tc>
      </w:tr>
      <w:tr w14:paraId="53838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96E4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Government of Singapore Investment Corporation</w:t>
            </w:r>
          </w:p>
        </w:tc>
      </w:tr>
      <w:tr w14:paraId="34689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B477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Temasek</w:t>
            </w:r>
          </w:p>
        </w:tc>
      </w:tr>
      <w:tr w14:paraId="42069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0748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富国基金管理有限公司</w:t>
            </w:r>
          </w:p>
        </w:tc>
      </w:tr>
      <w:tr w14:paraId="72A61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43AB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国泰基金管理有限公司</w:t>
            </w:r>
          </w:p>
        </w:tc>
      </w:tr>
      <w:tr w14:paraId="5EC1F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30C9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嘉实基金管理有限公司</w:t>
            </w:r>
          </w:p>
        </w:tc>
      </w:tr>
      <w:tr w14:paraId="439AD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DB77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博时基金管理有限公司</w:t>
            </w:r>
          </w:p>
        </w:tc>
      </w:tr>
      <w:tr w14:paraId="5F68D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AB2C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易方达基金管理有限公司</w:t>
            </w:r>
          </w:p>
        </w:tc>
      </w:tr>
      <w:tr w14:paraId="46E62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AF36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汇添富基金管理股份有限公司</w:t>
            </w:r>
          </w:p>
        </w:tc>
      </w:tr>
      <w:tr w14:paraId="5BE2A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98DD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‌华夏基金管理有限公司</w:t>
            </w:r>
          </w:p>
        </w:tc>
      </w:tr>
      <w:tr w14:paraId="4A775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487F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鹏华基金管理有限公司</w:t>
            </w:r>
          </w:p>
        </w:tc>
      </w:tr>
      <w:tr w14:paraId="781A1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7854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诺安基金管理有限公司</w:t>
            </w:r>
          </w:p>
        </w:tc>
      </w:tr>
      <w:tr w14:paraId="41EBE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5A2D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长城基金管理有限公司</w:t>
            </w:r>
          </w:p>
        </w:tc>
      </w:tr>
      <w:tr w14:paraId="66067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9E55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南方基金管理股份有限公司</w:t>
            </w:r>
          </w:p>
        </w:tc>
      </w:tr>
      <w:tr w14:paraId="6A4CB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7D6B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招银理财有限责任公司</w:t>
            </w:r>
          </w:p>
        </w:tc>
      </w:tr>
      <w:tr w14:paraId="7143F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8C7C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兴银理财有限责任公司</w:t>
            </w:r>
          </w:p>
        </w:tc>
      </w:tr>
      <w:tr w14:paraId="6101D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A681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华夏理财有限责任公司</w:t>
            </w:r>
          </w:p>
        </w:tc>
      </w:tr>
      <w:tr w14:paraId="5F47A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C180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建信理财有限责任公司</w:t>
            </w:r>
          </w:p>
        </w:tc>
      </w:tr>
      <w:tr w14:paraId="2D37F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C061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华泰资产管理有限公司</w:t>
            </w:r>
          </w:p>
        </w:tc>
      </w:tr>
      <w:tr w14:paraId="3949F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DCF7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阳光资产管理股份有限公司</w:t>
            </w:r>
          </w:p>
        </w:tc>
      </w:tr>
      <w:tr w14:paraId="50796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70D4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太平养老保险股份有限公司</w:t>
            </w:r>
          </w:p>
        </w:tc>
      </w:tr>
      <w:tr w14:paraId="3FE92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06B4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太平资产管理有限公司</w:t>
            </w:r>
          </w:p>
        </w:tc>
      </w:tr>
      <w:tr w14:paraId="4CE16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1E20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中国人民健康保险股份有限公司</w:t>
            </w:r>
          </w:p>
        </w:tc>
      </w:tr>
      <w:tr w14:paraId="2FA7C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366F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中国人寿养老保险股份有限公司</w:t>
            </w:r>
          </w:p>
        </w:tc>
      </w:tr>
      <w:tr w14:paraId="26B2F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AA6B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大家保险集团有限责任公司</w:t>
            </w:r>
          </w:p>
        </w:tc>
      </w:tr>
      <w:tr w14:paraId="066AB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D8A1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天弘基金管理有限公司</w:t>
            </w:r>
          </w:p>
        </w:tc>
      </w:tr>
      <w:tr w14:paraId="68866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0006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朱雀基金管理有限公司</w:t>
            </w:r>
          </w:p>
        </w:tc>
      </w:tr>
      <w:tr w14:paraId="2055F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5E9E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华宝基金管理有限公司</w:t>
            </w:r>
          </w:p>
        </w:tc>
      </w:tr>
      <w:tr w14:paraId="756B1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C348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银华基金管理股份有限公司</w:t>
            </w:r>
          </w:p>
        </w:tc>
      </w:tr>
      <w:tr w14:paraId="78483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2FEB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中欧基金管理有限公司</w:t>
            </w:r>
          </w:p>
        </w:tc>
      </w:tr>
      <w:tr w14:paraId="16D3E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F4BD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汇丰晋信基金管理有限公司</w:t>
            </w:r>
          </w:p>
        </w:tc>
      </w:tr>
      <w:tr w14:paraId="51381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EB04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博道基金管理有限公司</w:t>
            </w:r>
          </w:p>
        </w:tc>
      </w:tr>
      <w:tr w14:paraId="12FB7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95A3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博远基金管理有限公司</w:t>
            </w:r>
          </w:p>
        </w:tc>
      </w:tr>
      <w:tr w14:paraId="4B90C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4207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富安达基金管理有限公司</w:t>
            </w:r>
          </w:p>
        </w:tc>
      </w:tr>
      <w:tr w14:paraId="2B2D0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5EF3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国寿安保基金管理有限公司</w:t>
            </w:r>
          </w:p>
        </w:tc>
      </w:tr>
      <w:tr w14:paraId="1F97E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15BF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安信基金管理有限责任公司</w:t>
            </w:r>
          </w:p>
        </w:tc>
      </w:tr>
      <w:tr w14:paraId="03614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5E94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东方阿尔法基金管理有限公司</w:t>
            </w:r>
          </w:p>
        </w:tc>
      </w:tr>
      <w:tr w14:paraId="42523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F1A8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华安基金管理有限公司</w:t>
            </w:r>
          </w:p>
        </w:tc>
      </w:tr>
      <w:tr w14:paraId="46C47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F993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中银基金管理有限公司</w:t>
            </w:r>
          </w:p>
        </w:tc>
      </w:tr>
      <w:tr w14:paraId="24374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2C34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国金基金管理有限公司</w:t>
            </w:r>
          </w:p>
        </w:tc>
      </w:tr>
      <w:tr w14:paraId="5F5DD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78BE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平安基金管理有限公司</w:t>
            </w:r>
          </w:p>
        </w:tc>
      </w:tr>
      <w:tr w14:paraId="1D657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4467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浦银安盛基金管理有限公司</w:t>
            </w:r>
          </w:p>
        </w:tc>
      </w:tr>
      <w:tr w14:paraId="2D5AE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ABAE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申万菱信基金管理有限公司</w:t>
            </w:r>
          </w:p>
        </w:tc>
      </w:tr>
      <w:tr w14:paraId="2BCB6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4796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太平基金管理有限公司</w:t>
            </w:r>
          </w:p>
        </w:tc>
      </w:tr>
      <w:tr w14:paraId="4052A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7047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安联基金管理有限公司</w:t>
            </w:r>
          </w:p>
        </w:tc>
      </w:tr>
      <w:tr w14:paraId="4CB8C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FBBA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西部利得基金管理有限公司</w:t>
            </w:r>
          </w:p>
        </w:tc>
      </w:tr>
      <w:tr w14:paraId="18748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36C6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新华基金管理股份有限公司</w:t>
            </w:r>
          </w:p>
        </w:tc>
      </w:tr>
      <w:tr w14:paraId="69022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D7EE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信达澳亚基金管理有限公司</w:t>
            </w:r>
          </w:p>
        </w:tc>
      </w:tr>
      <w:tr w14:paraId="5082D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B37E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兴证全球基金管理有限公司</w:t>
            </w:r>
          </w:p>
        </w:tc>
      </w:tr>
      <w:tr w14:paraId="26D06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CF5A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银河基金管理有限公司</w:t>
            </w:r>
          </w:p>
        </w:tc>
      </w:tr>
      <w:tr w14:paraId="15B20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772D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圆信永丰基金管理有限公司</w:t>
            </w:r>
          </w:p>
        </w:tc>
      </w:tr>
      <w:tr w14:paraId="683BE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FE21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兴业基金管理有限公司</w:t>
            </w:r>
          </w:p>
        </w:tc>
      </w:tr>
      <w:tr w14:paraId="2C66C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F5DB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国海富兰克林基金管理有限公司</w:t>
            </w:r>
          </w:p>
        </w:tc>
      </w:tr>
      <w:tr w14:paraId="66E1C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13BF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万家基金管理有限公司</w:t>
            </w:r>
          </w:p>
        </w:tc>
      </w:tr>
      <w:tr w14:paraId="57EE1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98A3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北京中金众鑫投资管理有限公司</w:t>
            </w:r>
          </w:p>
        </w:tc>
      </w:tr>
      <w:tr w14:paraId="4CBDC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2864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摩根基金管理(中国)有限公司</w:t>
            </w:r>
          </w:p>
        </w:tc>
      </w:tr>
      <w:tr w14:paraId="294CC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0832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中信保诚基金管理有限公司</w:t>
            </w:r>
          </w:p>
        </w:tc>
      </w:tr>
      <w:tr w14:paraId="49477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297B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工银安盛资产管理有限公司</w:t>
            </w:r>
          </w:p>
        </w:tc>
      </w:tr>
      <w:tr w14:paraId="04177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7A26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高腾国际资产管理有限公司</w:t>
            </w:r>
          </w:p>
        </w:tc>
      </w:tr>
      <w:tr w14:paraId="4D99A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0CE4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财通证券资产管理有限公司</w:t>
            </w:r>
          </w:p>
        </w:tc>
      </w:tr>
      <w:tr w14:paraId="1B6AA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63FC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红思客资产管理（北京）有限责任公司</w:t>
            </w:r>
          </w:p>
        </w:tc>
      </w:tr>
      <w:tr w14:paraId="1638B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98E9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保银资产管理有限公司</w:t>
            </w:r>
          </w:p>
        </w:tc>
      </w:tr>
      <w:tr w14:paraId="4D892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FEF2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北京京管泰富基金管理有限责任公司</w:t>
            </w:r>
          </w:p>
        </w:tc>
      </w:tr>
      <w:tr w14:paraId="6FF40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068F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华能贵诚信托有限公司</w:t>
            </w:r>
          </w:p>
        </w:tc>
      </w:tr>
      <w:tr w14:paraId="7AD53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7637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华泰财产保险有限公司</w:t>
            </w:r>
          </w:p>
        </w:tc>
      </w:tr>
      <w:tr w14:paraId="7D018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C024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华夏财富创新投资管理有限公司</w:t>
            </w:r>
          </w:p>
        </w:tc>
      </w:tr>
      <w:tr w14:paraId="225DF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C040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泉果基金管理有限公司</w:t>
            </w:r>
          </w:p>
        </w:tc>
      </w:tr>
      <w:tr w14:paraId="3CE2D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2400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融通基金管理有限公司</w:t>
            </w:r>
          </w:p>
        </w:tc>
      </w:tr>
      <w:tr w14:paraId="25143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C074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睿远基金管理有限公司</w:t>
            </w:r>
          </w:p>
        </w:tc>
      </w:tr>
      <w:tr w14:paraId="531CC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2B8B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民生加银基金管理有限公司</w:t>
            </w:r>
          </w:p>
        </w:tc>
      </w:tr>
      <w:tr w14:paraId="55C6F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D775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大成基金管理有限公司</w:t>
            </w:r>
          </w:p>
        </w:tc>
      </w:tr>
      <w:tr w14:paraId="4FA83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E8FE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上银基金管理有限公司</w:t>
            </w:r>
          </w:p>
        </w:tc>
      </w:tr>
      <w:tr w14:paraId="1AE41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1CF1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农银汇理基金管理有限公司</w:t>
            </w:r>
          </w:p>
        </w:tc>
      </w:tr>
      <w:tr w14:paraId="1CC60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9B72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诺德基金管理有限公司</w:t>
            </w:r>
          </w:p>
        </w:tc>
      </w:tr>
      <w:tr w14:paraId="65492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DA84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HAO Capital Management Limited</w:t>
            </w:r>
          </w:p>
        </w:tc>
      </w:tr>
      <w:tr w14:paraId="1714B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F3AB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Willing Capital Management Limited</w:t>
            </w:r>
          </w:p>
        </w:tc>
      </w:tr>
      <w:tr w14:paraId="0BA5C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9174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Yiheng Capital, LLC</w:t>
            </w:r>
          </w:p>
        </w:tc>
      </w:tr>
      <w:tr w14:paraId="00158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2BE6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摩根士丹利基金管理（中国）有限公司</w:t>
            </w:r>
          </w:p>
        </w:tc>
      </w:tr>
      <w:tr w14:paraId="1DCE1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AFD9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交银施罗德基金管理有限公司</w:t>
            </w:r>
          </w:p>
        </w:tc>
      </w:tr>
      <w:tr w14:paraId="2D61F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FACD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江阴米利都私募基金管理合伙企业（有限合伙）</w:t>
            </w:r>
          </w:p>
        </w:tc>
      </w:tr>
      <w:tr w14:paraId="2BE40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39E7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精砚私募基金管理（广东）有限公司</w:t>
            </w:r>
          </w:p>
        </w:tc>
      </w:tr>
      <w:tr w14:paraId="40368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DDB4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巨杉（上海）资产管理有限公司</w:t>
            </w:r>
          </w:p>
        </w:tc>
      </w:tr>
      <w:tr w14:paraId="565EC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2493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陆家嘴国际信托有限公司</w:t>
            </w:r>
          </w:p>
        </w:tc>
      </w:tr>
      <w:tr w14:paraId="46F89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66D2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绿色发展基金私募股权投资管理（上海）有限公司</w:t>
            </w:r>
          </w:p>
        </w:tc>
      </w:tr>
      <w:tr w14:paraId="386FA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689D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宁波幻方量化投资管理合伙企业（有限合伙）</w:t>
            </w:r>
          </w:p>
        </w:tc>
      </w:tr>
      <w:tr w14:paraId="3199C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D648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广东恒健创业投资有限公司</w:t>
            </w:r>
          </w:p>
        </w:tc>
      </w:tr>
      <w:tr w14:paraId="69C6C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5145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杭州同花顺数据开发有限公司</w:t>
            </w:r>
          </w:p>
        </w:tc>
      </w:tr>
      <w:tr w14:paraId="63DCC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B261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前海再保险股份有限公司</w:t>
            </w:r>
          </w:p>
        </w:tc>
      </w:tr>
      <w:tr w14:paraId="71D48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C40E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上海常春藤私募基金管理有限公司</w:t>
            </w:r>
          </w:p>
        </w:tc>
      </w:tr>
      <w:tr w14:paraId="7C676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C2CA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上海美市科技有限公司</w:t>
            </w:r>
          </w:p>
        </w:tc>
      </w:tr>
      <w:tr w14:paraId="40C58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9CF8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上海铭大实业（集团）有限公司</w:t>
            </w:r>
          </w:p>
        </w:tc>
      </w:tr>
      <w:tr w14:paraId="453CB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B6C4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上海奇点跃迁私募基金管理有限公司</w:t>
            </w:r>
          </w:p>
        </w:tc>
      </w:tr>
      <w:tr w14:paraId="33A9A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7534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上海泉汐投资管理有限公司</w:t>
            </w:r>
          </w:p>
        </w:tc>
      </w:tr>
      <w:tr w14:paraId="0927E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DFFE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上海睿郡资产管理有限公司</w:t>
            </w:r>
          </w:p>
        </w:tc>
      </w:tr>
      <w:tr w14:paraId="2E099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B6BA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上海潼骁投资发展中心（有限合伙）</w:t>
            </w:r>
          </w:p>
        </w:tc>
      </w:tr>
      <w:tr w14:paraId="30E6F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313E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上海胤胜资产管理有限公司</w:t>
            </w:r>
          </w:p>
        </w:tc>
      </w:tr>
      <w:tr w14:paraId="10896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0F0D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上海远澜私募基金管理有限公司</w:t>
            </w:r>
          </w:p>
        </w:tc>
      </w:tr>
      <w:tr w14:paraId="7202C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0D8B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深圳聚沣资本管理有限公司</w:t>
            </w:r>
          </w:p>
        </w:tc>
      </w:tr>
      <w:tr w14:paraId="7B6B2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649F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深圳前海华杉投资管理有限公司</w:t>
            </w:r>
          </w:p>
        </w:tc>
      </w:tr>
      <w:tr w14:paraId="2B486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5E29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深圳市伯利恒资产管理有限公司</w:t>
            </w:r>
          </w:p>
        </w:tc>
      </w:tr>
      <w:tr w14:paraId="2173B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9D29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深圳市日斗投资管理有限公司</w:t>
            </w:r>
          </w:p>
        </w:tc>
      </w:tr>
      <w:tr w14:paraId="02A4F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9E00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深圳市尚诚资产管理有限责任公司</w:t>
            </w:r>
          </w:p>
        </w:tc>
      </w:tr>
      <w:tr w14:paraId="3CA9D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2F1D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深圳望正资产管理有限公司</w:t>
            </w:r>
          </w:p>
        </w:tc>
      </w:tr>
      <w:tr w14:paraId="5C1D3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3C20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深圳鑫然投资管理有限公司</w:t>
            </w:r>
          </w:p>
        </w:tc>
      </w:tr>
      <w:tr w14:paraId="2A148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CFBA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泰信基金管理有限公司</w:t>
            </w:r>
          </w:p>
        </w:tc>
      </w:tr>
      <w:tr w14:paraId="70720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C8BC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天风（上海）证券资产管理有限公司</w:t>
            </w:r>
          </w:p>
        </w:tc>
      </w:tr>
      <w:tr w14:paraId="1E3E2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1A49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万得信息技术股份有限公司</w:t>
            </w:r>
          </w:p>
        </w:tc>
      </w:tr>
      <w:tr w14:paraId="443A8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36DE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循远资产管理（上海）有限公司</w:t>
            </w:r>
          </w:p>
        </w:tc>
      </w:tr>
      <w:tr w14:paraId="5EEA4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5493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上海厚积投资 </w:t>
            </w:r>
          </w:p>
        </w:tc>
      </w:tr>
      <w:tr w14:paraId="7203D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4922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浙江白鹭资产管理股份有限公司</w:t>
            </w:r>
          </w:p>
        </w:tc>
      </w:tr>
      <w:tr w14:paraId="17769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8FF1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浙江浙商证券资产管理有限公司</w:t>
            </w:r>
          </w:p>
        </w:tc>
      </w:tr>
      <w:tr w14:paraId="0F369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AF28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中国光大银行股份有限公司</w:t>
            </w:r>
          </w:p>
        </w:tc>
      </w:tr>
      <w:tr w14:paraId="4DAF0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414B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上海歌斐资产管理有限公司</w:t>
            </w:r>
          </w:p>
        </w:tc>
      </w:tr>
      <w:tr w14:paraId="339F4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ECCB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上海歌汝私募基金管理有限公司</w:t>
            </w:r>
          </w:p>
        </w:tc>
      </w:tr>
      <w:tr w14:paraId="5DA4E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F977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泓德基金管理有限公司</w:t>
            </w:r>
          </w:p>
        </w:tc>
      </w:tr>
      <w:tr w14:paraId="631D4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7C07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英大保险资产管理有限公司</w:t>
            </w:r>
          </w:p>
        </w:tc>
      </w:tr>
      <w:tr w14:paraId="6A767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D338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光大保德信基金管理有限公司</w:t>
            </w:r>
          </w:p>
        </w:tc>
      </w:tr>
      <w:tr w14:paraId="63750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E7C7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上海勤辰私募基金管理合伙企业(有限合伙)</w:t>
            </w:r>
          </w:p>
        </w:tc>
      </w:tr>
      <w:tr w14:paraId="2A03F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5AF2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中银国际证券股份有限公司资管</w:t>
            </w:r>
          </w:p>
        </w:tc>
      </w:tr>
      <w:tr w14:paraId="7BF5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E776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上海常春藤资产管理有限公司</w:t>
            </w:r>
          </w:p>
        </w:tc>
      </w:tr>
      <w:tr w14:paraId="6A29A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3EF0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杭州乐信投资管理有限公司</w:t>
            </w:r>
          </w:p>
        </w:tc>
      </w:tr>
      <w:tr w14:paraId="34633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341E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华泰柏瑞基金管理有限公司</w:t>
            </w:r>
          </w:p>
        </w:tc>
      </w:tr>
      <w:tr w14:paraId="34069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C362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上海趣时资产管理有限公司</w:t>
            </w:r>
          </w:p>
        </w:tc>
      </w:tr>
      <w:tr w14:paraId="34EE5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1EBB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野村东方</w:t>
            </w:r>
          </w:p>
        </w:tc>
      </w:tr>
      <w:tr w14:paraId="45587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8078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碧云资本</w:t>
            </w:r>
          </w:p>
        </w:tc>
      </w:tr>
      <w:tr w14:paraId="445A4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2917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华福私募</w:t>
            </w:r>
          </w:p>
        </w:tc>
      </w:tr>
      <w:tr w14:paraId="0F8BD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FF86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国泰海通</w:t>
            </w:r>
          </w:p>
        </w:tc>
      </w:tr>
      <w:tr w14:paraId="34F9D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AD52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中信建投</w:t>
            </w:r>
          </w:p>
        </w:tc>
      </w:tr>
      <w:tr w14:paraId="0D322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271A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中信证券</w:t>
            </w:r>
          </w:p>
        </w:tc>
      </w:tr>
      <w:tr w14:paraId="2E71E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AE40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中金证券</w:t>
            </w:r>
          </w:p>
        </w:tc>
      </w:tr>
      <w:tr w14:paraId="71511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6E76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华泰证券</w:t>
            </w:r>
          </w:p>
        </w:tc>
      </w:tr>
      <w:tr w14:paraId="70205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470F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招商证券</w:t>
            </w:r>
          </w:p>
        </w:tc>
      </w:tr>
      <w:tr w14:paraId="04BF3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385E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广发证券</w:t>
            </w:r>
          </w:p>
        </w:tc>
      </w:tr>
      <w:tr w14:paraId="1E0C2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8BE7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东方证券</w:t>
            </w:r>
          </w:p>
        </w:tc>
      </w:tr>
      <w:tr w14:paraId="7C4FE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BD5D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银河证券</w:t>
            </w:r>
          </w:p>
        </w:tc>
      </w:tr>
      <w:tr w14:paraId="57DB2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FA1C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国信证券</w:t>
            </w:r>
          </w:p>
        </w:tc>
      </w:tr>
      <w:tr w14:paraId="4F850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6C2A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光大证券</w:t>
            </w:r>
          </w:p>
        </w:tc>
      </w:tr>
      <w:tr w14:paraId="5137D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41AC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兴业证券</w:t>
            </w:r>
          </w:p>
        </w:tc>
      </w:tr>
      <w:tr w14:paraId="0BE44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D9D8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申万宏源</w:t>
            </w:r>
          </w:p>
        </w:tc>
      </w:tr>
      <w:tr w14:paraId="423A5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0B08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国投证券</w:t>
            </w:r>
          </w:p>
        </w:tc>
      </w:tr>
      <w:tr w14:paraId="29F5D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7511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浙商证券</w:t>
            </w:r>
          </w:p>
        </w:tc>
      </w:tr>
      <w:tr w14:paraId="48D4B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E533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天风证券</w:t>
            </w:r>
          </w:p>
        </w:tc>
      </w:tr>
      <w:tr w14:paraId="179AD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0C0E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国金证券</w:t>
            </w:r>
          </w:p>
        </w:tc>
      </w:tr>
      <w:tr w14:paraId="13AD5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69C6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华创证券</w:t>
            </w:r>
          </w:p>
        </w:tc>
      </w:tr>
      <w:tr w14:paraId="1FFC8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989F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西部证券</w:t>
            </w:r>
          </w:p>
        </w:tc>
      </w:tr>
      <w:tr w14:paraId="008C5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EF1A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美银证券</w:t>
            </w:r>
          </w:p>
        </w:tc>
      </w:tr>
      <w:tr w14:paraId="6D7CE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774A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民生证券</w:t>
            </w:r>
          </w:p>
        </w:tc>
      </w:tr>
      <w:tr w14:paraId="3562B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18FD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方正证券</w:t>
            </w:r>
          </w:p>
        </w:tc>
      </w:tr>
      <w:tr w14:paraId="64941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6303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华西证券</w:t>
            </w:r>
          </w:p>
        </w:tc>
      </w:tr>
      <w:tr w14:paraId="65DB7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36D0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申万证券</w:t>
            </w:r>
          </w:p>
        </w:tc>
      </w:tr>
      <w:tr w14:paraId="6EACA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9F27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信达证券</w:t>
            </w:r>
          </w:p>
        </w:tc>
      </w:tr>
      <w:tr w14:paraId="058B2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30DB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国新证券</w:t>
            </w:r>
          </w:p>
        </w:tc>
      </w:tr>
      <w:tr w14:paraId="7B7A6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9B0A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华福证券</w:t>
            </w:r>
          </w:p>
        </w:tc>
      </w:tr>
      <w:tr w14:paraId="0C721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F854B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总计228人</w:t>
            </w:r>
          </w:p>
        </w:tc>
      </w:tr>
    </w:tbl>
    <w:p w14:paraId="42BAC51A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1626443">
      <w:pPr>
        <w:spacing w:line="360" w:lineRule="auto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iCs/>
          <w:color w:val="000000"/>
          <w:szCs w:val="21"/>
        </w:rPr>
        <w:t>注：本次电话会议参会机构名单由会议组织方提供。</w:t>
      </w:r>
    </w:p>
    <w:p w14:paraId="74680680">
      <w:pPr>
        <w:widowControl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zYjRiZTlhMTkxYmRlZjEwMDljMDM5ZDM4M2Y2NDUifQ=="/>
    <w:docVar w:name="KSO_WPS_MARK_KEY" w:val="f24a8a36-8842-49cc-be26-330e00327327"/>
  </w:docVars>
  <w:rsids>
    <w:rsidRoot w:val="002D6BF0"/>
    <w:rsid w:val="00000727"/>
    <w:rsid w:val="000033CE"/>
    <w:rsid w:val="00003FD9"/>
    <w:rsid w:val="0000570B"/>
    <w:rsid w:val="00006EF0"/>
    <w:rsid w:val="0000726A"/>
    <w:rsid w:val="00012948"/>
    <w:rsid w:val="000132DE"/>
    <w:rsid w:val="00015224"/>
    <w:rsid w:val="000154CB"/>
    <w:rsid w:val="000204A3"/>
    <w:rsid w:val="000217A1"/>
    <w:rsid w:val="00022D3E"/>
    <w:rsid w:val="0002517F"/>
    <w:rsid w:val="00027306"/>
    <w:rsid w:val="00031CB9"/>
    <w:rsid w:val="0004218C"/>
    <w:rsid w:val="000425E4"/>
    <w:rsid w:val="00042F80"/>
    <w:rsid w:val="00045190"/>
    <w:rsid w:val="00046227"/>
    <w:rsid w:val="00046C97"/>
    <w:rsid w:val="00047F68"/>
    <w:rsid w:val="0005142E"/>
    <w:rsid w:val="00053805"/>
    <w:rsid w:val="00054143"/>
    <w:rsid w:val="000547F3"/>
    <w:rsid w:val="000561D6"/>
    <w:rsid w:val="000574C2"/>
    <w:rsid w:val="00057CED"/>
    <w:rsid w:val="0006409D"/>
    <w:rsid w:val="0006525A"/>
    <w:rsid w:val="00065711"/>
    <w:rsid w:val="00065A24"/>
    <w:rsid w:val="000667F1"/>
    <w:rsid w:val="00067457"/>
    <w:rsid w:val="0006763F"/>
    <w:rsid w:val="00070B77"/>
    <w:rsid w:val="0007276C"/>
    <w:rsid w:val="000730A6"/>
    <w:rsid w:val="00074A20"/>
    <w:rsid w:val="0007530D"/>
    <w:rsid w:val="00077B26"/>
    <w:rsid w:val="00077F37"/>
    <w:rsid w:val="00080364"/>
    <w:rsid w:val="000817D1"/>
    <w:rsid w:val="00083220"/>
    <w:rsid w:val="00084D4C"/>
    <w:rsid w:val="00085565"/>
    <w:rsid w:val="00085946"/>
    <w:rsid w:val="000861B9"/>
    <w:rsid w:val="000877D2"/>
    <w:rsid w:val="00090EED"/>
    <w:rsid w:val="00094143"/>
    <w:rsid w:val="00096E82"/>
    <w:rsid w:val="00097C24"/>
    <w:rsid w:val="000A1E0D"/>
    <w:rsid w:val="000A2E89"/>
    <w:rsid w:val="000A73E3"/>
    <w:rsid w:val="000B4450"/>
    <w:rsid w:val="000B49E8"/>
    <w:rsid w:val="000B5138"/>
    <w:rsid w:val="000B57F9"/>
    <w:rsid w:val="000B63F4"/>
    <w:rsid w:val="000B7D97"/>
    <w:rsid w:val="000C3744"/>
    <w:rsid w:val="000C3844"/>
    <w:rsid w:val="000C4965"/>
    <w:rsid w:val="000C61F5"/>
    <w:rsid w:val="000C64E2"/>
    <w:rsid w:val="000C6E53"/>
    <w:rsid w:val="000C739E"/>
    <w:rsid w:val="000C7651"/>
    <w:rsid w:val="000C78F4"/>
    <w:rsid w:val="000D0BE8"/>
    <w:rsid w:val="000D1215"/>
    <w:rsid w:val="000E1969"/>
    <w:rsid w:val="000E295B"/>
    <w:rsid w:val="000E4C11"/>
    <w:rsid w:val="000E4D0F"/>
    <w:rsid w:val="000E5B6B"/>
    <w:rsid w:val="000E5E40"/>
    <w:rsid w:val="000E7A5F"/>
    <w:rsid w:val="000F1807"/>
    <w:rsid w:val="000F2801"/>
    <w:rsid w:val="001003D0"/>
    <w:rsid w:val="00101719"/>
    <w:rsid w:val="00102350"/>
    <w:rsid w:val="0010401F"/>
    <w:rsid w:val="00105686"/>
    <w:rsid w:val="00107828"/>
    <w:rsid w:val="00111831"/>
    <w:rsid w:val="00112B0C"/>
    <w:rsid w:val="00113FA9"/>
    <w:rsid w:val="00114127"/>
    <w:rsid w:val="001210CC"/>
    <w:rsid w:val="0012177D"/>
    <w:rsid w:val="00123393"/>
    <w:rsid w:val="00123BD5"/>
    <w:rsid w:val="00124B14"/>
    <w:rsid w:val="00125979"/>
    <w:rsid w:val="00126F9D"/>
    <w:rsid w:val="00130C80"/>
    <w:rsid w:val="00134131"/>
    <w:rsid w:val="00136805"/>
    <w:rsid w:val="00137AEC"/>
    <w:rsid w:val="00140830"/>
    <w:rsid w:val="00142D3E"/>
    <w:rsid w:val="001432D4"/>
    <w:rsid w:val="00146949"/>
    <w:rsid w:val="00147151"/>
    <w:rsid w:val="00150520"/>
    <w:rsid w:val="00151100"/>
    <w:rsid w:val="00151601"/>
    <w:rsid w:val="001532A1"/>
    <w:rsid w:val="00153EB6"/>
    <w:rsid w:val="001549C0"/>
    <w:rsid w:val="00154A45"/>
    <w:rsid w:val="00156EEE"/>
    <w:rsid w:val="00157CB7"/>
    <w:rsid w:val="00157EF7"/>
    <w:rsid w:val="00160ECA"/>
    <w:rsid w:val="001644A6"/>
    <w:rsid w:val="001648E6"/>
    <w:rsid w:val="00164D6C"/>
    <w:rsid w:val="0016537C"/>
    <w:rsid w:val="00165726"/>
    <w:rsid w:val="0016591A"/>
    <w:rsid w:val="00165944"/>
    <w:rsid w:val="00166991"/>
    <w:rsid w:val="0016720A"/>
    <w:rsid w:val="00167356"/>
    <w:rsid w:val="00170227"/>
    <w:rsid w:val="00174B96"/>
    <w:rsid w:val="00174DD2"/>
    <w:rsid w:val="0017578F"/>
    <w:rsid w:val="001771DC"/>
    <w:rsid w:val="00181D04"/>
    <w:rsid w:val="00182FFB"/>
    <w:rsid w:val="0018726A"/>
    <w:rsid w:val="001879C1"/>
    <w:rsid w:val="00190CF8"/>
    <w:rsid w:val="001916C4"/>
    <w:rsid w:val="00192EBC"/>
    <w:rsid w:val="00193963"/>
    <w:rsid w:val="001948F6"/>
    <w:rsid w:val="00196292"/>
    <w:rsid w:val="001A221B"/>
    <w:rsid w:val="001A2657"/>
    <w:rsid w:val="001A2C69"/>
    <w:rsid w:val="001A3020"/>
    <w:rsid w:val="001A5141"/>
    <w:rsid w:val="001A52EC"/>
    <w:rsid w:val="001A6EE3"/>
    <w:rsid w:val="001A7AA3"/>
    <w:rsid w:val="001B1A5D"/>
    <w:rsid w:val="001B4892"/>
    <w:rsid w:val="001B6409"/>
    <w:rsid w:val="001C044F"/>
    <w:rsid w:val="001C0EE4"/>
    <w:rsid w:val="001C3C24"/>
    <w:rsid w:val="001D1B93"/>
    <w:rsid w:val="001D1E8E"/>
    <w:rsid w:val="001D4702"/>
    <w:rsid w:val="001D4732"/>
    <w:rsid w:val="001D5678"/>
    <w:rsid w:val="001D78FA"/>
    <w:rsid w:val="001D7FD8"/>
    <w:rsid w:val="001E0674"/>
    <w:rsid w:val="001E20A7"/>
    <w:rsid w:val="001E6381"/>
    <w:rsid w:val="001E775A"/>
    <w:rsid w:val="001E7946"/>
    <w:rsid w:val="001F0507"/>
    <w:rsid w:val="001F0F96"/>
    <w:rsid w:val="001F28A5"/>
    <w:rsid w:val="001F37B5"/>
    <w:rsid w:val="001F4328"/>
    <w:rsid w:val="001F5069"/>
    <w:rsid w:val="001F65B7"/>
    <w:rsid w:val="002035FB"/>
    <w:rsid w:val="0020559F"/>
    <w:rsid w:val="00205817"/>
    <w:rsid w:val="00205A92"/>
    <w:rsid w:val="00210D24"/>
    <w:rsid w:val="00211B95"/>
    <w:rsid w:val="00211E06"/>
    <w:rsid w:val="00213C4C"/>
    <w:rsid w:val="00216990"/>
    <w:rsid w:val="00216D7C"/>
    <w:rsid w:val="00216E6F"/>
    <w:rsid w:val="00217146"/>
    <w:rsid w:val="002243CA"/>
    <w:rsid w:val="00227BCB"/>
    <w:rsid w:val="00231C0B"/>
    <w:rsid w:val="00233672"/>
    <w:rsid w:val="00233E1A"/>
    <w:rsid w:val="00233F7A"/>
    <w:rsid w:val="00237252"/>
    <w:rsid w:val="0024328A"/>
    <w:rsid w:val="002435C4"/>
    <w:rsid w:val="00243DD5"/>
    <w:rsid w:val="0024512F"/>
    <w:rsid w:val="00245F88"/>
    <w:rsid w:val="00250CC3"/>
    <w:rsid w:val="002510E1"/>
    <w:rsid w:val="00253E08"/>
    <w:rsid w:val="002600B0"/>
    <w:rsid w:val="002614A5"/>
    <w:rsid w:val="00261B24"/>
    <w:rsid w:val="00265D04"/>
    <w:rsid w:val="00266538"/>
    <w:rsid w:val="00270BB0"/>
    <w:rsid w:val="002719F2"/>
    <w:rsid w:val="00273B43"/>
    <w:rsid w:val="00274A03"/>
    <w:rsid w:val="00275569"/>
    <w:rsid w:val="002762CF"/>
    <w:rsid w:val="00280E59"/>
    <w:rsid w:val="00280EF1"/>
    <w:rsid w:val="0028241D"/>
    <w:rsid w:val="00283D93"/>
    <w:rsid w:val="002876B3"/>
    <w:rsid w:val="00287888"/>
    <w:rsid w:val="00290F92"/>
    <w:rsid w:val="0029503C"/>
    <w:rsid w:val="00295C02"/>
    <w:rsid w:val="00297421"/>
    <w:rsid w:val="002A006A"/>
    <w:rsid w:val="002A082B"/>
    <w:rsid w:val="002A1F85"/>
    <w:rsid w:val="002A2442"/>
    <w:rsid w:val="002A5317"/>
    <w:rsid w:val="002A7857"/>
    <w:rsid w:val="002A7BF9"/>
    <w:rsid w:val="002B307F"/>
    <w:rsid w:val="002B4CB9"/>
    <w:rsid w:val="002C112E"/>
    <w:rsid w:val="002C290B"/>
    <w:rsid w:val="002C2B45"/>
    <w:rsid w:val="002C32A8"/>
    <w:rsid w:val="002C47A0"/>
    <w:rsid w:val="002C4E39"/>
    <w:rsid w:val="002C65B8"/>
    <w:rsid w:val="002D139B"/>
    <w:rsid w:val="002D2A95"/>
    <w:rsid w:val="002D2EC8"/>
    <w:rsid w:val="002D30B1"/>
    <w:rsid w:val="002D3D1C"/>
    <w:rsid w:val="002D5986"/>
    <w:rsid w:val="002D6BF0"/>
    <w:rsid w:val="002D71B2"/>
    <w:rsid w:val="002E2152"/>
    <w:rsid w:val="002E2F03"/>
    <w:rsid w:val="002F2A42"/>
    <w:rsid w:val="002F489B"/>
    <w:rsid w:val="002F5047"/>
    <w:rsid w:val="00301C57"/>
    <w:rsid w:val="0031036C"/>
    <w:rsid w:val="00310AB3"/>
    <w:rsid w:val="003119CD"/>
    <w:rsid w:val="00315C96"/>
    <w:rsid w:val="00315ED8"/>
    <w:rsid w:val="003175CF"/>
    <w:rsid w:val="00320048"/>
    <w:rsid w:val="00324D79"/>
    <w:rsid w:val="00326486"/>
    <w:rsid w:val="00326A3D"/>
    <w:rsid w:val="003367CB"/>
    <w:rsid w:val="0034196B"/>
    <w:rsid w:val="00341FBD"/>
    <w:rsid w:val="00342C23"/>
    <w:rsid w:val="00342DDE"/>
    <w:rsid w:val="00343865"/>
    <w:rsid w:val="00343EFE"/>
    <w:rsid w:val="003445DE"/>
    <w:rsid w:val="00346F47"/>
    <w:rsid w:val="003536CB"/>
    <w:rsid w:val="00353C6D"/>
    <w:rsid w:val="00355072"/>
    <w:rsid w:val="00357151"/>
    <w:rsid w:val="00357D1E"/>
    <w:rsid w:val="0036070B"/>
    <w:rsid w:val="00362376"/>
    <w:rsid w:val="0036391C"/>
    <w:rsid w:val="00363E3D"/>
    <w:rsid w:val="00364644"/>
    <w:rsid w:val="003744AA"/>
    <w:rsid w:val="003757B9"/>
    <w:rsid w:val="003822A6"/>
    <w:rsid w:val="003839CC"/>
    <w:rsid w:val="00383C47"/>
    <w:rsid w:val="00384345"/>
    <w:rsid w:val="0038601A"/>
    <w:rsid w:val="0038682D"/>
    <w:rsid w:val="00386C10"/>
    <w:rsid w:val="00393689"/>
    <w:rsid w:val="0039508E"/>
    <w:rsid w:val="00396B9C"/>
    <w:rsid w:val="003A26A2"/>
    <w:rsid w:val="003A42C4"/>
    <w:rsid w:val="003B0BD4"/>
    <w:rsid w:val="003B3431"/>
    <w:rsid w:val="003B3A10"/>
    <w:rsid w:val="003B6833"/>
    <w:rsid w:val="003B7716"/>
    <w:rsid w:val="003B7801"/>
    <w:rsid w:val="003D3443"/>
    <w:rsid w:val="003E4BB2"/>
    <w:rsid w:val="003E7622"/>
    <w:rsid w:val="003F2773"/>
    <w:rsid w:val="003F2A80"/>
    <w:rsid w:val="003F30C9"/>
    <w:rsid w:val="003F3499"/>
    <w:rsid w:val="003F41C2"/>
    <w:rsid w:val="003F4995"/>
    <w:rsid w:val="0040479E"/>
    <w:rsid w:val="00404BDF"/>
    <w:rsid w:val="00405EE5"/>
    <w:rsid w:val="00405F15"/>
    <w:rsid w:val="00406275"/>
    <w:rsid w:val="004168CE"/>
    <w:rsid w:val="0041695F"/>
    <w:rsid w:val="00416A83"/>
    <w:rsid w:val="004206F6"/>
    <w:rsid w:val="00420F9A"/>
    <w:rsid w:val="00421387"/>
    <w:rsid w:val="00422049"/>
    <w:rsid w:val="00422461"/>
    <w:rsid w:val="00422474"/>
    <w:rsid w:val="004240A7"/>
    <w:rsid w:val="004248AC"/>
    <w:rsid w:val="00427B2E"/>
    <w:rsid w:val="004310AE"/>
    <w:rsid w:val="004335AF"/>
    <w:rsid w:val="00433B0C"/>
    <w:rsid w:val="00433BC7"/>
    <w:rsid w:val="004373F8"/>
    <w:rsid w:val="00437E02"/>
    <w:rsid w:val="004415E9"/>
    <w:rsid w:val="00441D31"/>
    <w:rsid w:val="0044494D"/>
    <w:rsid w:val="00451185"/>
    <w:rsid w:val="0045389C"/>
    <w:rsid w:val="00453D3D"/>
    <w:rsid w:val="00454583"/>
    <w:rsid w:val="00455193"/>
    <w:rsid w:val="0045759A"/>
    <w:rsid w:val="00457CBC"/>
    <w:rsid w:val="004608A6"/>
    <w:rsid w:val="004618CE"/>
    <w:rsid w:val="0046222A"/>
    <w:rsid w:val="00465FBF"/>
    <w:rsid w:val="00466715"/>
    <w:rsid w:val="0046677C"/>
    <w:rsid w:val="00470B97"/>
    <w:rsid w:val="00472D98"/>
    <w:rsid w:val="00476076"/>
    <w:rsid w:val="004765EA"/>
    <w:rsid w:val="004774EF"/>
    <w:rsid w:val="00477746"/>
    <w:rsid w:val="004809B0"/>
    <w:rsid w:val="00483A41"/>
    <w:rsid w:val="00485DE2"/>
    <w:rsid w:val="00485E73"/>
    <w:rsid w:val="0049005F"/>
    <w:rsid w:val="004901C0"/>
    <w:rsid w:val="004906E1"/>
    <w:rsid w:val="00493728"/>
    <w:rsid w:val="0049418F"/>
    <w:rsid w:val="00494BE4"/>
    <w:rsid w:val="004A03C8"/>
    <w:rsid w:val="004A1B58"/>
    <w:rsid w:val="004A2E80"/>
    <w:rsid w:val="004A369C"/>
    <w:rsid w:val="004A5D31"/>
    <w:rsid w:val="004A7827"/>
    <w:rsid w:val="004B21A6"/>
    <w:rsid w:val="004B37BD"/>
    <w:rsid w:val="004B3988"/>
    <w:rsid w:val="004B57BF"/>
    <w:rsid w:val="004B71BB"/>
    <w:rsid w:val="004C0CF1"/>
    <w:rsid w:val="004C2BA8"/>
    <w:rsid w:val="004C3E22"/>
    <w:rsid w:val="004C4D98"/>
    <w:rsid w:val="004D0310"/>
    <w:rsid w:val="004D0B07"/>
    <w:rsid w:val="004D0BF9"/>
    <w:rsid w:val="004D1121"/>
    <w:rsid w:val="004D49CB"/>
    <w:rsid w:val="004D701E"/>
    <w:rsid w:val="004D753E"/>
    <w:rsid w:val="004E1106"/>
    <w:rsid w:val="004E1250"/>
    <w:rsid w:val="004E15C8"/>
    <w:rsid w:val="004E2FF7"/>
    <w:rsid w:val="004E36C0"/>
    <w:rsid w:val="004E5232"/>
    <w:rsid w:val="004E6884"/>
    <w:rsid w:val="004F0DBA"/>
    <w:rsid w:val="004F1E80"/>
    <w:rsid w:val="004F23D7"/>
    <w:rsid w:val="004F25D8"/>
    <w:rsid w:val="004F356C"/>
    <w:rsid w:val="004F3A0C"/>
    <w:rsid w:val="004F4E08"/>
    <w:rsid w:val="004F72B1"/>
    <w:rsid w:val="00501A37"/>
    <w:rsid w:val="005058CD"/>
    <w:rsid w:val="00514D71"/>
    <w:rsid w:val="00515667"/>
    <w:rsid w:val="00521050"/>
    <w:rsid w:val="00521C1D"/>
    <w:rsid w:val="0052255A"/>
    <w:rsid w:val="00522711"/>
    <w:rsid w:val="00523A6B"/>
    <w:rsid w:val="00523CA5"/>
    <w:rsid w:val="005254E7"/>
    <w:rsid w:val="005267B9"/>
    <w:rsid w:val="00526B12"/>
    <w:rsid w:val="00526BC1"/>
    <w:rsid w:val="00530E2F"/>
    <w:rsid w:val="005348AD"/>
    <w:rsid w:val="005363BD"/>
    <w:rsid w:val="00536723"/>
    <w:rsid w:val="00536873"/>
    <w:rsid w:val="005368B6"/>
    <w:rsid w:val="005401F3"/>
    <w:rsid w:val="00541BC0"/>
    <w:rsid w:val="00542400"/>
    <w:rsid w:val="00542C76"/>
    <w:rsid w:val="00542D07"/>
    <w:rsid w:val="0054495C"/>
    <w:rsid w:val="00545603"/>
    <w:rsid w:val="005465A9"/>
    <w:rsid w:val="00550D70"/>
    <w:rsid w:val="00552BED"/>
    <w:rsid w:val="005539D9"/>
    <w:rsid w:val="00554F2B"/>
    <w:rsid w:val="00556E22"/>
    <w:rsid w:val="00561315"/>
    <w:rsid w:val="00561803"/>
    <w:rsid w:val="00563D92"/>
    <w:rsid w:val="00564410"/>
    <w:rsid w:val="005644AA"/>
    <w:rsid w:val="0056457B"/>
    <w:rsid w:val="00565C5D"/>
    <w:rsid w:val="0056643D"/>
    <w:rsid w:val="005665C3"/>
    <w:rsid w:val="0056687C"/>
    <w:rsid w:val="00566BFA"/>
    <w:rsid w:val="00570433"/>
    <w:rsid w:val="0057099C"/>
    <w:rsid w:val="005713C6"/>
    <w:rsid w:val="005771DE"/>
    <w:rsid w:val="00577544"/>
    <w:rsid w:val="005827A8"/>
    <w:rsid w:val="005827F7"/>
    <w:rsid w:val="005832F8"/>
    <w:rsid w:val="00584538"/>
    <w:rsid w:val="00584ED0"/>
    <w:rsid w:val="00586F4D"/>
    <w:rsid w:val="00587164"/>
    <w:rsid w:val="0058793E"/>
    <w:rsid w:val="0059063A"/>
    <w:rsid w:val="005906B5"/>
    <w:rsid w:val="00591209"/>
    <w:rsid w:val="00592E91"/>
    <w:rsid w:val="005A0B44"/>
    <w:rsid w:val="005A1AED"/>
    <w:rsid w:val="005A2CA8"/>
    <w:rsid w:val="005A2FE0"/>
    <w:rsid w:val="005A4196"/>
    <w:rsid w:val="005A48C4"/>
    <w:rsid w:val="005A5600"/>
    <w:rsid w:val="005A6D1C"/>
    <w:rsid w:val="005A764B"/>
    <w:rsid w:val="005A7B0F"/>
    <w:rsid w:val="005B2B66"/>
    <w:rsid w:val="005B2F51"/>
    <w:rsid w:val="005B4CC7"/>
    <w:rsid w:val="005C12CC"/>
    <w:rsid w:val="005C2812"/>
    <w:rsid w:val="005C2E80"/>
    <w:rsid w:val="005C6089"/>
    <w:rsid w:val="005C6FC3"/>
    <w:rsid w:val="005D72B8"/>
    <w:rsid w:val="005E05C4"/>
    <w:rsid w:val="005E0759"/>
    <w:rsid w:val="005E126B"/>
    <w:rsid w:val="005E1AFC"/>
    <w:rsid w:val="005E69F2"/>
    <w:rsid w:val="005E6F34"/>
    <w:rsid w:val="005E6FF2"/>
    <w:rsid w:val="005F1C39"/>
    <w:rsid w:val="005F517C"/>
    <w:rsid w:val="005F71F6"/>
    <w:rsid w:val="00600B2C"/>
    <w:rsid w:val="00600E8E"/>
    <w:rsid w:val="006060E0"/>
    <w:rsid w:val="00607581"/>
    <w:rsid w:val="0061312F"/>
    <w:rsid w:val="00613E02"/>
    <w:rsid w:val="006214FD"/>
    <w:rsid w:val="00622D6F"/>
    <w:rsid w:val="006250F9"/>
    <w:rsid w:val="006257A4"/>
    <w:rsid w:val="0062689A"/>
    <w:rsid w:val="00632521"/>
    <w:rsid w:val="00632787"/>
    <w:rsid w:val="00633234"/>
    <w:rsid w:val="006347F8"/>
    <w:rsid w:val="00641CB2"/>
    <w:rsid w:val="00645AC5"/>
    <w:rsid w:val="0064659B"/>
    <w:rsid w:val="00646C3D"/>
    <w:rsid w:val="00646FB0"/>
    <w:rsid w:val="006470D6"/>
    <w:rsid w:val="00652143"/>
    <w:rsid w:val="00653C39"/>
    <w:rsid w:val="0065641F"/>
    <w:rsid w:val="00656607"/>
    <w:rsid w:val="00656A40"/>
    <w:rsid w:val="00656A76"/>
    <w:rsid w:val="006611A6"/>
    <w:rsid w:val="006626AA"/>
    <w:rsid w:val="006656EC"/>
    <w:rsid w:val="006657CC"/>
    <w:rsid w:val="0066769B"/>
    <w:rsid w:val="0067032C"/>
    <w:rsid w:val="0067049B"/>
    <w:rsid w:val="00671CF1"/>
    <w:rsid w:val="006746D7"/>
    <w:rsid w:val="0067651E"/>
    <w:rsid w:val="00677486"/>
    <w:rsid w:val="006810D3"/>
    <w:rsid w:val="0068113E"/>
    <w:rsid w:val="00681B9D"/>
    <w:rsid w:val="00682769"/>
    <w:rsid w:val="006828CB"/>
    <w:rsid w:val="00683E29"/>
    <w:rsid w:val="00684849"/>
    <w:rsid w:val="006849A0"/>
    <w:rsid w:val="006850B2"/>
    <w:rsid w:val="00686A94"/>
    <w:rsid w:val="00687E46"/>
    <w:rsid w:val="006943D8"/>
    <w:rsid w:val="00695090"/>
    <w:rsid w:val="00697D61"/>
    <w:rsid w:val="006A1619"/>
    <w:rsid w:val="006A5136"/>
    <w:rsid w:val="006A76A3"/>
    <w:rsid w:val="006B1058"/>
    <w:rsid w:val="006B2C95"/>
    <w:rsid w:val="006B4994"/>
    <w:rsid w:val="006B52D8"/>
    <w:rsid w:val="006B63B6"/>
    <w:rsid w:val="006C2022"/>
    <w:rsid w:val="006C25B0"/>
    <w:rsid w:val="006C3F36"/>
    <w:rsid w:val="006C46C0"/>
    <w:rsid w:val="006C4734"/>
    <w:rsid w:val="006C4C75"/>
    <w:rsid w:val="006D0BDA"/>
    <w:rsid w:val="006D2600"/>
    <w:rsid w:val="006D3B12"/>
    <w:rsid w:val="006D4B0F"/>
    <w:rsid w:val="006E0893"/>
    <w:rsid w:val="006E0A01"/>
    <w:rsid w:val="006E4858"/>
    <w:rsid w:val="006E55D5"/>
    <w:rsid w:val="006E774D"/>
    <w:rsid w:val="006F2E7C"/>
    <w:rsid w:val="006F33C8"/>
    <w:rsid w:val="006F6061"/>
    <w:rsid w:val="006F7A47"/>
    <w:rsid w:val="00700715"/>
    <w:rsid w:val="00701517"/>
    <w:rsid w:val="00704502"/>
    <w:rsid w:val="00705E66"/>
    <w:rsid w:val="0070624D"/>
    <w:rsid w:val="007070FC"/>
    <w:rsid w:val="00707517"/>
    <w:rsid w:val="00707AEA"/>
    <w:rsid w:val="00707EF7"/>
    <w:rsid w:val="007116B4"/>
    <w:rsid w:val="007116DD"/>
    <w:rsid w:val="00711B61"/>
    <w:rsid w:val="00713DEB"/>
    <w:rsid w:val="00713FB0"/>
    <w:rsid w:val="0071712F"/>
    <w:rsid w:val="00717146"/>
    <w:rsid w:val="00720328"/>
    <w:rsid w:val="00721A94"/>
    <w:rsid w:val="007234DD"/>
    <w:rsid w:val="00724688"/>
    <w:rsid w:val="007251BA"/>
    <w:rsid w:val="007279CA"/>
    <w:rsid w:val="00727B53"/>
    <w:rsid w:val="00730497"/>
    <w:rsid w:val="00732A0D"/>
    <w:rsid w:val="00734E16"/>
    <w:rsid w:val="00734EF8"/>
    <w:rsid w:val="007378D0"/>
    <w:rsid w:val="00742D8C"/>
    <w:rsid w:val="00744189"/>
    <w:rsid w:val="00746AC8"/>
    <w:rsid w:val="007530D1"/>
    <w:rsid w:val="0075671B"/>
    <w:rsid w:val="00757769"/>
    <w:rsid w:val="00757EC8"/>
    <w:rsid w:val="00761A8C"/>
    <w:rsid w:val="00762AB8"/>
    <w:rsid w:val="00763C3A"/>
    <w:rsid w:val="007656A2"/>
    <w:rsid w:val="00766DBB"/>
    <w:rsid w:val="00767A09"/>
    <w:rsid w:val="0077080F"/>
    <w:rsid w:val="00773997"/>
    <w:rsid w:val="00775DD2"/>
    <w:rsid w:val="00780F20"/>
    <w:rsid w:val="00781E77"/>
    <w:rsid w:val="00783493"/>
    <w:rsid w:val="00783AA2"/>
    <w:rsid w:val="00785B13"/>
    <w:rsid w:val="00785DA1"/>
    <w:rsid w:val="00786D0B"/>
    <w:rsid w:val="007929DE"/>
    <w:rsid w:val="007930C3"/>
    <w:rsid w:val="007945E9"/>
    <w:rsid w:val="007A03CE"/>
    <w:rsid w:val="007A139B"/>
    <w:rsid w:val="007A2DF0"/>
    <w:rsid w:val="007A41BF"/>
    <w:rsid w:val="007A44CB"/>
    <w:rsid w:val="007A44DB"/>
    <w:rsid w:val="007A4D60"/>
    <w:rsid w:val="007B4DFA"/>
    <w:rsid w:val="007B69C4"/>
    <w:rsid w:val="007C090F"/>
    <w:rsid w:val="007C099A"/>
    <w:rsid w:val="007C14CB"/>
    <w:rsid w:val="007C1F6A"/>
    <w:rsid w:val="007C2F03"/>
    <w:rsid w:val="007C4047"/>
    <w:rsid w:val="007C4E43"/>
    <w:rsid w:val="007C6DE3"/>
    <w:rsid w:val="007D209D"/>
    <w:rsid w:val="007D5BBC"/>
    <w:rsid w:val="007E4FFC"/>
    <w:rsid w:val="007E74D3"/>
    <w:rsid w:val="007E779F"/>
    <w:rsid w:val="007F250D"/>
    <w:rsid w:val="007F4DDC"/>
    <w:rsid w:val="007F509B"/>
    <w:rsid w:val="0080506E"/>
    <w:rsid w:val="00805CB5"/>
    <w:rsid w:val="0080733C"/>
    <w:rsid w:val="00812C72"/>
    <w:rsid w:val="008131F7"/>
    <w:rsid w:val="008169BC"/>
    <w:rsid w:val="00817DAF"/>
    <w:rsid w:val="0082014D"/>
    <w:rsid w:val="00820227"/>
    <w:rsid w:val="00820E0B"/>
    <w:rsid w:val="008232EE"/>
    <w:rsid w:val="00825767"/>
    <w:rsid w:val="00825BB0"/>
    <w:rsid w:val="00826B9B"/>
    <w:rsid w:val="008279AA"/>
    <w:rsid w:val="00833302"/>
    <w:rsid w:val="00834480"/>
    <w:rsid w:val="00835873"/>
    <w:rsid w:val="0083587A"/>
    <w:rsid w:val="00840B23"/>
    <w:rsid w:val="00843555"/>
    <w:rsid w:val="00843E7B"/>
    <w:rsid w:val="008442A0"/>
    <w:rsid w:val="00844E68"/>
    <w:rsid w:val="00850E63"/>
    <w:rsid w:val="00852507"/>
    <w:rsid w:val="0085408E"/>
    <w:rsid w:val="0085480C"/>
    <w:rsid w:val="00854958"/>
    <w:rsid w:val="008559D1"/>
    <w:rsid w:val="0086082A"/>
    <w:rsid w:val="00860ABC"/>
    <w:rsid w:val="00862658"/>
    <w:rsid w:val="008643A7"/>
    <w:rsid w:val="00864837"/>
    <w:rsid w:val="00866406"/>
    <w:rsid w:val="00866846"/>
    <w:rsid w:val="00866BBE"/>
    <w:rsid w:val="00867099"/>
    <w:rsid w:val="00867C12"/>
    <w:rsid w:val="008734D4"/>
    <w:rsid w:val="008748DC"/>
    <w:rsid w:val="00874F87"/>
    <w:rsid w:val="00876102"/>
    <w:rsid w:val="00880B5A"/>
    <w:rsid w:val="00880EDA"/>
    <w:rsid w:val="00881566"/>
    <w:rsid w:val="00882980"/>
    <w:rsid w:val="00883C9D"/>
    <w:rsid w:val="00885960"/>
    <w:rsid w:val="00886916"/>
    <w:rsid w:val="008874FF"/>
    <w:rsid w:val="008926DD"/>
    <w:rsid w:val="008930F2"/>
    <w:rsid w:val="00895FFB"/>
    <w:rsid w:val="00896C02"/>
    <w:rsid w:val="008A48E2"/>
    <w:rsid w:val="008A6B60"/>
    <w:rsid w:val="008B02D8"/>
    <w:rsid w:val="008B1EE7"/>
    <w:rsid w:val="008B3CEA"/>
    <w:rsid w:val="008B49A5"/>
    <w:rsid w:val="008C0AC6"/>
    <w:rsid w:val="008C0DEA"/>
    <w:rsid w:val="008C122C"/>
    <w:rsid w:val="008C5F5F"/>
    <w:rsid w:val="008D05F3"/>
    <w:rsid w:val="008D18B0"/>
    <w:rsid w:val="008D2423"/>
    <w:rsid w:val="008D2E51"/>
    <w:rsid w:val="008D57D8"/>
    <w:rsid w:val="008D6E7B"/>
    <w:rsid w:val="008E0C30"/>
    <w:rsid w:val="008E1221"/>
    <w:rsid w:val="008E3ABD"/>
    <w:rsid w:val="008E58F2"/>
    <w:rsid w:val="008E7E7E"/>
    <w:rsid w:val="008F2279"/>
    <w:rsid w:val="00900A71"/>
    <w:rsid w:val="00900F14"/>
    <w:rsid w:val="00902BCF"/>
    <w:rsid w:val="009039F3"/>
    <w:rsid w:val="0091495C"/>
    <w:rsid w:val="00914B3D"/>
    <w:rsid w:val="00914DC5"/>
    <w:rsid w:val="0091653F"/>
    <w:rsid w:val="009218E9"/>
    <w:rsid w:val="009219CF"/>
    <w:rsid w:val="009243FF"/>
    <w:rsid w:val="00925715"/>
    <w:rsid w:val="00925985"/>
    <w:rsid w:val="009259C5"/>
    <w:rsid w:val="0093125F"/>
    <w:rsid w:val="00932349"/>
    <w:rsid w:val="00933718"/>
    <w:rsid w:val="00933BA2"/>
    <w:rsid w:val="00935F77"/>
    <w:rsid w:val="00936DF7"/>
    <w:rsid w:val="00940FAF"/>
    <w:rsid w:val="009410CE"/>
    <w:rsid w:val="0094136F"/>
    <w:rsid w:val="009479F9"/>
    <w:rsid w:val="00952587"/>
    <w:rsid w:val="0095278E"/>
    <w:rsid w:val="00952C36"/>
    <w:rsid w:val="00954214"/>
    <w:rsid w:val="00955210"/>
    <w:rsid w:val="00955BA5"/>
    <w:rsid w:val="00955BCA"/>
    <w:rsid w:val="009565D0"/>
    <w:rsid w:val="00957852"/>
    <w:rsid w:val="00962DF9"/>
    <w:rsid w:val="00963675"/>
    <w:rsid w:val="00963D9A"/>
    <w:rsid w:val="0097054D"/>
    <w:rsid w:val="00971464"/>
    <w:rsid w:val="00971C3A"/>
    <w:rsid w:val="009757E1"/>
    <w:rsid w:val="00975B13"/>
    <w:rsid w:val="009771D6"/>
    <w:rsid w:val="00980109"/>
    <w:rsid w:val="00982B73"/>
    <w:rsid w:val="00983070"/>
    <w:rsid w:val="00983EAC"/>
    <w:rsid w:val="00985752"/>
    <w:rsid w:val="00987DBF"/>
    <w:rsid w:val="00990D56"/>
    <w:rsid w:val="00991F26"/>
    <w:rsid w:val="00992CB6"/>
    <w:rsid w:val="009936D6"/>
    <w:rsid w:val="00994CFF"/>
    <w:rsid w:val="00994F38"/>
    <w:rsid w:val="00995CEC"/>
    <w:rsid w:val="00995EC2"/>
    <w:rsid w:val="009A0B91"/>
    <w:rsid w:val="009A1BD0"/>
    <w:rsid w:val="009A269F"/>
    <w:rsid w:val="009A414A"/>
    <w:rsid w:val="009A4FD7"/>
    <w:rsid w:val="009A58F6"/>
    <w:rsid w:val="009A7A30"/>
    <w:rsid w:val="009B0C9E"/>
    <w:rsid w:val="009B2735"/>
    <w:rsid w:val="009B62BC"/>
    <w:rsid w:val="009C1C8C"/>
    <w:rsid w:val="009C2135"/>
    <w:rsid w:val="009D014F"/>
    <w:rsid w:val="009D1943"/>
    <w:rsid w:val="009D1C19"/>
    <w:rsid w:val="009D3445"/>
    <w:rsid w:val="009D3D7B"/>
    <w:rsid w:val="009D5BFD"/>
    <w:rsid w:val="009D5DC5"/>
    <w:rsid w:val="009D7088"/>
    <w:rsid w:val="009D70C0"/>
    <w:rsid w:val="009E0402"/>
    <w:rsid w:val="009E07D8"/>
    <w:rsid w:val="009E4F31"/>
    <w:rsid w:val="009E63E0"/>
    <w:rsid w:val="009E6BD0"/>
    <w:rsid w:val="009E718D"/>
    <w:rsid w:val="009F0264"/>
    <w:rsid w:val="009F4F59"/>
    <w:rsid w:val="009F7FE5"/>
    <w:rsid w:val="00A013E7"/>
    <w:rsid w:val="00A01C66"/>
    <w:rsid w:val="00A060E9"/>
    <w:rsid w:val="00A07553"/>
    <w:rsid w:val="00A103E5"/>
    <w:rsid w:val="00A14B18"/>
    <w:rsid w:val="00A174B1"/>
    <w:rsid w:val="00A22555"/>
    <w:rsid w:val="00A228B9"/>
    <w:rsid w:val="00A2681C"/>
    <w:rsid w:val="00A27F6D"/>
    <w:rsid w:val="00A3203B"/>
    <w:rsid w:val="00A32C19"/>
    <w:rsid w:val="00A34D8E"/>
    <w:rsid w:val="00A353C2"/>
    <w:rsid w:val="00A44324"/>
    <w:rsid w:val="00A45B0F"/>
    <w:rsid w:val="00A46E2D"/>
    <w:rsid w:val="00A51017"/>
    <w:rsid w:val="00A639E1"/>
    <w:rsid w:val="00A63A89"/>
    <w:rsid w:val="00A67A5D"/>
    <w:rsid w:val="00A708F8"/>
    <w:rsid w:val="00A72A8E"/>
    <w:rsid w:val="00A752EA"/>
    <w:rsid w:val="00A77822"/>
    <w:rsid w:val="00A77E70"/>
    <w:rsid w:val="00A801BF"/>
    <w:rsid w:val="00A82366"/>
    <w:rsid w:val="00A86659"/>
    <w:rsid w:val="00A873A9"/>
    <w:rsid w:val="00A9028F"/>
    <w:rsid w:val="00A927D8"/>
    <w:rsid w:val="00A9678C"/>
    <w:rsid w:val="00A96F8A"/>
    <w:rsid w:val="00AA1F7E"/>
    <w:rsid w:val="00AA3C63"/>
    <w:rsid w:val="00AA4EAF"/>
    <w:rsid w:val="00AA5861"/>
    <w:rsid w:val="00AB0539"/>
    <w:rsid w:val="00AB1B23"/>
    <w:rsid w:val="00AB36C7"/>
    <w:rsid w:val="00AC04EC"/>
    <w:rsid w:val="00AC0609"/>
    <w:rsid w:val="00AC22CA"/>
    <w:rsid w:val="00AC4ECE"/>
    <w:rsid w:val="00AD2734"/>
    <w:rsid w:val="00AD428A"/>
    <w:rsid w:val="00AD6202"/>
    <w:rsid w:val="00AD7F7C"/>
    <w:rsid w:val="00AE04C7"/>
    <w:rsid w:val="00AE378B"/>
    <w:rsid w:val="00AE381D"/>
    <w:rsid w:val="00AE5441"/>
    <w:rsid w:val="00AE73C5"/>
    <w:rsid w:val="00AF06BA"/>
    <w:rsid w:val="00AF12C8"/>
    <w:rsid w:val="00AF21F7"/>
    <w:rsid w:val="00AF2DD9"/>
    <w:rsid w:val="00AF2FE4"/>
    <w:rsid w:val="00AF46E0"/>
    <w:rsid w:val="00AF46EB"/>
    <w:rsid w:val="00AF47C3"/>
    <w:rsid w:val="00AF6F6D"/>
    <w:rsid w:val="00AF7813"/>
    <w:rsid w:val="00B00296"/>
    <w:rsid w:val="00B03395"/>
    <w:rsid w:val="00B04232"/>
    <w:rsid w:val="00B04EC4"/>
    <w:rsid w:val="00B062AE"/>
    <w:rsid w:val="00B163B4"/>
    <w:rsid w:val="00B16A04"/>
    <w:rsid w:val="00B16C2C"/>
    <w:rsid w:val="00B217F0"/>
    <w:rsid w:val="00B22109"/>
    <w:rsid w:val="00B22822"/>
    <w:rsid w:val="00B23BE4"/>
    <w:rsid w:val="00B25769"/>
    <w:rsid w:val="00B25EAC"/>
    <w:rsid w:val="00B4044A"/>
    <w:rsid w:val="00B44364"/>
    <w:rsid w:val="00B45C26"/>
    <w:rsid w:val="00B50020"/>
    <w:rsid w:val="00B506E4"/>
    <w:rsid w:val="00B51FD4"/>
    <w:rsid w:val="00B538B7"/>
    <w:rsid w:val="00B53A58"/>
    <w:rsid w:val="00B54F50"/>
    <w:rsid w:val="00B55E3C"/>
    <w:rsid w:val="00B55EF4"/>
    <w:rsid w:val="00B56808"/>
    <w:rsid w:val="00B5730E"/>
    <w:rsid w:val="00B60F88"/>
    <w:rsid w:val="00B61C93"/>
    <w:rsid w:val="00B65933"/>
    <w:rsid w:val="00B6773B"/>
    <w:rsid w:val="00B709D1"/>
    <w:rsid w:val="00B70F21"/>
    <w:rsid w:val="00B72319"/>
    <w:rsid w:val="00B72C9E"/>
    <w:rsid w:val="00B7331B"/>
    <w:rsid w:val="00B7375F"/>
    <w:rsid w:val="00B73AEA"/>
    <w:rsid w:val="00B767A6"/>
    <w:rsid w:val="00B804FD"/>
    <w:rsid w:val="00B816C0"/>
    <w:rsid w:val="00B8651D"/>
    <w:rsid w:val="00B9171F"/>
    <w:rsid w:val="00B95678"/>
    <w:rsid w:val="00BA247E"/>
    <w:rsid w:val="00BA2878"/>
    <w:rsid w:val="00BA5604"/>
    <w:rsid w:val="00BB2711"/>
    <w:rsid w:val="00BB7A44"/>
    <w:rsid w:val="00BC0473"/>
    <w:rsid w:val="00BC139F"/>
    <w:rsid w:val="00BC4EA9"/>
    <w:rsid w:val="00BC60ED"/>
    <w:rsid w:val="00BC638D"/>
    <w:rsid w:val="00BD2334"/>
    <w:rsid w:val="00BD5125"/>
    <w:rsid w:val="00BD5F44"/>
    <w:rsid w:val="00BD6519"/>
    <w:rsid w:val="00BD734F"/>
    <w:rsid w:val="00BD7984"/>
    <w:rsid w:val="00BE0960"/>
    <w:rsid w:val="00BE0BE9"/>
    <w:rsid w:val="00BE40FB"/>
    <w:rsid w:val="00BE5BC0"/>
    <w:rsid w:val="00BF214B"/>
    <w:rsid w:val="00BF2358"/>
    <w:rsid w:val="00BF25F1"/>
    <w:rsid w:val="00BF61DB"/>
    <w:rsid w:val="00BF62BD"/>
    <w:rsid w:val="00BF6394"/>
    <w:rsid w:val="00BF7B43"/>
    <w:rsid w:val="00C01CD8"/>
    <w:rsid w:val="00C037EE"/>
    <w:rsid w:val="00C05B65"/>
    <w:rsid w:val="00C07E2F"/>
    <w:rsid w:val="00C11D0E"/>
    <w:rsid w:val="00C1243A"/>
    <w:rsid w:val="00C137BE"/>
    <w:rsid w:val="00C147CF"/>
    <w:rsid w:val="00C16B94"/>
    <w:rsid w:val="00C17375"/>
    <w:rsid w:val="00C2199A"/>
    <w:rsid w:val="00C25E8C"/>
    <w:rsid w:val="00C27218"/>
    <w:rsid w:val="00C27632"/>
    <w:rsid w:val="00C27719"/>
    <w:rsid w:val="00C27C9D"/>
    <w:rsid w:val="00C309EE"/>
    <w:rsid w:val="00C30AA2"/>
    <w:rsid w:val="00C32532"/>
    <w:rsid w:val="00C3490F"/>
    <w:rsid w:val="00C352B5"/>
    <w:rsid w:val="00C353CC"/>
    <w:rsid w:val="00C35B04"/>
    <w:rsid w:val="00C36291"/>
    <w:rsid w:val="00C370F0"/>
    <w:rsid w:val="00C37DE0"/>
    <w:rsid w:val="00C4103C"/>
    <w:rsid w:val="00C410AD"/>
    <w:rsid w:val="00C414D2"/>
    <w:rsid w:val="00C440E1"/>
    <w:rsid w:val="00C4447B"/>
    <w:rsid w:val="00C51B41"/>
    <w:rsid w:val="00C60629"/>
    <w:rsid w:val="00C64E8F"/>
    <w:rsid w:val="00C6560E"/>
    <w:rsid w:val="00C65A74"/>
    <w:rsid w:val="00C70871"/>
    <w:rsid w:val="00C710B9"/>
    <w:rsid w:val="00C71EB1"/>
    <w:rsid w:val="00C71F90"/>
    <w:rsid w:val="00C75331"/>
    <w:rsid w:val="00C758D1"/>
    <w:rsid w:val="00C759C9"/>
    <w:rsid w:val="00C776F1"/>
    <w:rsid w:val="00C81620"/>
    <w:rsid w:val="00C85192"/>
    <w:rsid w:val="00C857D8"/>
    <w:rsid w:val="00C90817"/>
    <w:rsid w:val="00C91686"/>
    <w:rsid w:val="00C91F7F"/>
    <w:rsid w:val="00CA09B8"/>
    <w:rsid w:val="00CA1A75"/>
    <w:rsid w:val="00CA1B49"/>
    <w:rsid w:val="00CA209F"/>
    <w:rsid w:val="00CA59F6"/>
    <w:rsid w:val="00CA6103"/>
    <w:rsid w:val="00CB399D"/>
    <w:rsid w:val="00CB6A25"/>
    <w:rsid w:val="00CC17B5"/>
    <w:rsid w:val="00CC2A28"/>
    <w:rsid w:val="00CC335F"/>
    <w:rsid w:val="00CC37AC"/>
    <w:rsid w:val="00CC3CA2"/>
    <w:rsid w:val="00CC59CF"/>
    <w:rsid w:val="00CC62CF"/>
    <w:rsid w:val="00CC6E0E"/>
    <w:rsid w:val="00CC7A8F"/>
    <w:rsid w:val="00CD0DE6"/>
    <w:rsid w:val="00CD1A6A"/>
    <w:rsid w:val="00CD1EA4"/>
    <w:rsid w:val="00CD2182"/>
    <w:rsid w:val="00CD2841"/>
    <w:rsid w:val="00CD7853"/>
    <w:rsid w:val="00CD7A67"/>
    <w:rsid w:val="00CE1521"/>
    <w:rsid w:val="00CE152B"/>
    <w:rsid w:val="00CE1A8A"/>
    <w:rsid w:val="00CE59DD"/>
    <w:rsid w:val="00CE5CC0"/>
    <w:rsid w:val="00CE7272"/>
    <w:rsid w:val="00CF1A13"/>
    <w:rsid w:val="00CF1EF4"/>
    <w:rsid w:val="00CF2D70"/>
    <w:rsid w:val="00CF3B25"/>
    <w:rsid w:val="00CF4A62"/>
    <w:rsid w:val="00CF4B8D"/>
    <w:rsid w:val="00CF5F45"/>
    <w:rsid w:val="00CF79ED"/>
    <w:rsid w:val="00D0076A"/>
    <w:rsid w:val="00D014BE"/>
    <w:rsid w:val="00D016B0"/>
    <w:rsid w:val="00D02CB0"/>
    <w:rsid w:val="00D04061"/>
    <w:rsid w:val="00D04135"/>
    <w:rsid w:val="00D041AE"/>
    <w:rsid w:val="00D07000"/>
    <w:rsid w:val="00D079C6"/>
    <w:rsid w:val="00D11A56"/>
    <w:rsid w:val="00D14211"/>
    <w:rsid w:val="00D16EF4"/>
    <w:rsid w:val="00D2248C"/>
    <w:rsid w:val="00D23A03"/>
    <w:rsid w:val="00D23C27"/>
    <w:rsid w:val="00D27D79"/>
    <w:rsid w:val="00D3167E"/>
    <w:rsid w:val="00D3202F"/>
    <w:rsid w:val="00D36DB9"/>
    <w:rsid w:val="00D37DAB"/>
    <w:rsid w:val="00D402C3"/>
    <w:rsid w:val="00D4263B"/>
    <w:rsid w:val="00D44475"/>
    <w:rsid w:val="00D45A48"/>
    <w:rsid w:val="00D464EF"/>
    <w:rsid w:val="00D46677"/>
    <w:rsid w:val="00D5120C"/>
    <w:rsid w:val="00D54527"/>
    <w:rsid w:val="00D54C39"/>
    <w:rsid w:val="00D55730"/>
    <w:rsid w:val="00D60DA6"/>
    <w:rsid w:val="00D628B6"/>
    <w:rsid w:val="00D62A3B"/>
    <w:rsid w:val="00D63459"/>
    <w:rsid w:val="00D63527"/>
    <w:rsid w:val="00D6390B"/>
    <w:rsid w:val="00D63E4F"/>
    <w:rsid w:val="00D64C35"/>
    <w:rsid w:val="00D65360"/>
    <w:rsid w:val="00D70CD4"/>
    <w:rsid w:val="00D71460"/>
    <w:rsid w:val="00D74967"/>
    <w:rsid w:val="00D74CD9"/>
    <w:rsid w:val="00D81BB7"/>
    <w:rsid w:val="00D81C26"/>
    <w:rsid w:val="00D877B0"/>
    <w:rsid w:val="00D90C31"/>
    <w:rsid w:val="00D9155B"/>
    <w:rsid w:val="00D91F61"/>
    <w:rsid w:val="00D93F5B"/>
    <w:rsid w:val="00D96228"/>
    <w:rsid w:val="00DA0839"/>
    <w:rsid w:val="00DA4F04"/>
    <w:rsid w:val="00DA51D6"/>
    <w:rsid w:val="00DA74AA"/>
    <w:rsid w:val="00DA7F24"/>
    <w:rsid w:val="00DB1751"/>
    <w:rsid w:val="00DB35EC"/>
    <w:rsid w:val="00DB39C9"/>
    <w:rsid w:val="00DB3B41"/>
    <w:rsid w:val="00DB3FF4"/>
    <w:rsid w:val="00DB40FB"/>
    <w:rsid w:val="00DB535D"/>
    <w:rsid w:val="00DB5374"/>
    <w:rsid w:val="00DC0055"/>
    <w:rsid w:val="00DC039E"/>
    <w:rsid w:val="00DC1067"/>
    <w:rsid w:val="00DC1669"/>
    <w:rsid w:val="00DC3185"/>
    <w:rsid w:val="00DC7D2F"/>
    <w:rsid w:val="00DD292D"/>
    <w:rsid w:val="00DD4964"/>
    <w:rsid w:val="00DD503F"/>
    <w:rsid w:val="00DE1C6D"/>
    <w:rsid w:val="00DE3CF8"/>
    <w:rsid w:val="00DE4BAB"/>
    <w:rsid w:val="00DE4C92"/>
    <w:rsid w:val="00DE66A4"/>
    <w:rsid w:val="00DE78E6"/>
    <w:rsid w:val="00DE78F6"/>
    <w:rsid w:val="00DF3AF4"/>
    <w:rsid w:val="00DF7C9B"/>
    <w:rsid w:val="00E00EFD"/>
    <w:rsid w:val="00E01953"/>
    <w:rsid w:val="00E02924"/>
    <w:rsid w:val="00E036BD"/>
    <w:rsid w:val="00E04D98"/>
    <w:rsid w:val="00E0530D"/>
    <w:rsid w:val="00E065B8"/>
    <w:rsid w:val="00E109AF"/>
    <w:rsid w:val="00E11203"/>
    <w:rsid w:val="00E15A6E"/>
    <w:rsid w:val="00E2028D"/>
    <w:rsid w:val="00E20AC5"/>
    <w:rsid w:val="00E21BAF"/>
    <w:rsid w:val="00E236C0"/>
    <w:rsid w:val="00E237D9"/>
    <w:rsid w:val="00E239E4"/>
    <w:rsid w:val="00E25236"/>
    <w:rsid w:val="00E30CC7"/>
    <w:rsid w:val="00E316B2"/>
    <w:rsid w:val="00E34D2E"/>
    <w:rsid w:val="00E36DE1"/>
    <w:rsid w:val="00E37302"/>
    <w:rsid w:val="00E408FD"/>
    <w:rsid w:val="00E41063"/>
    <w:rsid w:val="00E418A3"/>
    <w:rsid w:val="00E432C8"/>
    <w:rsid w:val="00E475E0"/>
    <w:rsid w:val="00E50AA8"/>
    <w:rsid w:val="00E54341"/>
    <w:rsid w:val="00E55391"/>
    <w:rsid w:val="00E5569D"/>
    <w:rsid w:val="00E55904"/>
    <w:rsid w:val="00E55963"/>
    <w:rsid w:val="00E565D9"/>
    <w:rsid w:val="00E57AE5"/>
    <w:rsid w:val="00E60DA0"/>
    <w:rsid w:val="00E626CF"/>
    <w:rsid w:val="00E63048"/>
    <w:rsid w:val="00E63AEB"/>
    <w:rsid w:val="00E64492"/>
    <w:rsid w:val="00E6706D"/>
    <w:rsid w:val="00E677EB"/>
    <w:rsid w:val="00E713E4"/>
    <w:rsid w:val="00E713E5"/>
    <w:rsid w:val="00E721B0"/>
    <w:rsid w:val="00E73CA5"/>
    <w:rsid w:val="00E8035C"/>
    <w:rsid w:val="00E81E94"/>
    <w:rsid w:val="00E840E6"/>
    <w:rsid w:val="00E84103"/>
    <w:rsid w:val="00E859F3"/>
    <w:rsid w:val="00E87B39"/>
    <w:rsid w:val="00E9394C"/>
    <w:rsid w:val="00E96C23"/>
    <w:rsid w:val="00E96FDF"/>
    <w:rsid w:val="00EA0662"/>
    <w:rsid w:val="00EA0C5B"/>
    <w:rsid w:val="00EA1464"/>
    <w:rsid w:val="00EA293A"/>
    <w:rsid w:val="00EB3700"/>
    <w:rsid w:val="00EB3E1E"/>
    <w:rsid w:val="00EB42D3"/>
    <w:rsid w:val="00EB53A3"/>
    <w:rsid w:val="00EB6D36"/>
    <w:rsid w:val="00EC1B12"/>
    <w:rsid w:val="00EC4DF3"/>
    <w:rsid w:val="00EC5107"/>
    <w:rsid w:val="00EC5BDE"/>
    <w:rsid w:val="00EC5CC7"/>
    <w:rsid w:val="00ED1DA5"/>
    <w:rsid w:val="00ED331A"/>
    <w:rsid w:val="00ED527D"/>
    <w:rsid w:val="00ED5728"/>
    <w:rsid w:val="00ED6393"/>
    <w:rsid w:val="00ED760C"/>
    <w:rsid w:val="00EE02D8"/>
    <w:rsid w:val="00EE110F"/>
    <w:rsid w:val="00EE2585"/>
    <w:rsid w:val="00EE3AEB"/>
    <w:rsid w:val="00EE3C6E"/>
    <w:rsid w:val="00EE3F0B"/>
    <w:rsid w:val="00EE3FBA"/>
    <w:rsid w:val="00EE60F5"/>
    <w:rsid w:val="00EE68DC"/>
    <w:rsid w:val="00EE71A1"/>
    <w:rsid w:val="00EF06DB"/>
    <w:rsid w:val="00EF2553"/>
    <w:rsid w:val="00EF4BF0"/>
    <w:rsid w:val="00EF4F20"/>
    <w:rsid w:val="00EF4FC9"/>
    <w:rsid w:val="00EF6B4B"/>
    <w:rsid w:val="00EF6EE7"/>
    <w:rsid w:val="00EF79A7"/>
    <w:rsid w:val="00EF79A9"/>
    <w:rsid w:val="00EF7D5D"/>
    <w:rsid w:val="00F00D59"/>
    <w:rsid w:val="00F013FD"/>
    <w:rsid w:val="00F03028"/>
    <w:rsid w:val="00F048C4"/>
    <w:rsid w:val="00F0607A"/>
    <w:rsid w:val="00F07041"/>
    <w:rsid w:val="00F07360"/>
    <w:rsid w:val="00F13913"/>
    <w:rsid w:val="00F142B1"/>
    <w:rsid w:val="00F14AF1"/>
    <w:rsid w:val="00F14D56"/>
    <w:rsid w:val="00F14D96"/>
    <w:rsid w:val="00F15256"/>
    <w:rsid w:val="00F15D13"/>
    <w:rsid w:val="00F176DA"/>
    <w:rsid w:val="00F2139B"/>
    <w:rsid w:val="00F2216E"/>
    <w:rsid w:val="00F225A1"/>
    <w:rsid w:val="00F2353A"/>
    <w:rsid w:val="00F2478E"/>
    <w:rsid w:val="00F24873"/>
    <w:rsid w:val="00F25807"/>
    <w:rsid w:val="00F266B6"/>
    <w:rsid w:val="00F3007D"/>
    <w:rsid w:val="00F32F4D"/>
    <w:rsid w:val="00F336C6"/>
    <w:rsid w:val="00F33D3E"/>
    <w:rsid w:val="00F33EE7"/>
    <w:rsid w:val="00F34D8C"/>
    <w:rsid w:val="00F34E77"/>
    <w:rsid w:val="00F36D84"/>
    <w:rsid w:val="00F36FA9"/>
    <w:rsid w:val="00F402BC"/>
    <w:rsid w:val="00F4074C"/>
    <w:rsid w:val="00F44D24"/>
    <w:rsid w:val="00F47D39"/>
    <w:rsid w:val="00F532C2"/>
    <w:rsid w:val="00F57405"/>
    <w:rsid w:val="00F57DD2"/>
    <w:rsid w:val="00F61024"/>
    <w:rsid w:val="00F6165E"/>
    <w:rsid w:val="00F616D4"/>
    <w:rsid w:val="00F62593"/>
    <w:rsid w:val="00F62A5E"/>
    <w:rsid w:val="00F6465F"/>
    <w:rsid w:val="00F66245"/>
    <w:rsid w:val="00F67819"/>
    <w:rsid w:val="00F711E1"/>
    <w:rsid w:val="00F72D04"/>
    <w:rsid w:val="00F751B4"/>
    <w:rsid w:val="00F75B74"/>
    <w:rsid w:val="00F75EBD"/>
    <w:rsid w:val="00F8262E"/>
    <w:rsid w:val="00F84B89"/>
    <w:rsid w:val="00F855E2"/>
    <w:rsid w:val="00F85B21"/>
    <w:rsid w:val="00F86506"/>
    <w:rsid w:val="00F903C0"/>
    <w:rsid w:val="00F90F68"/>
    <w:rsid w:val="00F93CD5"/>
    <w:rsid w:val="00F9517D"/>
    <w:rsid w:val="00F96024"/>
    <w:rsid w:val="00F970C1"/>
    <w:rsid w:val="00F9729F"/>
    <w:rsid w:val="00FA217E"/>
    <w:rsid w:val="00FA6E29"/>
    <w:rsid w:val="00FB0800"/>
    <w:rsid w:val="00FB22EF"/>
    <w:rsid w:val="00FB50A5"/>
    <w:rsid w:val="00FB571A"/>
    <w:rsid w:val="00FC016D"/>
    <w:rsid w:val="00FC3B00"/>
    <w:rsid w:val="00FC4DAB"/>
    <w:rsid w:val="00FC725E"/>
    <w:rsid w:val="00FD054E"/>
    <w:rsid w:val="00FD0A33"/>
    <w:rsid w:val="00FD1E0E"/>
    <w:rsid w:val="00FD24D1"/>
    <w:rsid w:val="00FD28B9"/>
    <w:rsid w:val="00FE2D7B"/>
    <w:rsid w:val="00FE3082"/>
    <w:rsid w:val="00FE36B9"/>
    <w:rsid w:val="00FE522A"/>
    <w:rsid w:val="00FE56A2"/>
    <w:rsid w:val="00FE57AD"/>
    <w:rsid w:val="00FF1452"/>
    <w:rsid w:val="00FF14B6"/>
    <w:rsid w:val="00FF1F6D"/>
    <w:rsid w:val="00FF4CA9"/>
    <w:rsid w:val="00FF5D09"/>
    <w:rsid w:val="00FF71B5"/>
    <w:rsid w:val="06923289"/>
    <w:rsid w:val="069D39AB"/>
    <w:rsid w:val="0B702D7E"/>
    <w:rsid w:val="0C803E0F"/>
    <w:rsid w:val="0D2F0242"/>
    <w:rsid w:val="0D9D006A"/>
    <w:rsid w:val="0F3F4B0F"/>
    <w:rsid w:val="16DA6A51"/>
    <w:rsid w:val="179F6521"/>
    <w:rsid w:val="1B221DBD"/>
    <w:rsid w:val="20FE06DB"/>
    <w:rsid w:val="236B046C"/>
    <w:rsid w:val="24FB7D41"/>
    <w:rsid w:val="25447562"/>
    <w:rsid w:val="3200110E"/>
    <w:rsid w:val="3E5D7693"/>
    <w:rsid w:val="4BF65952"/>
    <w:rsid w:val="4F115E11"/>
    <w:rsid w:val="57BB362F"/>
    <w:rsid w:val="57E958A1"/>
    <w:rsid w:val="5DD63F6C"/>
    <w:rsid w:val="6B32237E"/>
    <w:rsid w:val="6CBE0A04"/>
    <w:rsid w:val="6E4969E0"/>
    <w:rsid w:val="794C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24"/>
    <w:semiHidden/>
    <w:unhideWhenUsed/>
    <w:qFormat/>
    <w:uiPriority w:val="99"/>
    <w:rPr>
      <w:rFonts w:ascii="Courier New" w:hAnsi="Courier New" w:cs="Courier New"/>
      <w:sz w:val="20"/>
      <w:szCs w:val="20"/>
    </w:rPr>
  </w:style>
  <w:style w:type="paragraph" w:styleId="8">
    <w:name w:val="annotation subject"/>
    <w:basedOn w:val="3"/>
    <w:next w:val="3"/>
    <w:link w:val="17"/>
    <w:semiHidden/>
    <w:unhideWhenUsed/>
    <w:qFormat/>
    <w:uiPriority w:val="99"/>
    <w:rPr>
      <w:b/>
      <w:bCs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文字 字符"/>
    <w:basedOn w:val="10"/>
    <w:link w:val="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7">
    <w:name w:val="批注主题 字符"/>
    <w:basedOn w:val="16"/>
    <w:link w:val="8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customStyle="1" w:styleId="18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">
    <w:name w:val="批注框文本 字符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眉 字符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2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修订3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4">
    <w:name w:val="HTML 预设格式 字符"/>
    <w:basedOn w:val="10"/>
    <w:link w:val="7"/>
    <w:semiHidden/>
    <w:qFormat/>
    <w:uiPriority w:val="99"/>
    <w:rPr>
      <w:rFonts w:ascii="Courier New" w:hAnsi="Courier New" w:eastAsia="宋体" w:cs="Courier New"/>
      <w:kern w:val="2"/>
    </w:rPr>
  </w:style>
  <w:style w:type="paragraph" w:customStyle="1" w:styleId="25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15042-0BDC-486E-9E87-25A920923F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cmtc</Company>
  <Pages>9</Pages>
  <Words>2579</Words>
  <Characters>2827</Characters>
  <Lines>41</Lines>
  <Paragraphs>11</Paragraphs>
  <TotalTime>65</TotalTime>
  <ScaleCrop>false</ScaleCrop>
  <LinksUpToDate>false</LinksUpToDate>
  <CharactersWithSpaces>2955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2026-09-02T07:01:00Z</dcterms:created>
  <dc:creator>龚玉娇</dc:creator>
  <cp:lastModifiedBy>廖敏</cp:lastModifiedBy>
  <cp:lastPrinted>2026-09-01T10:21:00Z</cp:lastPrinted>
  <dcterms:modified xsi:type="dcterms:W3CDTF">2026-09-04T06:16:33Z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DF3D46F9E763415D868E7247039C91DF_13</vt:lpwstr>
  </property>
  <property fmtid="{D5CDD505-2E9C-101B-9397-08002B2CF9AE}" pid="4" name="KSOTemplateDocerSaveRecord">
    <vt:lpwstr>eyJoZGlkIjoiYWQ4MzMzMjYxMzY2MTBkZTQzNDcyNzRlYzViNzMzNzQiLCJ1c2VySWQiOiIxNzY1NjM0NDQ5In0=</vt:lpwstr>
  </property>
</Properties>
</file>