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99CC1" w14:textId="77777777" w:rsidR="00847987" w:rsidRDefault="00000000">
      <w:pPr>
        <w:pStyle w:val="1"/>
        <w:rPr>
          <w:rFonts w:ascii="宋体" w:eastAsia="宋体" w:hAnsi="宋体" w:cs="宋体" w:hint="eastAsia"/>
          <w:b/>
          <w:bCs/>
          <w:sz w:val="24"/>
          <w:szCs w:val="24"/>
          <w:lang w:val="en-US"/>
        </w:rPr>
      </w:pPr>
      <w:r>
        <w:rPr>
          <w:rFonts w:ascii="宋体" w:eastAsia="宋体" w:hAnsi="宋体" w:cs="宋体" w:hint="eastAsia"/>
          <w:b/>
          <w:bCs/>
          <w:sz w:val="24"/>
          <w:szCs w:val="24"/>
          <w:lang w:val="en-US"/>
        </w:rPr>
        <w:t>证券代码：</w:t>
      </w:r>
      <w:r>
        <w:rPr>
          <w:rFonts w:ascii="Times New Roman" w:eastAsia="宋体" w:hAnsi="Times New Roman" w:cs="Times New Roman"/>
          <w:b/>
          <w:bCs/>
          <w:sz w:val="24"/>
          <w:szCs w:val="24"/>
          <w:lang w:val="en-US"/>
        </w:rPr>
        <w:t xml:space="preserve">605337  </w:t>
      </w:r>
      <w:r>
        <w:rPr>
          <w:rFonts w:ascii="宋体" w:eastAsia="宋体" w:hAnsi="宋体" w:cs="宋体" w:hint="eastAsia"/>
          <w:b/>
          <w:bCs/>
          <w:sz w:val="24"/>
          <w:szCs w:val="24"/>
          <w:lang w:val="en-US"/>
        </w:rPr>
        <w:t xml:space="preserve">                               证券简称：李子园</w:t>
      </w:r>
    </w:p>
    <w:p w14:paraId="108AECE4" w14:textId="77777777" w:rsidR="00847987" w:rsidRDefault="00847987">
      <w:pPr>
        <w:spacing w:line="360" w:lineRule="auto"/>
        <w:jc w:val="center"/>
        <w:rPr>
          <w:rFonts w:ascii="宋体" w:eastAsia="宋体" w:hAnsi="宋体" w:cs="宋体" w:hint="eastAsia"/>
          <w:b/>
          <w:bCs/>
          <w:sz w:val="24"/>
          <w:szCs w:val="24"/>
        </w:rPr>
      </w:pPr>
    </w:p>
    <w:p w14:paraId="0C2D6A2E" w14:textId="77777777" w:rsidR="00847987" w:rsidRDefault="00000000">
      <w:pPr>
        <w:spacing w:line="360" w:lineRule="auto"/>
        <w:jc w:val="center"/>
        <w:rPr>
          <w:rFonts w:ascii="宋体" w:eastAsia="宋体" w:hAnsi="宋体" w:cs="宋体" w:hint="eastAsia"/>
          <w:b/>
          <w:bCs/>
          <w:sz w:val="32"/>
          <w:szCs w:val="32"/>
        </w:rPr>
      </w:pPr>
      <w:r>
        <w:rPr>
          <w:rFonts w:ascii="宋体" w:eastAsia="宋体" w:hAnsi="宋体" w:cs="宋体" w:hint="eastAsia"/>
          <w:b/>
          <w:bCs/>
          <w:sz w:val="32"/>
          <w:szCs w:val="32"/>
        </w:rPr>
        <w:t>浙江李子园食品股份有限公司投资者关系活动记录表</w:t>
      </w:r>
    </w:p>
    <w:p w14:paraId="7ED55DA1" w14:textId="77777777" w:rsidR="00847987" w:rsidRDefault="00000000">
      <w:pPr>
        <w:spacing w:line="360" w:lineRule="auto"/>
        <w:jc w:val="center"/>
        <w:rPr>
          <w:rFonts w:ascii="宋体" w:eastAsia="宋体" w:hAnsi="宋体" w:cs="宋体" w:hint="eastAsia"/>
          <w:sz w:val="24"/>
          <w:szCs w:val="24"/>
        </w:rPr>
      </w:pPr>
      <w:r>
        <w:rPr>
          <w:rFonts w:ascii="宋体" w:eastAsia="宋体" w:hAnsi="宋体" w:cs="宋体" w:hint="eastAsia"/>
          <w:b/>
          <w:bCs/>
          <w:sz w:val="32"/>
          <w:szCs w:val="32"/>
        </w:rPr>
        <w:t>（</w:t>
      </w:r>
      <w:r>
        <w:rPr>
          <w:rFonts w:ascii="Times New Roman" w:eastAsia="宋体" w:hAnsi="Times New Roman" w:cs="Times New Roman"/>
          <w:b/>
          <w:bCs/>
          <w:sz w:val="32"/>
          <w:szCs w:val="32"/>
        </w:rPr>
        <w:t>202</w:t>
      </w:r>
      <w:r>
        <w:rPr>
          <w:rFonts w:ascii="Times New Roman" w:eastAsia="宋体" w:hAnsi="Times New Roman" w:cs="Times New Roman" w:hint="eastAsia"/>
          <w:b/>
          <w:bCs/>
          <w:sz w:val="32"/>
          <w:szCs w:val="32"/>
        </w:rPr>
        <w:t>6</w:t>
      </w:r>
      <w:r>
        <w:rPr>
          <w:rFonts w:ascii="宋体" w:eastAsia="宋体" w:hAnsi="宋体" w:cs="宋体" w:hint="eastAsia"/>
          <w:b/>
          <w:bCs/>
          <w:sz w:val="32"/>
          <w:szCs w:val="32"/>
        </w:rPr>
        <w:t>年半年度业绩说明会）</w:t>
      </w:r>
    </w:p>
    <w:p w14:paraId="568D0A45" w14:textId="77777777" w:rsidR="00847987" w:rsidRDefault="00000000">
      <w:pPr>
        <w:spacing w:before="51" w:after="32"/>
        <w:ind w:right="619"/>
        <w:jc w:val="right"/>
        <w:rPr>
          <w:rFonts w:ascii="宋体" w:eastAsia="宋体" w:hAnsi="宋体" w:cs="宋体" w:hint="eastAsia"/>
          <w:b/>
          <w:bCs/>
          <w:sz w:val="24"/>
          <w:szCs w:val="24"/>
        </w:rPr>
      </w:pPr>
      <w:r>
        <w:rPr>
          <w:rFonts w:ascii="宋体" w:eastAsia="宋体" w:hAnsi="宋体" w:cs="宋体" w:hint="eastAsia"/>
          <w:b/>
          <w:bCs/>
          <w:sz w:val="24"/>
          <w:szCs w:val="24"/>
        </w:rPr>
        <w:t>编号：</w:t>
      </w:r>
      <w:r>
        <w:rPr>
          <w:rFonts w:ascii="Times New Roman" w:eastAsia="宋体" w:hAnsi="Times New Roman" w:cs="Times New Roman"/>
          <w:b/>
          <w:bCs/>
          <w:sz w:val="24"/>
          <w:szCs w:val="24"/>
          <w:lang w:val="en-US"/>
        </w:rPr>
        <w:t>202</w:t>
      </w:r>
      <w:r>
        <w:rPr>
          <w:rFonts w:ascii="Times New Roman" w:eastAsia="宋体" w:hAnsi="Times New Roman" w:cs="Times New Roman" w:hint="eastAsia"/>
          <w:b/>
          <w:bCs/>
          <w:sz w:val="24"/>
          <w:szCs w:val="24"/>
          <w:lang w:val="en-US"/>
        </w:rPr>
        <w:t>6</w:t>
      </w:r>
      <w:r>
        <w:rPr>
          <w:rFonts w:ascii="Times New Roman" w:eastAsia="宋体" w:hAnsi="Times New Roman" w:cs="Times New Roman"/>
          <w:b/>
          <w:bCs/>
          <w:sz w:val="24"/>
          <w:szCs w:val="24"/>
        </w:rPr>
        <w:t>-</w:t>
      </w:r>
      <w:r>
        <w:rPr>
          <w:rFonts w:ascii="Times New Roman" w:eastAsia="宋体" w:hAnsi="Times New Roman" w:cs="Times New Roman"/>
          <w:b/>
          <w:bCs/>
          <w:sz w:val="24"/>
          <w:szCs w:val="24"/>
          <w:lang w:val="en-US"/>
        </w:rPr>
        <w:t>00</w:t>
      </w:r>
      <w:r>
        <w:rPr>
          <w:rFonts w:ascii="Times New Roman" w:eastAsia="宋体" w:hAnsi="Times New Roman" w:cs="Times New Roman" w:hint="eastAsia"/>
          <w:b/>
          <w:bCs/>
          <w:sz w:val="24"/>
          <w:szCs w:val="24"/>
          <w:lang w:val="en-US"/>
        </w:rPr>
        <w:t>2</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4A0" w:firstRow="1" w:lastRow="0" w:firstColumn="1" w:lastColumn="0" w:noHBand="0" w:noVBand="1"/>
      </w:tblPr>
      <w:tblGrid>
        <w:gridCol w:w="2972"/>
        <w:gridCol w:w="6384"/>
      </w:tblGrid>
      <w:tr w:rsidR="00847987" w14:paraId="73B27BDC" w14:textId="77777777">
        <w:trPr>
          <w:trHeight w:val="2801"/>
          <w:jc w:val="center"/>
        </w:trPr>
        <w:tc>
          <w:tcPr>
            <w:tcW w:w="2972" w:type="dxa"/>
            <w:vAlign w:val="center"/>
          </w:tcPr>
          <w:p w14:paraId="76321EEE" w14:textId="77777777" w:rsidR="00847987" w:rsidRDefault="00000000">
            <w:pPr>
              <w:pStyle w:val="TableParagraph"/>
              <w:spacing w:before="1"/>
              <w:ind w:left="107"/>
              <w:rPr>
                <w:rFonts w:ascii="宋体" w:eastAsia="宋体" w:hAnsi="宋体" w:cs="宋体" w:hint="eastAsia"/>
                <w:b/>
                <w:bCs/>
                <w:sz w:val="24"/>
                <w:szCs w:val="24"/>
              </w:rPr>
            </w:pPr>
            <w:r>
              <w:rPr>
                <w:rFonts w:ascii="宋体" w:eastAsia="宋体" w:hAnsi="宋体" w:cs="宋体" w:hint="eastAsia"/>
                <w:b/>
                <w:bCs/>
                <w:sz w:val="24"/>
                <w:szCs w:val="24"/>
              </w:rPr>
              <w:t>投资者关系活动类别</w:t>
            </w:r>
          </w:p>
        </w:tc>
        <w:tc>
          <w:tcPr>
            <w:tcW w:w="6384" w:type="dxa"/>
          </w:tcPr>
          <w:p w14:paraId="31C112A8" w14:textId="77777777" w:rsidR="00847987" w:rsidRDefault="00847987">
            <w:pPr>
              <w:pStyle w:val="TableParagraph"/>
              <w:spacing w:before="7"/>
              <w:rPr>
                <w:rFonts w:ascii="宋体" w:eastAsia="宋体" w:hAnsi="宋体" w:cs="宋体" w:hint="eastAsia"/>
                <w:sz w:val="24"/>
                <w:szCs w:val="24"/>
              </w:rPr>
            </w:pPr>
          </w:p>
          <w:p w14:paraId="7389C897" w14:textId="77777777" w:rsidR="00847987" w:rsidRDefault="00000000">
            <w:pPr>
              <w:pStyle w:val="TableParagraph"/>
              <w:tabs>
                <w:tab w:val="left" w:pos="2418"/>
              </w:tabs>
              <w:spacing w:before="1"/>
              <w:ind w:left="107"/>
              <w:rPr>
                <w:rFonts w:ascii="宋体" w:eastAsia="宋体" w:hAnsi="宋体" w:cs="宋体" w:hint="eastAsia"/>
                <w:sz w:val="24"/>
                <w:szCs w:val="24"/>
              </w:rPr>
            </w:pPr>
            <w:sdt>
              <w:sdtPr>
                <w:rPr>
                  <w:rFonts w:ascii="宋体" w:eastAsia="宋体" w:hAnsi="宋体" w:cs="宋体" w:hint="eastAsia"/>
                  <w:sz w:val="24"/>
                  <w:szCs w:val="24"/>
                </w:rPr>
                <w:id w:val="249780449"/>
                <w14:checkbox>
                  <w14:checked w14:val="0"/>
                  <w14:checkedState w14:val="0052" w14:font="Wingdings 2"/>
                  <w14:uncheckedState w14:val="2610" w14:font="MS Gothic"/>
                </w14:checkbox>
              </w:sdtPr>
              <w:sdtContent>
                <w:r>
                  <w:rPr>
                    <w:rFonts w:ascii="MS Gothic" w:eastAsia="MS Gothic" w:hAnsi="MS Gothic" w:cs="宋体" w:hint="eastAsia"/>
                    <w:sz w:val="24"/>
                    <w:szCs w:val="24"/>
                  </w:rPr>
                  <w:t>☐</w:t>
                </w:r>
              </w:sdtContent>
            </w:sdt>
            <w:r>
              <w:rPr>
                <w:rFonts w:ascii="宋体" w:eastAsia="宋体" w:hAnsi="宋体" w:cs="宋体" w:hint="eastAsia"/>
                <w:sz w:val="24"/>
                <w:szCs w:val="24"/>
              </w:rPr>
              <w:t>特</w:t>
            </w:r>
            <w:r>
              <w:rPr>
                <w:rFonts w:ascii="宋体" w:eastAsia="宋体" w:hAnsi="宋体" w:cs="宋体" w:hint="eastAsia"/>
                <w:spacing w:val="-3"/>
                <w:sz w:val="24"/>
                <w:szCs w:val="24"/>
              </w:rPr>
              <w:t>定</w:t>
            </w:r>
            <w:r>
              <w:rPr>
                <w:rFonts w:ascii="宋体" w:eastAsia="宋体" w:hAnsi="宋体" w:cs="宋体" w:hint="eastAsia"/>
                <w:sz w:val="24"/>
                <w:szCs w:val="24"/>
              </w:rPr>
              <w:t>对</w:t>
            </w:r>
            <w:r>
              <w:rPr>
                <w:rFonts w:ascii="宋体" w:eastAsia="宋体" w:hAnsi="宋体" w:cs="宋体" w:hint="eastAsia"/>
                <w:spacing w:val="-3"/>
                <w:sz w:val="24"/>
                <w:szCs w:val="24"/>
              </w:rPr>
              <w:t>象</w:t>
            </w:r>
            <w:r>
              <w:rPr>
                <w:rFonts w:ascii="宋体" w:eastAsia="宋体" w:hAnsi="宋体" w:cs="宋体" w:hint="eastAsia"/>
                <w:sz w:val="24"/>
                <w:szCs w:val="24"/>
              </w:rPr>
              <w:t>调研</w:t>
            </w:r>
            <w:r>
              <w:rPr>
                <w:rFonts w:ascii="宋体" w:eastAsia="宋体" w:hAnsi="宋体" w:cs="宋体" w:hint="eastAsia"/>
                <w:sz w:val="24"/>
                <w:szCs w:val="24"/>
              </w:rPr>
              <w:tab/>
            </w:r>
            <w:sdt>
              <w:sdtPr>
                <w:rPr>
                  <w:rFonts w:ascii="宋体" w:eastAsia="宋体" w:hAnsi="宋体" w:cs="宋体" w:hint="eastAsia"/>
                  <w:sz w:val="24"/>
                  <w:szCs w:val="24"/>
                </w:rPr>
                <w:id w:val="-416875725"/>
                <w14:checkbox>
                  <w14:checked w14:val="0"/>
                  <w14:checkedState w14:val="0052" w14:font="Wingdings 2"/>
                  <w14:uncheckedState w14:val="2610" w14:font="MS Gothic"/>
                </w14:checkbox>
              </w:sdtPr>
              <w:sdtContent>
                <w:r>
                  <w:rPr>
                    <w:rFonts w:ascii="MS Gothic" w:eastAsia="MS Gothic" w:hAnsi="MS Gothic" w:cs="宋体" w:hint="eastAsia"/>
                    <w:sz w:val="24"/>
                    <w:szCs w:val="24"/>
                  </w:rPr>
                  <w:t>☐</w:t>
                </w:r>
              </w:sdtContent>
            </w:sdt>
            <w:r>
              <w:rPr>
                <w:rFonts w:ascii="宋体" w:eastAsia="宋体" w:hAnsi="宋体" w:cs="宋体" w:hint="eastAsia"/>
                <w:sz w:val="24"/>
                <w:szCs w:val="24"/>
              </w:rPr>
              <w:t>分</w:t>
            </w:r>
            <w:r>
              <w:rPr>
                <w:rFonts w:ascii="宋体" w:eastAsia="宋体" w:hAnsi="宋体" w:cs="宋体" w:hint="eastAsia"/>
                <w:spacing w:val="-3"/>
                <w:sz w:val="24"/>
                <w:szCs w:val="24"/>
              </w:rPr>
              <w:t>析</w:t>
            </w:r>
            <w:r>
              <w:rPr>
                <w:rFonts w:ascii="宋体" w:eastAsia="宋体" w:hAnsi="宋体" w:cs="宋体" w:hint="eastAsia"/>
                <w:sz w:val="24"/>
                <w:szCs w:val="24"/>
              </w:rPr>
              <w:t>师</w:t>
            </w:r>
            <w:r>
              <w:rPr>
                <w:rFonts w:ascii="宋体" w:eastAsia="宋体" w:hAnsi="宋体" w:cs="宋体" w:hint="eastAsia"/>
                <w:spacing w:val="-3"/>
                <w:sz w:val="24"/>
                <w:szCs w:val="24"/>
              </w:rPr>
              <w:t>会</w:t>
            </w:r>
            <w:r>
              <w:rPr>
                <w:rFonts w:ascii="宋体" w:eastAsia="宋体" w:hAnsi="宋体" w:cs="宋体" w:hint="eastAsia"/>
                <w:sz w:val="24"/>
                <w:szCs w:val="24"/>
              </w:rPr>
              <w:t>议</w:t>
            </w:r>
          </w:p>
          <w:p w14:paraId="36335D25" w14:textId="77777777" w:rsidR="00847987" w:rsidRDefault="00847987">
            <w:pPr>
              <w:pStyle w:val="TableParagraph"/>
              <w:spacing w:before="11"/>
              <w:rPr>
                <w:rFonts w:ascii="宋体" w:eastAsia="宋体" w:hAnsi="宋体" w:cs="宋体" w:hint="eastAsia"/>
                <w:sz w:val="24"/>
                <w:szCs w:val="24"/>
              </w:rPr>
            </w:pPr>
          </w:p>
          <w:p w14:paraId="6B47DD27" w14:textId="77777777" w:rsidR="00847987" w:rsidRDefault="00000000">
            <w:pPr>
              <w:pStyle w:val="TableParagraph"/>
              <w:tabs>
                <w:tab w:val="left" w:pos="2418"/>
              </w:tabs>
              <w:ind w:left="107"/>
              <w:rPr>
                <w:rFonts w:ascii="宋体" w:eastAsia="宋体" w:hAnsi="宋体" w:cs="宋体" w:hint="eastAsia"/>
                <w:sz w:val="24"/>
                <w:szCs w:val="24"/>
              </w:rPr>
            </w:pPr>
            <w:sdt>
              <w:sdtPr>
                <w:rPr>
                  <w:rFonts w:ascii="宋体" w:eastAsia="宋体" w:hAnsi="宋体" w:cs="宋体" w:hint="eastAsia"/>
                  <w:sz w:val="24"/>
                  <w:szCs w:val="24"/>
                </w:rPr>
                <w:id w:val="1206906014"/>
                <w14:checkbox>
                  <w14:checked w14:val="0"/>
                  <w14:checkedState w14:val="0052" w14:font="Wingdings 2"/>
                  <w14:uncheckedState w14:val="2610" w14:font="MS Gothic"/>
                </w14:checkbox>
              </w:sdtPr>
              <w:sdtContent>
                <w:r>
                  <w:rPr>
                    <w:rFonts w:ascii="MS Gothic" w:eastAsia="MS Gothic" w:hAnsi="MS Gothic" w:cs="宋体" w:hint="eastAsia"/>
                    <w:sz w:val="24"/>
                    <w:szCs w:val="24"/>
                  </w:rPr>
                  <w:t>☐</w:t>
                </w:r>
              </w:sdtContent>
            </w:sdt>
            <w:r>
              <w:rPr>
                <w:rFonts w:ascii="宋体" w:eastAsia="宋体" w:hAnsi="宋体" w:cs="宋体" w:hint="eastAsia"/>
                <w:sz w:val="24"/>
                <w:szCs w:val="24"/>
              </w:rPr>
              <w:t>媒</w:t>
            </w:r>
            <w:r>
              <w:rPr>
                <w:rFonts w:ascii="宋体" w:eastAsia="宋体" w:hAnsi="宋体" w:cs="宋体" w:hint="eastAsia"/>
                <w:spacing w:val="-3"/>
                <w:sz w:val="24"/>
                <w:szCs w:val="24"/>
              </w:rPr>
              <w:t>体</w:t>
            </w:r>
            <w:r>
              <w:rPr>
                <w:rFonts w:ascii="宋体" w:eastAsia="宋体" w:hAnsi="宋体" w:cs="宋体" w:hint="eastAsia"/>
                <w:sz w:val="24"/>
                <w:szCs w:val="24"/>
              </w:rPr>
              <w:t>采访</w:t>
            </w:r>
            <w:r>
              <w:rPr>
                <w:rFonts w:ascii="宋体" w:eastAsia="宋体" w:hAnsi="宋体" w:cs="宋体" w:hint="eastAsia"/>
                <w:sz w:val="24"/>
                <w:szCs w:val="24"/>
              </w:rPr>
              <w:tab/>
            </w:r>
            <w:sdt>
              <w:sdtPr>
                <w:rPr>
                  <w:rFonts w:ascii="宋体" w:eastAsia="宋体" w:hAnsi="宋体" w:cs="宋体" w:hint="eastAsia"/>
                  <w:sz w:val="24"/>
                  <w:szCs w:val="24"/>
                </w:rPr>
                <w:id w:val="-66658901"/>
                <w14:checkbox>
                  <w14:checked w14:val="1"/>
                  <w14:checkedState w14:val="0052" w14:font="Wingdings 2"/>
                  <w14:uncheckedState w14:val="2610" w14:font="MS Gothic"/>
                </w14:checkbox>
              </w:sdtPr>
              <w:sdtContent>
                <w:r>
                  <w:rPr>
                    <w:rFonts w:ascii="Wingdings 2" w:eastAsia="MS Gothic" w:hAnsi="Wingdings 2" w:cs="宋体" w:hint="eastAsia"/>
                    <w:sz w:val="24"/>
                    <w:szCs w:val="24"/>
                  </w:rPr>
                  <w:t>R</w:t>
                </w:r>
              </w:sdtContent>
            </w:sdt>
            <w:r>
              <w:rPr>
                <w:rFonts w:ascii="宋体" w:eastAsia="宋体" w:hAnsi="宋体" w:cs="宋体" w:hint="eastAsia"/>
                <w:sz w:val="24"/>
                <w:szCs w:val="24"/>
              </w:rPr>
              <w:t>业</w:t>
            </w:r>
            <w:r>
              <w:rPr>
                <w:rFonts w:ascii="宋体" w:eastAsia="宋体" w:hAnsi="宋体" w:cs="宋体" w:hint="eastAsia"/>
                <w:spacing w:val="-3"/>
                <w:sz w:val="24"/>
                <w:szCs w:val="24"/>
              </w:rPr>
              <w:t>绩</w:t>
            </w:r>
            <w:r>
              <w:rPr>
                <w:rFonts w:ascii="宋体" w:eastAsia="宋体" w:hAnsi="宋体" w:cs="宋体" w:hint="eastAsia"/>
                <w:sz w:val="24"/>
                <w:szCs w:val="24"/>
              </w:rPr>
              <w:t>说</w:t>
            </w:r>
            <w:r>
              <w:rPr>
                <w:rFonts w:ascii="宋体" w:eastAsia="宋体" w:hAnsi="宋体" w:cs="宋体" w:hint="eastAsia"/>
                <w:spacing w:val="-3"/>
                <w:sz w:val="24"/>
                <w:szCs w:val="24"/>
              </w:rPr>
              <w:t>明</w:t>
            </w:r>
            <w:r>
              <w:rPr>
                <w:rFonts w:ascii="宋体" w:eastAsia="宋体" w:hAnsi="宋体" w:cs="宋体" w:hint="eastAsia"/>
                <w:sz w:val="24"/>
                <w:szCs w:val="24"/>
              </w:rPr>
              <w:t>会</w:t>
            </w:r>
          </w:p>
          <w:p w14:paraId="064C9ED5" w14:textId="77777777" w:rsidR="00847987" w:rsidRDefault="00847987">
            <w:pPr>
              <w:pStyle w:val="TableParagraph"/>
              <w:spacing w:before="8"/>
              <w:rPr>
                <w:rFonts w:ascii="宋体" w:eastAsia="宋体" w:hAnsi="宋体" w:cs="宋体" w:hint="eastAsia"/>
                <w:sz w:val="24"/>
                <w:szCs w:val="24"/>
              </w:rPr>
            </w:pPr>
          </w:p>
          <w:p w14:paraId="4E3570C6" w14:textId="77777777" w:rsidR="00847987" w:rsidRDefault="00000000">
            <w:pPr>
              <w:pStyle w:val="TableParagraph"/>
              <w:tabs>
                <w:tab w:val="left" w:pos="2418"/>
              </w:tabs>
              <w:ind w:left="107"/>
              <w:rPr>
                <w:rFonts w:ascii="宋体" w:eastAsia="宋体" w:hAnsi="宋体" w:cs="宋体" w:hint="eastAsia"/>
                <w:sz w:val="24"/>
                <w:szCs w:val="24"/>
              </w:rPr>
            </w:pPr>
            <w:sdt>
              <w:sdtPr>
                <w:rPr>
                  <w:rFonts w:ascii="宋体" w:eastAsia="宋体" w:hAnsi="宋体" w:cs="宋体" w:hint="eastAsia"/>
                  <w:sz w:val="24"/>
                  <w:szCs w:val="24"/>
                </w:rPr>
                <w:id w:val="-1848167434"/>
                <w14:checkbox>
                  <w14:checked w14:val="0"/>
                  <w14:checkedState w14:val="0052" w14:font="Wingdings 2"/>
                  <w14:uncheckedState w14:val="2610" w14:font="MS Gothic"/>
                </w14:checkbox>
              </w:sdtPr>
              <w:sdtContent>
                <w:r>
                  <w:rPr>
                    <w:rFonts w:ascii="MS Gothic" w:eastAsia="MS Gothic" w:hAnsi="MS Gothic" w:cs="宋体" w:hint="eastAsia"/>
                    <w:sz w:val="24"/>
                    <w:szCs w:val="24"/>
                  </w:rPr>
                  <w:t>☐</w:t>
                </w:r>
              </w:sdtContent>
            </w:sdt>
            <w:r>
              <w:rPr>
                <w:rFonts w:ascii="宋体" w:eastAsia="宋体" w:hAnsi="宋体" w:cs="宋体" w:hint="eastAsia"/>
                <w:sz w:val="24"/>
                <w:szCs w:val="24"/>
              </w:rPr>
              <w:t>新</w:t>
            </w:r>
            <w:r>
              <w:rPr>
                <w:rFonts w:ascii="宋体" w:eastAsia="宋体" w:hAnsi="宋体" w:cs="宋体" w:hint="eastAsia"/>
                <w:spacing w:val="-3"/>
                <w:sz w:val="24"/>
                <w:szCs w:val="24"/>
              </w:rPr>
              <w:t>闻</w:t>
            </w:r>
            <w:r>
              <w:rPr>
                <w:rFonts w:ascii="宋体" w:eastAsia="宋体" w:hAnsi="宋体" w:cs="宋体" w:hint="eastAsia"/>
                <w:sz w:val="24"/>
                <w:szCs w:val="24"/>
              </w:rPr>
              <w:t>发</w:t>
            </w:r>
            <w:r>
              <w:rPr>
                <w:rFonts w:ascii="宋体" w:eastAsia="宋体" w:hAnsi="宋体" w:cs="宋体" w:hint="eastAsia"/>
                <w:spacing w:val="-3"/>
                <w:sz w:val="24"/>
                <w:szCs w:val="24"/>
              </w:rPr>
              <w:t>布</w:t>
            </w:r>
            <w:r>
              <w:rPr>
                <w:rFonts w:ascii="宋体" w:eastAsia="宋体" w:hAnsi="宋体" w:cs="宋体" w:hint="eastAsia"/>
                <w:sz w:val="24"/>
                <w:szCs w:val="24"/>
              </w:rPr>
              <w:t>会</w:t>
            </w:r>
            <w:r>
              <w:rPr>
                <w:rFonts w:ascii="宋体" w:eastAsia="宋体" w:hAnsi="宋体" w:cs="宋体" w:hint="eastAsia"/>
                <w:sz w:val="24"/>
                <w:szCs w:val="24"/>
              </w:rPr>
              <w:tab/>
            </w:r>
            <w:sdt>
              <w:sdtPr>
                <w:rPr>
                  <w:rFonts w:ascii="宋体" w:eastAsia="宋体" w:hAnsi="宋体" w:cs="宋体" w:hint="eastAsia"/>
                  <w:sz w:val="24"/>
                  <w:szCs w:val="24"/>
                </w:rPr>
                <w:id w:val="412049691"/>
                <w14:checkbox>
                  <w14:checked w14:val="0"/>
                  <w14:checkedState w14:val="0052" w14:font="Wingdings 2"/>
                  <w14:uncheckedState w14:val="2610" w14:font="MS Gothic"/>
                </w14:checkbox>
              </w:sdtPr>
              <w:sdtContent>
                <w:r>
                  <w:rPr>
                    <w:rFonts w:ascii="MS Gothic" w:eastAsia="MS Gothic" w:hAnsi="MS Gothic" w:cs="宋体" w:hint="eastAsia"/>
                    <w:sz w:val="24"/>
                    <w:szCs w:val="24"/>
                  </w:rPr>
                  <w:t>☐</w:t>
                </w:r>
              </w:sdtContent>
            </w:sdt>
            <w:r>
              <w:rPr>
                <w:rFonts w:ascii="宋体" w:eastAsia="宋体" w:hAnsi="宋体" w:cs="宋体" w:hint="eastAsia"/>
                <w:sz w:val="24"/>
                <w:szCs w:val="24"/>
              </w:rPr>
              <w:t>路</w:t>
            </w:r>
            <w:r>
              <w:rPr>
                <w:rFonts w:ascii="宋体" w:eastAsia="宋体" w:hAnsi="宋体" w:cs="宋体" w:hint="eastAsia"/>
                <w:spacing w:val="-3"/>
                <w:sz w:val="24"/>
                <w:szCs w:val="24"/>
              </w:rPr>
              <w:t>演</w:t>
            </w:r>
            <w:r>
              <w:rPr>
                <w:rFonts w:ascii="宋体" w:eastAsia="宋体" w:hAnsi="宋体" w:cs="宋体" w:hint="eastAsia"/>
                <w:sz w:val="24"/>
                <w:szCs w:val="24"/>
              </w:rPr>
              <w:t>活动</w:t>
            </w:r>
          </w:p>
          <w:p w14:paraId="7A87E311" w14:textId="77777777" w:rsidR="00847987" w:rsidRDefault="00847987">
            <w:pPr>
              <w:pStyle w:val="TableParagraph"/>
              <w:spacing w:before="8"/>
              <w:rPr>
                <w:rFonts w:ascii="宋体" w:eastAsia="宋体" w:hAnsi="宋体" w:cs="宋体" w:hint="eastAsia"/>
                <w:sz w:val="24"/>
                <w:szCs w:val="24"/>
              </w:rPr>
            </w:pPr>
          </w:p>
          <w:p w14:paraId="4CA2F9D0" w14:textId="77777777" w:rsidR="00847987" w:rsidRDefault="00000000">
            <w:pPr>
              <w:pStyle w:val="TableParagraph"/>
              <w:ind w:left="107"/>
              <w:rPr>
                <w:rFonts w:ascii="宋体" w:eastAsia="宋体" w:hAnsi="宋体" w:cs="宋体" w:hint="eastAsia"/>
                <w:sz w:val="24"/>
                <w:szCs w:val="24"/>
              </w:rPr>
            </w:pPr>
            <w:sdt>
              <w:sdtPr>
                <w:rPr>
                  <w:rFonts w:ascii="宋体" w:eastAsia="宋体" w:hAnsi="宋体" w:cs="宋体" w:hint="eastAsia"/>
                  <w:sz w:val="24"/>
                  <w:szCs w:val="24"/>
                </w:rPr>
                <w:id w:val="-1333366911"/>
                <w14:checkbox>
                  <w14:checked w14:val="0"/>
                  <w14:checkedState w14:val="0052" w14:font="Wingdings 2"/>
                  <w14:uncheckedState w14:val="2610" w14:font="MS Gothic"/>
                </w14:checkbox>
              </w:sdtPr>
              <w:sdtContent>
                <w:r>
                  <w:rPr>
                    <w:rFonts w:ascii="MS Gothic" w:eastAsia="MS Gothic" w:hAnsi="MS Gothic" w:cs="宋体" w:hint="eastAsia"/>
                    <w:sz w:val="24"/>
                    <w:szCs w:val="24"/>
                  </w:rPr>
                  <w:t>☐</w:t>
                </w:r>
              </w:sdtContent>
            </w:sdt>
            <w:r>
              <w:rPr>
                <w:rFonts w:ascii="宋体" w:eastAsia="宋体" w:hAnsi="宋体" w:cs="宋体" w:hint="eastAsia"/>
                <w:sz w:val="24"/>
                <w:szCs w:val="24"/>
              </w:rPr>
              <w:t>现场参观</w:t>
            </w:r>
          </w:p>
          <w:p w14:paraId="2FC2D059" w14:textId="77777777" w:rsidR="00847987" w:rsidRDefault="00847987">
            <w:pPr>
              <w:pStyle w:val="TableParagraph"/>
              <w:spacing w:before="11"/>
              <w:rPr>
                <w:rFonts w:ascii="宋体" w:eastAsia="宋体" w:hAnsi="宋体" w:cs="宋体" w:hint="eastAsia"/>
                <w:sz w:val="24"/>
                <w:szCs w:val="24"/>
              </w:rPr>
            </w:pPr>
          </w:p>
          <w:p w14:paraId="4D79DD03" w14:textId="77777777" w:rsidR="00847987" w:rsidRDefault="00000000">
            <w:pPr>
              <w:pStyle w:val="TableParagraph"/>
              <w:ind w:left="107"/>
              <w:rPr>
                <w:rFonts w:ascii="宋体" w:eastAsia="宋体" w:hAnsi="宋体" w:cs="宋体" w:hint="eastAsia"/>
                <w:sz w:val="24"/>
                <w:szCs w:val="24"/>
              </w:rPr>
            </w:pPr>
            <w:sdt>
              <w:sdtPr>
                <w:rPr>
                  <w:rFonts w:ascii="宋体" w:eastAsia="宋体" w:hAnsi="宋体" w:cs="宋体" w:hint="eastAsia"/>
                  <w:sz w:val="24"/>
                  <w:szCs w:val="24"/>
                </w:rPr>
                <w:id w:val="400885218"/>
                <w14:checkbox>
                  <w14:checked w14:val="0"/>
                  <w14:checkedState w14:val="0052" w14:font="Wingdings 2"/>
                  <w14:uncheckedState w14:val="2610" w14:font="MS Gothic"/>
                </w14:checkbox>
              </w:sdtPr>
              <w:sdtContent>
                <w:r>
                  <w:rPr>
                    <w:rFonts w:ascii="MS Gothic" w:eastAsia="MS Gothic" w:hAnsi="MS Gothic" w:cs="宋体" w:hint="eastAsia"/>
                    <w:sz w:val="24"/>
                    <w:szCs w:val="24"/>
                  </w:rPr>
                  <w:t>☐</w:t>
                </w:r>
              </w:sdtContent>
            </w:sdt>
            <w:r>
              <w:rPr>
                <w:rFonts w:ascii="宋体" w:eastAsia="宋体" w:hAnsi="宋体" w:cs="宋体" w:hint="eastAsia"/>
                <w:sz w:val="24"/>
                <w:szCs w:val="24"/>
              </w:rPr>
              <w:t>其他（</w:t>
            </w:r>
            <w:r>
              <w:rPr>
                <w:rFonts w:ascii="宋体" w:eastAsia="宋体" w:hAnsi="宋体" w:cs="宋体" w:hint="eastAsia"/>
                <w:sz w:val="24"/>
                <w:szCs w:val="24"/>
                <w:u w:val="single"/>
              </w:rPr>
              <w:t>请文字说明其他活动内容）</w:t>
            </w:r>
          </w:p>
        </w:tc>
      </w:tr>
      <w:tr w:rsidR="00847987" w14:paraId="1A63F4D1" w14:textId="77777777">
        <w:trPr>
          <w:trHeight w:val="1120"/>
          <w:jc w:val="center"/>
        </w:trPr>
        <w:tc>
          <w:tcPr>
            <w:tcW w:w="2972" w:type="dxa"/>
            <w:vAlign w:val="center"/>
          </w:tcPr>
          <w:p w14:paraId="46E1BDB5" w14:textId="77777777" w:rsidR="00847987" w:rsidRDefault="00000000">
            <w:pPr>
              <w:pStyle w:val="TableParagraph"/>
              <w:spacing w:line="560" w:lineRule="exact"/>
              <w:ind w:left="107" w:right="96"/>
              <w:rPr>
                <w:rFonts w:asciiTheme="minorEastAsia" w:eastAsiaTheme="minorEastAsia" w:hAnsiTheme="minorEastAsia" w:cs="宋体" w:hint="eastAsia"/>
                <w:b/>
                <w:bCs/>
                <w:sz w:val="24"/>
                <w:szCs w:val="24"/>
              </w:rPr>
            </w:pPr>
            <w:r>
              <w:rPr>
                <w:rFonts w:asciiTheme="minorEastAsia" w:eastAsiaTheme="minorEastAsia" w:hAnsiTheme="minorEastAsia" w:cs="宋体" w:hint="eastAsia"/>
                <w:b/>
                <w:bCs/>
                <w:sz w:val="24"/>
                <w:szCs w:val="24"/>
              </w:rPr>
              <w:t>参与单位名称及人员姓名</w:t>
            </w:r>
          </w:p>
        </w:tc>
        <w:tc>
          <w:tcPr>
            <w:tcW w:w="6384" w:type="dxa"/>
            <w:vAlign w:val="center"/>
          </w:tcPr>
          <w:p w14:paraId="513FC94E" w14:textId="77777777" w:rsidR="00847987" w:rsidRDefault="00000000">
            <w:pPr>
              <w:pStyle w:val="TableParagraph"/>
              <w:spacing w:before="100" w:beforeAutospacing="1" w:line="360" w:lineRule="auto"/>
              <w:rPr>
                <w:rFonts w:asciiTheme="minorEastAsia" w:eastAsiaTheme="minorEastAsia" w:hAnsiTheme="minorEastAsia" w:cs="宋体" w:hint="eastAsia"/>
                <w:sz w:val="24"/>
                <w:szCs w:val="24"/>
                <w:lang w:val="en-US"/>
              </w:rPr>
            </w:pPr>
            <w:r>
              <w:rPr>
                <w:rFonts w:asciiTheme="minorEastAsia" w:eastAsiaTheme="minorEastAsia" w:hAnsiTheme="minorEastAsia" w:cs="宋体" w:hint="eastAsia"/>
                <w:sz w:val="24"/>
                <w:szCs w:val="24"/>
                <w:lang w:val="en-US"/>
              </w:rPr>
              <w:t>线上参与公司</w:t>
            </w:r>
            <w:r>
              <w:rPr>
                <w:rFonts w:ascii="Times New Roman" w:eastAsiaTheme="minorEastAsia" w:hAnsi="Times New Roman" w:cs="Times New Roman"/>
                <w:sz w:val="24"/>
                <w:szCs w:val="24"/>
                <w:lang w:val="en-US"/>
              </w:rPr>
              <w:t>202</w:t>
            </w:r>
            <w:r>
              <w:rPr>
                <w:rFonts w:ascii="Times New Roman" w:eastAsiaTheme="minorEastAsia" w:hAnsi="Times New Roman" w:cs="Times New Roman" w:hint="eastAsia"/>
                <w:sz w:val="24"/>
                <w:szCs w:val="24"/>
                <w:lang w:val="en-US"/>
              </w:rPr>
              <w:t>6</w:t>
            </w:r>
            <w:r>
              <w:rPr>
                <w:rFonts w:ascii="Times New Roman" w:eastAsiaTheme="minorEastAsia" w:hAnsi="Times New Roman" w:cs="Times New Roman"/>
                <w:sz w:val="24"/>
                <w:szCs w:val="24"/>
                <w:lang w:val="en-US"/>
              </w:rPr>
              <w:t>年</w:t>
            </w:r>
            <w:r>
              <w:rPr>
                <w:rFonts w:ascii="Times New Roman" w:eastAsiaTheme="minorEastAsia" w:hAnsi="Times New Roman" w:cs="Times New Roman" w:hint="eastAsia"/>
                <w:sz w:val="24"/>
                <w:szCs w:val="24"/>
                <w:lang w:val="en-US"/>
              </w:rPr>
              <w:t>半年</w:t>
            </w:r>
            <w:r>
              <w:rPr>
                <w:rFonts w:ascii="Times New Roman" w:eastAsiaTheme="minorEastAsia" w:hAnsi="Times New Roman" w:cs="Times New Roman"/>
                <w:sz w:val="24"/>
                <w:szCs w:val="24"/>
                <w:lang w:val="en-US"/>
              </w:rPr>
              <w:t>度业绩说明会</w:t>
            </w:r>
            <w:r>
              <w:rPr>
                <w:rFonts w:asciiTheme="minorEastAsia" w:eastAsiaTheme="minorEastAsia" w:hAnsiTheme="minorEastAsia" w:cs="宋体" w:hint="eastAsia"/>
                <w:sz w:val="24"/>
                <w:szCs w:val="24"/>
                <w:lang w:val="en-US"/>
              </w:rPr>
              <w:t>的全体投资者</w:t>
            </w:r>
          </w:p>
        </w:tc>
      </w:tr>
      <w:tr w:rsidR="00847987" w14:paraId="481A3256" w14:textId="77777777">
        <w:trPr>
          <w:trHeight w:val="558"/>
          <w:jc w:val="center"/>
        </w:trPr>
        <w:tc>
          <w:tcPr>
            <w:tcW w:w="2972" w:type="dxa"/>
            <w:vAlign w:val="center"/>
          </w:tcPr>
          <w:p w14:paraId="30C4682A" w14:textId="77777777" w:rsidR="00847987" w:rsidRDefault="00000000">
            <w:pPr>
              <w:pStyle w:val="TableParagraph"/>
              <w:ind w:left="107"/>
              <w:rPr>
                <w:rFonts w:asciiTheme="minorEastAsia" w:eastAsiaTheme="minorEastAsia" w:hAnsiTheme="minorEastAsia" w:cs="宋体" w:hint="eastAsia"/>
                <w:b/>
                <w:bCs/>
                <w:sz w:val="24"/>
                <w:szCs w:val="24"/>
              </w:rPr>
            </w:pPr>
            <w:r>
              <w:rPr>
                <w:rFonts w:asciiTheme="minorEastAsia" w:eastAsiaTheme="minorEastAsia" w:hAnsiTheme="minorEastAsia" w:cs="宋体" w:hint="eastAsia"/>
                <w:b/>
                <w:bCs/>
                <w:sz w:val="24"/>
                <w:szCs w:val="24"/>
              </w:rPr>
              <w:t>时间</w:t>
            </w:r>
          </w:p>
        </w:tc>
        <w:tc>
          <w:tcPr>
            <w:tcW w:w="6384" w:type="dxa"/>
            <w:vAlign w:val="center"/>
          </w:tcPr>
          <w:p w14:paraId="79F08C4F" w14:textId="77777777" w:rsidR="00847987" w:rsidRDefault="00000000">
            <w:pPr>
              <w:spacing w:before="100" w:beforeAutospacing="1" w:line="360" w:lineRule="auto"/>
              <w:rPr>
                <w:rFonts w:ascii="Times New Roman" w:hAnsi="Times New Roman" w:cs="Times New Roman"/>
                <w:sz w:val="24"/>
                <w:szCs w:val="24"/>
              </w:rPr>
            </w:pPr>
            <w:r>
              <w:rPr>
                <w:rFonts w:ascii="Times New Roman" w:eastAsiaTheme="minorEastAsia" w:hAnsi="Times New Roman" w:cs="Times New Roman"/>
                <w:sz w:val="24"/>
                <w:szCs w:val="24"/>
              </w:rPr>
              <w:t>202</w:t>
            </w:r>
            <w:r>
              <w:rPr>
                <w:rFonts w:ascii="Times New Roman" w:eastAsiaTheme="minorEastAsia" w:hAnsi="Times New Roman" w:cs="Times New Roman" w:hint="eastAsia"/>
                <w:sz w:val="24"/>
                <w:szCs w:val="24"/>
              </w:rPr>
              <w:t>6</w:t>
            </w:r>
            <w:r>
              <w:rPr>
                <w:rFonts w:ascii="Times New Roman" w:eastAsiaTheme="minorEastAsia" w:hAnsi="Times New Roman" w:cs="Times New Roman"/>
                <w:sz w:val="24"/>
                <w:szCs w:val="24"/>
              </w:rPr>
              <w:t>年</w:t>
            </w:r>
            <w:r>
              <w:rPr>
                <w:rFonts w:ascii="Times New Roman" w:eastAsiaTheme="minorEastAsia" w:hAnsi="Times New Roman" w:cs="Times New Roman" w:hint="eastAsia"/>
                <w:sz w:val="24"/>
                <w:szCs w:val="24"/>
              </w:rPr>
              <w:t>9</w:t>
            </w:r>
            <w:r>
              <w:rPr>
                <w:rFonts w:ascii="Times New Roman" w:eastAsiaTheme="minorEastAsia" w:hAnsi="Times New Roman" w:cs="Times New Roman"/>
                <w:sz w:val="24"/>
                <w:szCs w:val="24"/>
              </w:rPr>
              <w:t>月</w:t>
            </w:r>
            <w:r>
              <w:rPr>
                <w:rFonts w:ascii="Times New Roman" w:eastAsiaTheme="minorEastAsia" w:hAnsi="Times New Roman" w:cs="Times New Roman" w:hint="eastAsia"/>
                <w:sz w:val="24"/>
                <w:szCs w:val="24"/>
              </w:rPr>
              <w:t>4</w:t>
            </w:r>
            <w:r>
              <w:rPr>
                <w:rFonts w:ascii="Times New Roman" w:eastAsiaTheme="minorEastAsia" w:hAnsi="Times New Roman" w:cs="Times New Roman"/>
                <w:sz w:val="24"/>
                <w:szCs w:val="24"/>
              </w:rPr>
              <w:t>日</w:t>
            </w:r>
            <w:r>
              <w:rPr>
                <w:rFonts w:ascii="Times New Roman" w:eastAsiaTheme="minorEastAsia" w:hAnsi="Times New Roman" w:cs="Times New Roman"/>
                <w:sz w:val="24"/>
                <w:szCs w:val="24"/>
              </w:rPr>
              <w:t xml:space="preserve"> 1</w:t>
            </w:r>
            <w:r>
              <w:rPr>
                <w:rFonts w:ascii="Times New Roman" w:eastAsiaTheme="minorEastAsia" w:hAnsi="Times New Roman" w:cs="Times New Roman" w:hint="eastAsia"/>
                <w:sz w:val="24"/>
                <w:szCs w:val="24"/>
              </w:rPr>
              <w:t>0</w:t>
            </w:r>
            <w:r>
              <w:rPr>
                <w:rFonts w:ascii="Times New Roman" w:eastAsiaTheme="minorEastAsia" w:hAnsi="Times New Roman" w:cs="Times New Roman"/>
                <w:sz w:val="24"/>
                <w:szCs w:val="24"/>
              </w:rPr>
              <w:t>:00-1</w:t>
            </w:r>
            <w:r>
              <w:rPr>
                <w:rFonts w:ascii="Times New Roman" w:eastAsiaTheme="minorEastAsia" w:hAnsi="Times New Roman" w:cs="Times New Roman" w:hint="eastAsia"/>
                <w:sz w:val="24"/>
                <w:szCs w:val="24"/>
              </w:rPr>
              <w:t>1</w:t>
            </w:r>
            <w:r>
              <w:rPr>
                <w:rFonts w:ascii="Times New Roman" w:eastAsiaTheme="minorEastAsia" w:hAnsi="Times New Roman" w:cs="Times New Roman"/>
                <w:sz w:val="24"/>
                <w:szCs w:val="24"/>
              </w:rPr>
              <w:t>:00</w:t>
            </w:r>
          </w:p>
        </w:tc>
      </w:tr>
      <w:tr w:rsidR="00847987" w14:paraId="2FF2050B" w14:textId="77777777">
        <w:trPr>
          <w:trHeight w:val="561"/>
          <w:jc w:val="center"/>
        </w:trPr>
        <w:tc>
          <w:tcPr>
            <w:tcW w:w="2972" w:type="dxa"/>
            <w:vAlign w:val="center"/>
          </w:tcPr>
          <w:p w14:paraId="1D8DC90E" w14:textId="77777777" w:rsidR="00847987" w:rsidRDefault="00000000">
            <w:pPr>
              <w:pStyle w:val="TableParagraph"/>
              <w:ind w:left="107"/>
              <w:rPr>
                <w:rFonts w:asciiTheme="minorEastAsia" w:eastAsiaTheme="minorEastAsia" w:hAnsiTheme="minorEastAsia" w:cs="宋体" w:hint="eastAsia"/>
                <w:b/>
                <w:bCs/>
                <w:sz w:val="24"/>
                <w:szCs w:val="24"/>
              </w:rPr>
            </w:pPr>
            <w:r>
              <w:rPr>
                <w:rFonts w:asciiTheme="minorEastAsia" w:eastAsiaTheme="minorEastAsia" w:hAnsiTheme="minorEastAsia" w:cs="宋体" w:hint="eastAsia"/>
                <w:b/>
                <w:bCs/>
                <w:sz w:val="24"/>
                <w:szCs w:val="24"/>
              </w:rPr>
              <w:t>地点</w:t>
            </w:r>
          </w:p>
        </w:tc>
        <w:tc>
          <w:tcPr>
            <w:tcW w:w="6384" w:type="dxa"/>
            <w:vAlign w:val="center"/>
          </w:tcPr>
          <w:p w14:paraId="760DED1E" w14:textId="77777777" w:rsidR="00847987" w:rsidRDefault="00000000">
            <w:pPr>
              <w:autoSpaceDE/>
              <w:autoSpaceDN/>
              <w:jc w:val="both"/>
              <w:rPr>
                <w:rFonts w:ascii="宋体" w:eastAsia="宋体" w:hAnsi="宋体" w:cs="Times New Roman" w:hint="eastAsia"/>
                <w:bCs/>
                <w:color w:val="0563C1"/>
                <w:kern w:val="2"/>
                <w:sz w:val="24"/>
                <w:u w:val="single"/>
                <w:lang w:val="en-US" w:bidi="ar-SA"/>
              </w:rPr>
            </w:pPr>
            <w:r>
              <w:rPr>
                <w:rFonts w:ascii="宋体" w:eastAsia="宋体" w:hAnsi="宋体" w:cs="Times New Roman"/>
                <w:bCs/>
                <w:kern w:val="2"/>
                <w:sz w:val="24"/>
                <w:lang w:val="en-US"/>
              </w:rPr>
              <w:t>价值在线（</w:t>
            </w:r>
            <w:r>
              <w:rPr>
                <w:rFonts w:ascii="Times New Roman" w:eastAsia="宋体" w:hAnsi="Times New Roman" w:cs="Times New Roman"/>
                <w:bCs/>
                <w:kern w:val="2"/>
                <w:sz w:val="24"/>
                <w:lang w:val="en-US"/>
              </w:rPr>
              <w:t>https://www.ir-online.cn/</w:t>
            </w:r>
            <w:r>
              <w:rPr>
                <w:rFonts w:ascii="宋体" w:eastAsia="宋体" w:hAnsi="宋体" w:cs="Times New Roman"/>
                <w:bCs/>
                <w:kern w:val="2"/>
                <w:sz w:val="24"/>
                <w:lang w:val="en-US"/>
              </w:rPr>
              <w:t>）网络互动</w:t>
            </w:r>
          </w:p>
        </w:tc>
      </w:tr>
      <w:tr w:rsidR="00847987" w14:paraId="2208E5A7" w14:textId="77777777">
        <w:trPr>
          <w:trHeight w:val="1381"/>
          <w:jc w:val="center"/>
        </w:trPr>
        <w:tc>
          <w:tcPr>
            <w:tcW w:w="2972" w:type="dxa"/>
            <w:vAlign w:val="center"/>
          </w:tcPr>
          <w:p w14:paraId="51F91C71" w14:textId="77777777" w:rsidR="00847987" w:rsidRDefault="00000000">
            <w:pPr>
              <w:pStyle w:val="TableParagraph"/>
              <w:spacing w:before="1"/>
              <w:ind w:left="107"/>
              <w:rPr>
                <w:rFonts w:ascii="宋体" w:eastAsia="宋体" w:hAnsi="宋体" w:cs="宋体" w:hint="eastAsia"/>
                <w:b/>
                <w:bCs/>
                <w:sz w:val="24"/>
                <w:szCs w:val="24"/>
              </w:rPr>
            </w:pPr>
            <w:r>
              <w:rPr>
                <w:rFonts w:ascii="宋体" w:eastAsia="宋体" w:hAnsi="宋体" w:cs="宋体" w:hint="eastAsia"/>
                <w:b/>
                <w:bCs/>
                <w:sz w:val="24"/>
                <w:szCs w:val="24"/>
              </w:rPr>
              <w:t>上市公司接待人员姓名</w:t>
            </w:r>
          </w:p>
        </w:tc>
        <w:tc>
          <w:tcPr>
            <w:tcW w:w="6384" w:type="dxa"/>
            <w:vAlign w:val="center"/>
          </w:tcPr>
          <w:p w14:paraId="79B77A2C" w14:textId="77777777" w:rsidR="00847987" w:rsidRDefault="00000000">
            <w:pPr>
              <w:spacing w:line="360" w:lineRule="auto"/>
              <w:rPr>
                <w:rFonts w:ascii="宋体" w:eastAsia="宋体" w:hAnsi="宋体" w:hint="eastAsia"/>
                <w:sz w:val="24"/>
                <w:szCs w:val="24"/>
              </w:rPr>
            </w:pPr>
            <w:r>
              <w:rPr>
                <w:rFonts w:ascii="宋体" w:eastAsia="宋体" w:hAnsi="宋体" w:hint="eastAsia"/>
                <w:sz w:val="24"/>
                <w:szCs w:val="24"/>
              </w:rPr>
              <w:t>总经理：李博胜</w:t>
            </w:r>
          </w:p>
          <w:p w14:paraId="6A582598" w14:textId="77777777" w:rsidR="00847987" w:rsidRDefault="00000000">
            <w:pPr>
              <w:spacing w:line="360" w:lineRule="auto"/>
              <w:rPr>
                <w:rFonts w:ascii="宋体" w:eastAsia="宋体" w:hAnsi="宋体" w:hint="eastAsia"/>
                <w:sz w:val="24"/>
                <w:szCs w:val="24"/>
                <w:lang w:val="en-US"/>
              </w:rPr>
            </w:pPr>
            <w:r>
              <w:rPr>
                <w:rFonts w:ascii="宋体" w:eastAsia="宋体" w:hAnsi="宋体" w:hint="eastAsia"/>
                <w:sz w:val="24"/>
                <w:szCs w:val="24"/>
              </w:rPr>
              <w:t>董事会秘书：金函辉</w:t>
            </w:r>
          </w:p>
          <w:p w14:paraId="42EE6A9F" w14:textId="77777777" w:rsidR="00847987" w:rsidRDefault="00000000">
            <w:pPr>
              <w:spacing w:line="360" w:lineRule="auto"/>
              <w:rPr>
                <w:rFonts w:ascii="宋体" w:eastAsia="宋体" w:hAnsi="宋体" w:hint="eastAsia"/>
                <w:sz w:val="24"/>
                <w:szCs w:val="24"/>
                <w:lang w:val="en-US"/>
              </w:rPr>
            </w:pPr>
            <w:r>
              <w:rPr>
                <w:rFonts w:ascii="宋体" w:eastAsia="宋体" w:hAnsi="宋体"/>
                <w:sz w:val="24"/>
                <w:szCs w:val="24"/>
              </w:rPr>
              <w:t>财务总监</w:t>
            </w:r>
            <w:r>
              <w:rPr>
                <w:rFonts w:ascii="宋体" w:eastAsia="宋体" w:hAnsi="宋体" w:hint="eastAsia"/>
                <w:sz w:val="24"/>
                <w:szCs w:val="24"/>
              </w:rPr>
              <w:t>：</w:t>
            </w:r>
            <w:r>
              <w:rPr>
                <w:rFonts w:ascii="宋体" w:eastAsia="宋体" w:hAnsi="宋体"/>
                <w:sz w:val="24"/>
                <w:szCs w:val="24"/>
              </w:rPr>
              <w:t>孙旭芬</w:t>
            </w:r>
          </w:p>
          <w:p w14:paraId="50A5F166" w14:textId="77777777" w:rsidR="00847987" w:rsidRDefault="00000000">
            <w:pPr>
              <w:spacing w:line="360" w:lineRule="auto"/>
              <w:rPr>
                <w:rFonts w:ascii="宋体" w:eastAsia="宋体" w:hAnsi="宋体" w:hint="eastAsia"/>
                <w:sz w:val="24"/>
                <w:szCs w:val="24"/>
                <w:lang w:val="en-US"/>
              </w:rPr>
            </w:pPr>
            <w:r>
              <w:rPr>
                <w:rFonts w:ascii="宋体" w:eastAsia="宋体" w:hAnsi="宋体"/>
                <w:sz w:val="24"/>
                <w:szCs w:val="24"/>
              </w:rPr>
              <w:t>独立董事</w:t>
            </w:r>
            <w:r>
              <w:rPr>
                <w:rFonts w:ascii="宋体" w:eastAsia="宋体" w:hAnsi="宋体" w:hint="eastAsia"/>
                <w:sz w:val="24"/>
                <w:szCs w:val="24"/>
              </w:rPr>
              <w:t>：</w:t>
            </w:r>
            <w:r>
              <w:rPr>
                <w:rFonts w:ascii="宋体" w:eastAsia="宋体" w:hAnsi="宋体"/>
                <w:sz w:val="24"/>
                <w:szCs w:val="24"/>
              </w:rPr>
              <w:t>肖作平</w:t>
            </w:r>
          </w:p>
        </w:tc>
      </w:tr>
      <w:tr w:rsidR="00847987" w14:paraId="2BA6A211" w14:textId="77777777">
        <w:trPr>
          <w:trHeight w:val="416"/>
          <w:jc w:val="center"/>
        </w:trPr>
        <w:tc>
          <w:tcPr>
            <w:tcW w:w="2972" w:type="dxa"/>
          </w:tcPr>
          <w:p w14:paraId="63D84B0B" w14:textId="77777777" w:rsidR="00847987" w:rsidRDefault="00847987">
            <w:pPr>
              <w:pStyle w:val="TableParagraph"/>
              <w:rPr>
                <w:rFonts w:ascii="宋体" w:eastAsia="宋体" w:hAnsi="宋体" w:cs="宋体" w:hint="eastAsia"/>
                <w:b/>
                <w:bCs/>
                <w:sz w:val="20"/>
                <w:szCs w:val="20"/>
              </w:rPr>
            </w:pPr>
          </w:p>
          <w:p w14:paraId="3A0F4026" w14:textId="77777777" w:rsidR="00847987" w:rsidRDefault="00847987">
            <w:pPr>
              <w:pStyle w:val="TableParagraph"/>
              <w:rPr>
                <w:rFonts w:ascii="宋体" w:eastAsia="宋体" w:hAnsi="宋体" w:cs="宋体" w:hint="eastAsia"/>
                <w:b/>
                <w:bCs/>
                <w:sz w:val="20"/>
                <w:szCs w:val="20"/>
              </w:rPr>
            </w:pPr>
          </w:p>
          <w:p w14:paraId="7CB81226" w14:textId="77777777" w:rsidR="00847987" w:rsidRDefault="00847987">
            <w:pPr>
              <w:pStyle w:val="TableParagraph"/>
              <w:spacing w:before="5"/>
              <w:rPr>
                <w:rFonts w:ascii="宋体" w:eastAsia="宋体" w:hAnsi="宋体" w:cs="宋体" w:hint="eastAsia"/>
                <w:b/>
                <w:bCs/>
                <w:sz w:val="20"/>
                <w:szCs w:val="20"/>
              </w:rPr>
            </w:pPr>
          </w:p>
          <w:p w14:paraId="76E7AE51" w14:textId="77777777" w:rsidR="00847987" w:rsidRDefault="00000000">
            <w:pPr>
              <w:pStyle w:val="TableParagraph"/>
              <w:spacing w:before="1" w:line="499" w:lineRule="auto"/>
              <w:ind w:left="107" w:right="96"/>
              <w:rPr>
                <w:rFonts w:ascii="宋体" w:eastAsia="宋体" w:hAnsi="宋体" w:cs="宋体" w:hint="eastAsia"/>
                <w:b/>
                <w:bCs/>
                <w:sz w:val="24"/>
                <w:szCs w:val="24"/>
              </w:rPr>
            </w:pPr>
            <w:r>
              <w:rPr>
                <w:rFonts w:ascii="宋体" w:eastAsia="宋体" w:hAnsi="宋体" w:cs="宋体" w:hint="eastAsia"/>
                <w:b/>
                <w:bCs/>
                <w:sz w:val="24"/>
                <w:szCs w:val="24"/>
              </w:rPr>
              <w:t>投资者关系活动主要内容介绍</w:t>
            </w:r>
          </w:p>
        </w:tc>
        <w:tc>
          <w:tcPr>
            <w:tcW w:w="6384" w:type="dxa"/>
          </w:tcPr>
          <w:p w14:paraId="3807BFE0"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b/>
                <w:sz w:val="24"/>
                <w:szCs w:val="24"/>
              </w:rPr>
            </w:pPr>
            <w:r>
              <w:rPr>
                <w:rFonts w:asciiTheme="minorEastAsia" w:eastAsiaTheme="minorEastAsia" w:hAnsiTheme="minorEastAsia" w:cs="宋体"/>
                <w:b/>
                <w:sz w:val="24"/>
                <w:szCs w:val="24"/>
              </w:rPr>
              <w:t>本次说明会，公司就投资者关心的问题给予了答复，并对相关问题进行了梳理，主要问题及答复如下：</w:t>
            </w:r>
            <w:bookmarkStart w:id="0" w:name="OLE_LINK1"/>
          </w:p>
          <w:p w14:paraId="18CA6AE3"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b/>
                <w:sz w:val="24"/>
                <w:szCs w:val="24"/>
              </w:rPr>
            </w:pPr>
            <w:r>
              <w:rPr>
                <w:rFonts w:ascii="Times New Roman" w:eastAsiaTheme="minorEastAsia" w:hAnsi="Times New Roman" w:cs="Times New Roman"/>
                <w:b/>
                <w:sz w:val="24"/>
                <w:szCs w:val="24"/>
              </w:rPr>
              <w:t>Q1</w:t>
            </w:r>
            <w:r>
              <w:rPr>
                <w:rFonts w:ascii="Times New Roman" w:eastAsiaTheme="minorEastAsia" w:hAnsi="Times New Roman" w:cs="Times New Roman"/>
                <w:b/>
                <w:sz w:val="24"/>
                <w:szCs w:val="24"/>
              </w:rPr>
              <w:t>、</w:t>
            </w:r>
            <w:bookmarkEnd w:id="0"/>
            <w:r>
              <w:rPr>
                <w:rFonts w:asciiTheme="minorEastAsia" w:eastAsiaTheme="minorEastAsia" w:hAnsiTheme="minorEastAsia" w:cs="宋体"/>
                <w:b/>
                <w:sz w:val="24"/>
                <w:szCs w:val="24"/>
              </w:rPr>
              <w:t>甜牛奶核心大单品上半年销售情况怎么样</w:t>
            </w:r>
            <w:r>
              <w:rPr>
                <w:rFonts w:asciiTheme="minorEastAsia" w:eastAsiaTheme="minorEastAsia" w:hAnsiTheme="minorEastAsia" w:cs="宋体" w:hint="eastAsia"/>
                <w:b/>
                <w:sz w:val="24"/>
                <w:szCs w:val="24"/>
              </w:rPr>
              <w:t>？</w:t>
            </w:r>
          </w:p>
          <w:p w14:paraId="1A754DC5" w14:textId="77777777"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b/>
                <w:sz w:val="24"/>
                <w:szCs w:val="24"/>
              </w:rPr>
            </w:pPr>
            <w:r>
              <w:rPr>
                <w:rFonts w:ascii="Times New Roman" w:eastAsiaTheme="minorEastAsia" w:hAnsi="Times New Roman" w:cs="Times New Roman"/>
                <w:sz w:val="24"/>
                <w:szCs w:val="24"/>
              </w:rPr>
              <w:t>A1</w:t>
            </w:r>
            <w:r>
              <w:rPr>
                <w:rFonts w:ascii="Times New Roman" w:eastAsiaTheme="minorEastAsia" w:hAnsi="Times New Roman" w:cs="Times New Roman"/>
                <w:sz w:val="24"/>
                <w:szCs w:val="24"/>
              </w:rPr>
              <w:t>：</w:t>
            </w:r>
            <w:r>
              <w:rPr>
                <w:rFonts w:asciiTheme="minorEastAsia" w:eastAsiaTheme="minorEastAsia" w:hAnsiTheme="minorEastAsia" w:cs="宋体"/>
                <w:sz w:val="24"/>
                <w:szCs w:val="24"/>
              </w:rPr>
              <w:t>尊敬的投资者，您好！含乳饮料是公司的核心产品品类，公司正在主动进行渠道和价格体系调整，部分核心市场已出现回暖迹象。公司会持续推进产品结构优化与渠道策略的完善，</w:t>
            </w:r>
            <w:r>
              <w:rPr>
                <w:rFonts w:ascii="Times New Roman" w:eastAsia="宋体" w:hAnsi="Times New Roman" w:cs="宋体" w:hint="eastAsia"/>
                <w:sz w:val="24"/>
                <w:szCs w:val="24"/>
              </w:rPr>
              <w:t>感谢您对公司的关注！</w:t>
            </w:r>
          </w:p>
          <w:p w14:paraId="1D7BE6E3" w14:textId="77777777" w:rsidR="00847987" w:rsidRDefault="00000000">
            <w:pPr>
              <w:pStyle w:val="TableParagraph"/>
              <w:spacing w:line="360" w:lineRule="auto"/>
              <w:ind w:rightChars="50" w:right="110" w:firstLineChars="200" w:firstLine="482"/>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Q2</w:t>
            </w:r>
            <w:r>
              <w:rPr>
                <w:rFonts w:ascii="Times New Roman" w:eastAsiaTheme="minorEastAsia" w:hAnsi="Times New Roman" w:cs="Times New Roman"/>
                <w:b/>
                <w:sz w:val="24"/>
                <w:szCs w:val="24"/>
              </w:rPr>
              <w:t>、</w:t>
            </w:r>
            <w:r>
              <w:rPr>
                <w:rFonts w:asciiTheme="minorEastAsia" w:eastAsiaTheme="minorEastAsia" w:hAnsiTheme="minorEastAsia" w:cs="宋体"/>
                <w:b/>
                <w:sz w:val="24"/>
                <w:szCs w:val="24"/>
              </w:rPr>
              <w:t>现在饮料赛道竞争很卷，公司产品毛利率后续还能不能稳住？</w:t>
            </w:r>
          </w:p>
          <w:p w14:paraId="6AD98223" w14:textId="77777777"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b/>
                <w:sz w:val="24"/>
                <w:szCs w:val="24"/>
              </w:rPr>
            </w:pPr>
            <w:r>
              <w:rPr>
                <w:rFonts w:ascii="Times New Roman" w:eastAsiaTheme="minorEastAsia" w:hAnsi="Times New Roman" w:cs="Times New Roman"/>
                <w:sz w:val="24"/>
                <w:szCs w:val="24"/>
              </w:rPr>
              <w:lastRenderedPageBreak/>
              <w:t>A2</w:t>
            </w:r>
            <w:r>
              <w:rPr>
                <w:rFonts w:ascii="Times New Roman" w:eastAsiaTheme="minorEastAsia" w:hAnsi="Times New Roman" w:cs="Times New Roman"/>
                <w:sz w:val="24"/>
                <w:szCs w:val="24"/>
              </w:rPr>
              <w:t>：</w:t>
            </w:r>
            <w:r>
              <w:rPr>
                <w:rFonts w:asciiTheme="minorEastAsia" w:eastAsiaTheme="minorEastAsia" w:hAnsiTheme="minorEastAsia" w:cs="宋体"/>
                <w:sz w:val="24"/>
                <w:szCs w:val="24"/>
              </w:rPr>
              <w:t>尊敬的投资者，您好</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在成本管理方面，公司持续强化原辅材料集中采购与招投标机制，通过规模化采购和精细化管理有效控制生产成本；同时完善全过程成本管理体系，加强事前规划与事后监督，实现成本控制与经营效率的同步提升，并将降本增效目标与绩效考核机制相结合，推动各项成本管控措施落地实施。公司管理层将持续关注内外部环境变化，动态优化质量管控体系，推进产品多元化战略，以积极审慎的态度应对挑战，努力保障公司长期稳健可持续发展。</w:t>
            </w:r>
            <w:r>
              <w:rPr>
                <w:rFonts w:ascii="Times New Roman" w:eastAsia="宋体" w:hAnsi="Times New Roman" w:cs="宋体" w:hint="eastAsia"/>
                <w:sz w:val="24"/>
                <w:szCs w:val="24"/>
              </w:rPr>
              <w:t>感谢您对公司的关注！</w:t>
            </w:r>
          </w:p>
          <w:p w14:paraId="18B1771E"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b/>
                <w:sz w:val="24"/>
                <w:szCs w:val="24"/>
              </w:rPr>
            </w:pPr>
            <w:r>
              <w:rPr>
                <w:rFonts w:ascii="Times New Roman" w:eastAsiaTheme="minorEastAsia" w:hAnsi="Times New Roman" w:cs="Times New Roman"/>
                <w:b/>
                <w:sz w:val="24"/>
                <w:szCs w:val="24"/>
              </w:rPr>
              <w:t>Q3</w:t>
            </w:r>
            <w:r>
              <w:rPr>
                <w:rFonts w:ascii="Times New Roman" w:eastAsiaTheme="minorEastAsia" w:hAnsi="Times New Roman" w:cs="Times New Roman"/>
                <w:b/>
                <w:sz w:val="24"/>
                <w:szCs w:val="24"/>
              </w:rPr>
              <w:t>、</w:t>
            </w:r>
            <w:r>
              <w:rPr>
                <w:rFonts w:asciiTheme="minorEastAsia" w:eastAsiaTheme="minorEastAsia" w:hAnsiTheme="minorEastAsia" w:cs="宋体"/>
                <w:b/>
                <w:sz w:val="24"/>
                <w:szCs w:val="24"/>
              </w:rPr>
              <w:t>包装、糖等原材料价格波动，公司怎么消化成本带来的压力？</w:t>
            </w:r>
          </w:p>
          <w:p w14:paraId="3E9F91A5" w14:textId="3C699E38"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sz w:val="24"/>
                <w:szCs w:val="24"/>
              </w:rPr>
            </w:pPr>
            <w:r>
              <w:rPr>
                <w:rFonts w:ascii="Times New Roman" w:eastAsiaTheme="minorEastAsia" w:hAnsi="Times New Roman" w:cs="Times New Roman"/>
                <w:sz w:val="24"/>
                <w:szCs w:val="24"/>
              </w:rPr>
              <w:t>A3</w:t>
            </w:r>
            <w:r>
              <w:rPr>
                <w:rFonts w:ascii="Times New Roman" w:eastAsiaTheme="minorEastAsia" w:hAnsi="Times New Roman" w:cs="Times New Roman"/>
                <w:sz w:val="24"/>
                <w:szCs w:val="24"/>
              </w:rPr>
              <w:t>：</w:t>
            </w:r>
            <w:r>
              <w:rPr>
                <w:rFonts w:asciiTheme="minorEastAsia" w:eastAsiaTheme="minorEastAsia" w:hAnsiTheme="minorEastAsia" w:cs="宋体"/>
                <w:sz w:val="24"/>
                <w:szCs w:val="24"/>
              </w:rPr>
              <w:t>尊敬的投资者，您好</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公司主要通过以下几方面措施来消化和应对原材料的压力：一是持续强化原辅材料集中采购与招投标机制，通过规模化采购和精细化管理有效控制生产成本；二是采取“集中采购与全国调配”、签订“年度框架协议”“提前储备”“向上游产业链延伸”“优化供应链管理”等措施，进一步降低原材料成本，提高盈利能力和市场竞争力；三是通过集中采购、签订远期合同锁定价格、提高国产奶粉比例、在宁夏建设生产基地构建灵活供应链等方式增强抗风险能力，为原材料供应的稳定性提供更强保障。</w:t>
            </w:r>
            <w:r>
              <w:rPr>
                <w:rFonts w:ascii="Times New Roman" w:eastAsia="宋体" w:hAnsi="Times New Roman" w:cs="宋体" w:hint="eastAsia"/>
                <w:sz w:val="24"/>
                <w:szCs w:val="24"/>
              </w:rPr>
              <w:t>感谢您对公司的关注！</w:t>
            </w:r>
          </w:p>
          <w:p w14:paraId="6C65D444"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b/>
                <w:sz w:val="24"/>
                <w:szCs w:val="24"/>
              </w:rPr>
            </w:pPr>
            <w:r>
              <w:rPr>
                <w:rFonts w:ascii="Times New Roman" w:eastAsiaTheme="minorEastAsia" w:hAnsi="Times New Roman" w:cs="Times New Roman"/>
                <w:b/>
                <w:sz w:val="24"/>
                <w:szCs w:val="24"/>
              </w:rPr>
              <w:t>Q4</w:t>
            </w:r>
            <w:r>
              <w:rPr>
                <w:rFonts w:ascii="Times New Roman" w:eastAsiaTheme="minorEastAsia" w:hAnsi="Times New Roman" w:cs="Times New Roman"/>
                <w:b/>
                <w:sz w:val="24"/>
                <w:szCs w:val="24"/>
              </w:rPr>
              <w:t>、</w:t>
            </w:r>
            <w:r>
              <w:rPr>
                <w:rFonts w:asciiTheme="minorEastAsia" w:eastAsiaTheme="minorEastAsia" w:hAnsiTheme="minorEastAsia" w:cs="宋体"/>
                <w:b/>
                <w:sz w:val="24"/>
                <w:szCs w:val="24"/>
              </w:rPr>
              <w:t>新品推出不少，哪些新品卖得比较好？</w:t>
            </w:r>
          </w:p>
          <w:p w14:paraId="04F80876" w14:textId="77777777"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b/>
                <w:sz w:val="24"/>
                <w:szCs w:val="24"/>
              </w:rPr>
            </w:pPr>
            <w:r>
              <w:rPr>
                <w:rFonts w:ascii="Times New Roman" w:eastAsiaTheme="minorEastAsia" w:hAnsi="Times New Roman" w:cs="Times New Roman"/>
                <w:sz w:val="24"/>
                <w:szCs w:val="24"/>
              </w:rPr>
              <w:t>A4</w:t>
            </w:r>
            <w:r>
              <w:rPr>
                <w:rFonts w:ascii="Times New Roman" w:eastAsiaTheme="minorEastAsia" w:hAnsi="Times New Roman" w:cs="Times New Roman"/>
                <w:sz w:val="24"/>
                <w:szCs w:val="24"/>
              </w:rPr>
              <w:t>：</w:t>
            </w:r>
            <w:r>
              <w:rPr>
                <w:rFonts w:ascii="Times New Roman" w:eastAsiaTheme="minorEastAsia" w:hAnsi="Times New Roman" w:cs="宋体"/>
                <w:sz w:val="24"/>
                <w:szCs w:val="24"/>
              </w:rPr>
              <w:t>尊敬的投资者，您好！市场表现较好的新品主要有：</w:t>
            </w:r>
            <w:r>
              <w:rPr>
                <w:rFonts w:ascii="Times New Roman" w:eastAsiaTheme="minorEastAsia" w:hAnsi="Times New Roman" w:cs="宋体"/>
                <w:sz w:val="24"/>
                <w:szCs w:val="24"/>
              </w:rPr>
              <w:t>2025</w:t>
            </w:r>
            <w:r>
              <w:rPr>
                <w:rFonts w:ascii="Times New Roman" w:eastAsiaTheme="minorEastAsia" w:hAnsi="Times New Roman" w:cs="宋体"/>
                <w:sz w:val="24"/>
                <w:szCs w:val="24"/>
              </w:rPr>
              <w:t>年</w:t>
            </w:r>
            <w:r>
              <w:rPr>
                <w:rFonts w:ascii="Times New Roman" w:eastAsiaTheme="minorEastAsia" w:hAnsi="Times New Roman" w:cs="宋体"/>
                <w:sz w:val="24"/>
                <w:szCs w:val="24"/>
              </w:rPr>
              <w:t>5</w:t>
            </w:r>
            <w:r>
              <w:rPr>
                <w:rFonts w:ascii="Times New Roman" w:eastAsiaTheme="minorEastAsia" w:hAnsi="Times New Roman" w:cs="宋体"/>
                <w:sz w:val="24"/>
                <w:szCs w:val="24"/>
              </w:rPr>
              <w:t>月推出的西瓜味、凤梨味甜牛奶，电商渠道表现亮眼；</w:t>
            </w:r>
            <w:r>
              <w:rPr>
                <w:rFonts w:ascii="Times New Roman" w:eastAsiaTheme="minorEastAsia" w:hAnsi="Times New Roman" w:cs="宋体"/>
                <w:sz w:val="24"/>
                <w:szCs w:val="24"/>
              </w:rPr>
              <w:t>2025</w:t>
            </w:r>
            <w:r>
              <w:rPr>
                <w:rFonts w:ascii="Times New Roman" w:eastAsiaTheme="minorEastAsia" w:hAnsi="Times New Roman" w:cs="宋体"/>
                <w:sz w:val="24"/>
                <w:szCs w:val="24"/>
              </w:rPr>
              <w:t>年</w:t>
            </w:r>
            <w:r>
              <w:rPr>
                <w:rFonts w:ascii="Times New Roman" w:eastAsiaTheme="minorEastAsia" w:hAnsi="Times New Roman" w:cs="宋体"/>
                <w:sz w:val="24"/>
                <w:szCs w:val="24"/>
              </w:rPr>
              <w:t>12</w:t>
            </w:r>
            <w:r>
              <w:rPr>
                <w:rFonts w:ascii="Times New Roman" w:eastAsiaTheme="minorEastAsia" w:hAnsi="Times New Roman" w:cs="宋体"/>
                <w:sz w:val="24"/>
                <w:szCs w:val="24"/>
              </w:rPr>
              <w:t>月推出的</w:t>
            </w:r>
            <w:r>
              <w:rPr>
                <w:rFonts w:ascii="Times New Roman" w:eastAsiaTheme="minorEastAsia" w:hAnsi="Times New Roman" w:cs="宋体" w:hint="eastAsia"/>
                <w:sz w:val="24"/>
                <w:szCs w:val="24"/>
              </w:rPr>
              <w:t>“</w:t>
            </w:r>
            <w:r>
              <w:rPr>
                <w:rFonts w:ascii="Times New Roman" w:eastAsiaTheme="minorEastAsia" w:hAnsi="Times New Roman" w:cs="宋体"/>
                <w:sz w:val="24"/>
                <w:szCs w:val="24"/>
              </w:rPr>
              <w:t>生牛乳金丝小红枣</w:t>
            </w:r>
            <w:r>
              <w:rPr>
                <w:rFonts w:ascii="Times New Roman" w:eastAsiaTheme="minorEastAsia" w:hAnsi="Times New Roman" w:cs="宋体" w:hint="eastAsia"/>
                <w:sz w:val="24"/>
                <w:szCs w:val="24"/>
              </w:rPr>
              <w:t>奶”</w:t>
            </w:r>
            <w:r>
              <w:rPr>
                <w:rFonts w:ascii="Times New Roman" w:eastAsiaTheme="minorEastAsia" w:hAnsi="Times New Roman" w:cs="宋体"/>
                <w:sz w:val="24"/>
                <w:szCs w:val="24"/>
              </w:rPr>
              <w:t>，将沧州金丝小红枣融入生牛乳，口感更浓郁新鲜，市场反响良好；此外，公司还推出维生素水、电解质饮料等水替类产品，覆盖日常补水与运动补能场景，持续丰富产品结构。</w:t>
            </w:r>
            <w:r>
              <w:rPr>
                <w:rFonts w:ascii="Times New Roman" w:eastAsiaTheme="minorEastAsia" w:hAnsi="Times New Roman" w:cs="宋体"/>
                <w:sz w:val="24"/>
                <w:szCs w:val="24"/>
              </w:rPr>
              <w:t>2026</w:t>
            </w:r>
            <w:r>
              <w:rPr>
                <w:rFonts w:ascii="Times New Roman" w:eastAsiaTheme="minorEastAsia" w:hAnsi="Times New Roman" w:cs="宋体"/>
                <w:sz w:val="24"/>
                <w:szCs w:val="24"/>
              </w:rPr>
              <w:t>年，公司将继续围绕日常补水、早餐消费及餐饮搭配等场景推出新</w:t>
            </w:r>
            <w:r>
              <w:rPr>
                <w:rFonts w:ascii="Times New Roman" w:eastAsiaTheme="minorEastAsia" w:hAnsi="Times New Roman" w:cs="宋体"/>
                <w:sz w:val="24"/>
                <w:szCs w:val="24"/>
              </w:rPr>
              <w:lastRenderedPageBreak/>
              <w:t>品，并根据不同渠道特点提供多规格产品组合，实现渠道间互补协同。</w:t>
            </w:r>
            <w:r>
              <w:rPr>
                <w:rFonts w:ascii="Times New Roman" w:eastAsia="宋体" w:hAnsi="Times New Roman" w:cs="宋体" w:hint="eastAsia"/>
                <w:sz w:val="24"/>
                <w:szCs w:val="24"/>
              </w:rPr>
              <w:t>感谢您对公司的关注！</w:t>
            </w:r>
          </w:p>
          <w:p w14:paraId="1196FD4E"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sz w:val="24"/>
                <w:szCs w:val="24"/>
              </w:rPr>
            </w:pPr>
            <w:r>
              <w:rPr>
                <w:rFonts w:ascii="Times New Roman" w:eastAsiaTheme="minorEastAsia" w:hAnsi="Times New Roman" w:cs="Times New Roman"/>
                <w:b/>
                <w:sz w:val="24"/>
                <w:szCs w:val="24"/>
              </w:rPr>
              <w:t>Q5</w:t>
            </w:r>
            <w:r>
              <w:rPr>
                <w:rFonts w:ascii="Times New Roman" w:eastAsiaTheme="minorEastAsia" w:hAnsi="Times New Roman" w:cs="Times New Roman"/>
                <w:b/>
                <w:sz w:val="24"/>
                <w:szCs w:val="24"/>
              </w:rPr>
              <w:t>、线上直播、电商渠道占比如何</w:t>
            </w:r>
            <w:r>
              <w:rPr>
                <w:rFonts w:ascii="Times New Roman" w:eastAsiaTheme="minorEastAsia" w:hAnsi="Times New Roman" w:cs="Times New Roman" w:hint="eastAsia"/>
                <w:b/>
                <w:sz w:val="24"/>
                <w:szCs w:val="24"/>
              </w:rPr>
              <w:t>？</w:t>
            </w:r>
          </w:p>
          <w:p w14:paraId="37CBF37F" w14:textId="77777777"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b/>
                <w:sz w:val="24"/>
                <w:szCs w:val="24"/>
              </w:rPr>
            </w:pPr>
            <w:r>
              <w:rPr>
                <w:rFonts w:ascii="Times New Roman" w:eastAsiaTheme="minorEastAsia" w:hAnsi="Times New Roman" w:cs="Times New Roman"/>
                <w:sz w:val="24"/>
                <w:szCs w:val="24"/>
              </w:rPr>
              <w:t>A5</w:t>
            </w:r>
            <w:r>
              <w:rPr>
                <w:rFonts w:ascii="Times New Roman" w:eastAsiaTheme="minorEastAsia" w:hAnsi="Times New Roman" w:cs="Times New Roman"/>
                <w:sz w:val="24"/>
                <w:szCs w:val="24"/>
              </w:rPr>
              <w:t>：</w:t>
            </w:r>
            <w:r>
              <w:rPr>
                <w:rFonts w:ascii="Times New Roman" w:eastAsia="宋体" w:hAnsi="Times New Roman" w:cs="宋体"/>
                <w:sz w:val="24"/>
                <w:szCs w:val="24"/>
              </w:rPr>
              <w:t>尊敬的投资者，您好</w:t>
            </w:r>
            <w:r>
              <w:rPr>
                <w:rFonts w:ascii="Times New Roman" w:eastAsia="宋体" w:hAnsi="Times New Roman" w:cs="宋体" w:hint="eastAsia"/>
                <w:sz w:val="24"/>
                <w:szCs w:val="24"/>
              </w:rPr>
              <w:t>！</w:t>
            </w:r>
            <w:r>
              <w:rPr>
                <w:rFonts w:ascii="Times New Roman" w:eastAsia="宋体" w:hAnsi="Times New Roman" w:cs="宋体"/>
                <w:sz w:val="24"/>
                <w:szCs w:val="24"/>
              </w:rPr>
              <w:t>2026</w:t>
            </w:r>
            <w:r>
              <w:rPr>
                <w:rFonts w:ascii="Times New Roman" w:eastAsia="宋体" w:hAnsi="Times New Roman" w:cs="宋体"/>
                <w:sz w:val="24"/>
                <w:szCs w:val="24"/>
              </w:rPr>
              <w:t>年上半年，电商销售实现营业收入</w:t>
            </w:r>
            <w:r>
              <w:rPr>
                <w:rFonts w:ascii="Times New Roman" w:eastAsia="宋体" w:hAnsi="Times New Roman" w:cs="宋体"/>
                <w:sz w:val="24"/>
                <w:szCs w:val="24"/>
              </w:rPr>
              <w:t>44,116,098.68</w:t>
            </w:r>
            <w:r>
              <w:rPr>
                <w:rFonts w:ascii="Times New Roman" w:eastAsia="宋体" w:hAnsi="Times New Roman" w:cs="宋体"/>
                <w:sz w:val="24"/>
                <w:szCs w:val="24"/>
              </w:rPr>
              <w:t>元，占当期主营业务收入</w:t>
            </w:r>
            <w:r>
              <w:rPr>
                <w:rFonts w:ascii="Times New Roman" w:eastAsia="宋体" w:hAnsi="Times New Roman" w:cs="宋体"/>
                <w:sz w:val="24"/>
                <w:szCs w:val="24"/>
              </w:rPr>
              <w:t>600,907,523.76</w:t>
            </w:r>
            <w:r>
              <w:rPr>
                <w:rFonts w:ascii="Times New Roman" w:eastAsia="宋体" w:hAnsi="Times New Roman" w:cs="宋体"/>
                <w:sz w:val="24"/>
                <w:szCs w:val="24"/>
              </w:rPr>
              <w:t>元的</w:t>
            </w:r>
            <w:r>
              <w:rPr>
                <w:rFonts w:ascii="Times New Roman" w:eastAsia="宋体" w:hAnsi="Times New Roman" w:cs="宋体"/>
                <w:sz w:val="24"/>
                <w:szCs w:val="24"/>
              </w:rPr>
              <w:t>7.34%</w:t>
            </w:r>
            <w:r>
              <w:rPr>
                <w:rFonts w:ascii="Times New Roman" w:eastAsia="宋体" w:hAnsi="Times New Roman" w:cs="宋体"/>
                <w:sz w:val="24"/>
                <w:szCs w:val="24"/>
              </w:rPr>
              <w:t>。具体详见公司公布的公告，</w:t>
            </w:r>
            <w:r>
              <w:rPr>
                <w:rFonts w:ascii="Times New Roman" w:eastAsia="宋体" w:hAnsi="Times New Roman" w:cs="宋体" w:hint="eastAsia"/>
                <w:sz w:val="24"/>
                <w:szCs w:val="24"/>
              </w:rPr>
              <w:t>感谢您对公司的关注！</w:t>
            </w:r>
          </w:p>
          <w:p w14:paraId="43C46921"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sz w:val="24"/>
                <w:szCs w:val="24"/>
              </w:rPr>
            </w:pPr>
            <w:r>
              <w:rPr>
                <w:rFonts w:ascii="Times New Roman" w:eastAsiaTheme="minorEastAsia" w:hAnsi="Times New Roman" w:cs="Times New Roman"/>
                <w:b/>
                <w:sz w:val="24"/>
                <w:szCs w:val="24"/>
              </w:rPr>
              <w:t>Q6</w:t>
            </w:r>
            <w:r>
              <w:rPr>
                <w:rFonts w:ascii="Times New Roman" w:eastAsiaTheme="minorEastAsia" w:hAnsi="Times New Roman" w:cs="Times New Roman"/>
                <w:b/>
                <w:sz w:val="24"/>
                <w:szCs w:val="24"/>
              </w:rPr>
              <w:t>、</w:t>
            </w:r>
            <w:r>
              <w:rPr>
                <w:rFonts w:asciiTheme="minorEastAsia" w:eastAsiaTheme="minorEastAsia" w:hAnsiTheme="minorEastAsia" w:cs="宋体"/>
                <w:b/>
                <w:sz w:val="24"/>
                <w:szCs w:val="24"/>
              </w:rPr>
              <w:t>存货规模处于什么水平</w:t>
            </w:r>
            <w:r>
              <w:rPr>
                <w:rFonts w:asciiTheme="minorEastAsia" w:eastAsiaTheme="minorEastAsia" w:hAnsiTheme="minorEastAsia" w:cs="宋体" w:hint="eastAsia"/>
                <w:b/>
                <w:sz w:val="24"/>
                <w:szCs w:val="24"/>
              </w:rPr>
              <w:t>？</w:t>
            </w:r>
          </w:p>
          <w:p w14:paraId="7FBCF914" w14:textId="77777777"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sz w:val="24"/>
                <w:szCs w:val="24"/>
              </w:rPr>
            </w:pPr>
            <w:r>
              <w:rPr>
                <w:rFonts w:ascii="Times New Roman" w:eastAsiaTheme="minorEastAsia" w:hAnsi="Times New Roman" w:cs="Times New Roman"/>
                <w:sz w:val="24"/>
                <w:szCs w:val="24"/>
              </w:rPr>
              <w:t>A6</w:t>
            </w:r>
            <w:r>
              <w:rPr>
                <w:rFonts w:ascii="Times New Roman" w:eastAsiaTheme="minorEastAsia" w:hAnsi="Times New Roman" w:cs="Times New Roman"/>
                <w:sz w:val="24"/>
                <w:szCs w:val="24"/>
              </w:rPr>
              <w:t>：</w:t>
            </w:r>
            <w:r>
              <w:rPr>
                <w:rFonts w:asciiTheme="minorEastAsia" w:eastAsiaTheme="minorEastAsia" w:hAnsiTheme="minorEastAsia" w:cs="宋体"/>
                <w:sz w:val="24"/>
                <w:szCs w:val="24"/>
              </w:rPr>
              <w:t>尊敬的投资者，您好</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公司存货整体规模相对可控，存货周转效率较好。报告期公司存货规模有所上升，主要系①为应对下游塑料粒子和奶粉的涨价提前储备这二项原材料；②生产奶粉的子公司季节性备货等因素所致。公司持续加强存货全流程管理，建立存货跌价评估机制，对存在减值迹象存货充分计提存货跌价准备，严控存货积压风险。后续公司将根据市场订单情况动态优化采购与生产排产，保持存货规模处于稳健水平。</w:t>
            </w:r>
            <w:r>
              <w:rPr>
                <w:rFonts w:ascii="Times New Roman" w:eastAsia="宋体" w:hAnsi="Times New Roman" w:cs="宋体" w:hint="eastAsia"/>
                <w:sz w:val="24"/>
                <w:szCs w:val="24"/>
              </w:rPr>
              <w:t>感谢您对公司的关注！</w:t>
            </w:r>
          </w:p>
          <w:p w14:paraId="05C482DA"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b/>
                <w:sz w:val="24"/>
                <w:szCs w:val="24"/>
              </w:rPr>
            </w:pPr>
            <w:r>
              <w:rPr>
                <w:rFonts w:ascii="Times New Roman" w:eastAsiaTheme="minorEastAsia" w:hAnsi="Times New Roman" w:cs="Times New Roman"/>
                <w:b/>
                <w:sz w:val="24"/>
                <w:szCs w:val="24"/>
              </w:rPr>
              <w:t>Q7</w:t>
            </w:r>
            <w:r>
              <w:rPr>
                <w:rFonts w:ascii="Times New Roman" w:eastAsiaTheme="minorEastAsia" w:hAnsi="Times New Roman" w:cs="Times New Roman"/>
                <w:b/>
                <w:sz w:val="24"/>
                <w:szCs w:val="24"/>
              </w:rPr>
              <w:t>、</w:t>
            </w:r>
            <w:r>
              <w:rPr>
                <w:rFonts w:asciiTheme="minorEastAsia" w:eastAsiaTheme="minorEastAsia" w:hAnsiTheme="minorEastAsia" w:cs="宋体"/>
                <w:b/>
                <w:sz w:val="24"/>
                <w:szCs w:val="24"/>
              </w:rPr>
              <w:t>同行饮料品牌不断挤压，公司核心竞争优势在哪？</w:t>
            </w:r>
          </w:p>
          <w:p w14:paraId="3AD2F1A3" w14:textId="39CEB991" w:rsidR="00847987" w:rsidRDefault="00000000">
            <w:pPr>
              <w:pStyle w:val="TableParagraph"/>
              <w:spacing w:line="360" w:lineRule="auto"/>
              <w:ind w:rightChars="50" w:right="110" w:firstLineChars="200" w:firstLine="480"/>
              <w:jc w:val="both"/>
              <w:rPr>
                <w:rFonts w:ascii="Times New Roman" w:eastAsia="宋体" w:hAnsi="Times New Roman" w:cs="宋体"/>
                <w:sz w:val="24"/>
                <w:szCs w:val="24"/>
              </w:rPr>
            </w:pPr>
            <w:r>
              <w:rPr>
                <w:rFonts w:ascii="Times New Roman" w:eastAsia="宋体" w:hAnsi="Times New Roman" w:cs="Times New Roman"/>
                <w:sz w:val="24"/>
                <w:szCs w:val="24"/>
              </w:rPr>
              <w:t>A7</w:t>
            </w:r>
            <w:r>
              <w:rPr>
                <w:rFonts w:ascii="Times New Roman" w:eastAsia="宋体" w:hAnsi="Times New Roman" w:cs="Times New Roman"/>
                <w:sz w:val="24"/>
                <w:szCs w:val="24"/>
              </w:rPr>
              <w:t>：</w:t>
            </w:r>
            <w:r>
              <w:rPr>
                <w:rFonts w:ascii="Times New Roman" w:eastAsia="宋体" w:hAnsi="Times New Roman" w:cs="宋体"/>
                <w:sz w:val="24"/>
                <w:szCs w:val="24"/>
              </w:rPr>
              <w:t>尊敬的投资者，您好</w:t>
            </w:r>
            <w:r>
              <w:rPr>
                <w:rFonts w:ascii="Times New Roman" w:eastAsia="宋体" w:hAnsi="Times New Roman" w:cs="宋体" w:hint="eastAsia"/>
                <w:sz w:val="24"/>
                <w:szCs w:val="24"/>
              </w:rPr>
              <w:t>！</w:t>
            </w:r>
            <w:r>
              <w:rPr>
                <w:rFonts w:ascii="Times New Roman" w:eastAsia="宋体" w:hAnsi="Times New Roman" w:cs="宋体"/>
                <w:sz w:val="24"/>
                <w:szCs w:val="24"/>
              </w:rPr>
              <w:t>1</w:t>
            </w:r>
            <w:r>
              <w:rPr>
                <w:rFonts w:ascii="Times New Roman" w:eastAsia="宋体" w:hAnsi="Times New Roman" w:cs="宋体"/>
                <w:sz w:val="24"/>
                <w:szCs w:val="24"/>
              </w:rPr>
              <w:t>、公司自设立起一直专注于甜牛奶乳饮料系列等含乳饮料的研发、生产与销售，持续打造</w:t>
            </w:r>
            <w:r>
              <w:rPr>
                <w:rFonts w:ascii="Times New Roman" w:eastAsia="宋体" w:hAnsi="Times New Roman" w:cs="宋体"/>
                <w:sz w:val="24"/>
                <w:szCs w:val="24"/>
              </w:rPr>
              <w:t>“</w:t>
            </w:r>
            <w:r>
              <w:rPr>
                <w:rFonts w:ascii="Times New Roman" w:eastAsia="宋体" w:hAnsi="Times New Roman" w:cs="宋体"/>
                <w:sz w:val="24"/>
                <w:szCs w:val="24"/>
              </w:rPr>
              <w:t>李子园</w:t>
            </w:r>
            <w:r>
              <w:rPr>
                <w:rFonts w:ascii="Times New Roman" w:eastAsia="宋体" w:hAnsi="Times New Roman" w:cs="宋体"/>
                <w:sz w:val="24"/>
                <w:szCs w:val="24"/>
              </w:rPr>
              <w:t>”</w:t>
            </w:r>
            <w:r>
              <w:rPr>
                <w:rFonts w:ascii="Times New Roman" w:eastAsia="宋体" w:hAnsi="Times New Roman" w:cs="宋体"/>
                <w:sz w:val="24"/>
                <w:szCs w:val="24"/>
              </w:rPr>
              <w:t>品牌，在甜味含乳饮料市场形成专业化和差异化优势。同时公司还通过明星代言、数字化营销和校园推广等方式，强化在年轻消费群体中的品牌影响力。</w:t>
            </w:r>
            <w:r>
              <w:rPr>
                <w:rFonts w:ascii="Times New Roman" w:eastAsia="宋体" w:hAnsi="Times New Roman" w:cs="宋体"/>
                <w:sz w:val="24"/>
                <w:szCs w:val="24"/>
              </w:rPr>
              <w:t>2</w:t>
            </w:r>
            <w:r>
              <w:rPr>
                <w:rFonts w:ascii="Times New Roman" w:eastAsia="宋体" w:hAnsi="Times New Roman" w:cs="宋体"/>
                <w:sz w:val="24"/>
                <w:szCs w:val="24"/>
              </w:rPr>
              <w:t>、公司坚持</w:t>
            </w:r>
            <w:r>
              <w:rPr>
                <w:rFonts w:ascii="Times New Roman" w:eastAsia="宋体" w:hAnsi="Times New Roman" w:cs="宋体"/>
                <w:sz w:val="24"/>
                <w:szCs w:val="24"/>
              </w:rPr>
              <w:t>“</w:t>
            </w:r>
            <w:r>
              <w:rPr>
                <w:rFonts w:ascii="Times New Roman" w:eastAsia="宋体" w:hAnsi="Times New Roman" w:cs="宋体"/>
                <w:sz w:val="24"/>
                <w:szCs w:val="24"/>
              </w:rPr>
              <w:t>核心产品稳定、创新产品升级</w:t>
            </w:r>
            <w:r>
              <w:rPr>
                <w:rFonts w:ascii="Times New Roman" w:eastAsia="宋体" w:hAnsi="Times New Roman" w:cs="宋体"/>
                <w:sz w:val="24"/>
                <w:szCs w:val="24"/>
              </w:rPr>
              <w:t>”</w:t>
            </w:r>
            <w:r>
              <w:rPr>
                <w:rFonts w:ascii="Times New Roman" w:eastAsia="宋体" w:hAnsi="Times New Roman" w:cs="宋体"/>
                <w:sz w:val="24"/>
                <w:szCs w:val="24"/>
              </w:rPr>
              <w:t>战略，保持经典甜牛奶原有配方和高品质原料，同时增加生牛乳产品品类，持续开发多规格、多口味及功能性饮品，如健康概念类产品及高维生素水系列等，精准匹配不同消费场景和群体偏好。</w:t>
            </w:r>
            <w:r>
              <w:rPr>
                <w:rFonts w:ascii="Times New Roman" w:eastAsia="宋体" w:hAnsi="Times New Roman" w:cs="宋体"/>
                <w:sz w:val="24"/>
                <w:szCs w:val="24"/>
              </w:rPr>
              <w:t>3</w:t>
            </w:r>
            <w:r>
              <w:rPr>
                <w:rFonts w:ascii="Times New Roman" w:eastAsia="宋体" w:hAnsi="Times New Roman" w:cs="宋体"/>
                <w:sz w:val="24"/>
                <w:szCs w:val="24"/>
              </w:rPr>
              <w:t>、公司以</w:t>
            </w:r>
            <w:r>
              <w:rPr>
                <w:rFonts w:ascii="Times New Roman" w:eastAsia="宋体" w:hAnsi="Times New Roman" w:cs="宋体"/>
                <w:sz w:val="24"/>
                <w:szCs w:val="24"/>
              </w:rPr>
              <w:t>“</w:t>
            </w:r>
            <w:r>
              <w:rPr>
                <w:rFonts w:ascii="Times New Roman" w:eastAsia="宋体" w:hAnsi="Times New Roman" w:cs="宋体"/>
                <w:sz w:val="24"/>
                <w:szCs w:val="24"/>
              </w:rPr>
              <w:t>区域深耕、核心带动周边</w:t>
            </w:r>
            <w:r>
              <w:rPr>
                <w:rFonts w:ascii="Times New Roman" w:eastAsia="宋体" w:hAnsi="Times New Roman" w:cs="宋体"/>
                <w:sz w:val="24"/>
                <w:szCs w:val="24"/>
              </w:rPr>
              <w:t>”</w:t>
            </w:r>
            <w:r>
              <w:rPr>
                <w:rFonts w:ascii="Times New Roman" w:eastAsia="宋体" w:hAnsi="Times New Roman" w:cs="宋体"/>
                <w:sz w:val="24"/>
                <w:szCs w:val="24"/>
              </w:rPr>
              <w:t>的经销模式，建立覆盖全国大部分地区、渠道立体、运作稳定的营销网络，覆盖大型商超、连锁系统、批发部及学校、早餐店、单位食堂等特通渠道，并通过天猫、</w:t>
            </w:r>
            <w:r>
              <w:rPr>
                <w:rFonts w:ascii="Times New Roman" w:eastAsia="宋体" w:hAnsi="Times New Roman" w:cs="宋体"/>
                <w:sz w:val="24"/>
                <w:szCs w:val="24"/>
              </w:rPr>
              <w:lastRenderedPageBreak/>
              <w:t>京东、拼多多等平台精细化运营，直销收入持续增长。</w:t>
            </w:r>
            <w:r>
              <w:rPr>
                <w:rFonts w:ascii="Times New Roman" w:eastAsia="宋体" w:hAnsi="Times New Roman" w:cs="宋体"/>
                <w:sz w:val="24"/>
                <w:szCs w:val="24"/>
              </w:rPr>
              <w:t>4</w:t>
            </w:r>
            <w:r>
              <w:rPr>
                <w:rFonts w:ascii="Times New Roman" w:eastAsia="宋体" w:hAnsi="Times New Roman" w:cs="宋体"/>
                <w:sz w:val="24"/>
                <w:szCs w:val="24"/>
              </w:rPr>
              <w:t>、公司累计发布</w:t>
            </w:r>
            <w:r>
              <w:rPr>
                <w:rFonts w:ascii="Times New Roman" w:eastAsia="宋体" w:hAnsi="Times New Roman" w:cs="宋体" w:hint="eastAsia"/>
                <w:sz w:val="24"/>
                <w:szCs w:val="24"/>
              </w:rPr>
              <w:t>了</w:t>
            </w:r>
            <w:r>
              <w:rPr>
                <w:rFonts w:ascii="Times New Roman" w:eastAsia="宋体" w:hAnsi="Times New Roman" w:cs="宋体"/>
                <w:sz w:val="24"/>
                <w:szCs w:val="24"/>
              </w:rPr>
              <w:t>七项国家标准，截至</w:t>
            </w:r>
            <w:r>
              <w:rPr>
                <w:rFonts w:ascii="Times New Roman" w:eastAsia="宋体" w:hAnsi="Times New Roman" w:cs="宋体"/>
                <w:sz w:val="24"/>
                <w:szCs w:val="24"/>
              </w:rPr>
              <w:t>2026</w:t>
            </w:r>
            <w:r>
              <w:rPr>
                <w:rFonts w:ascii="Times New Roman" w:eastAsia="宋体" w:hAnsi="Times New Roman" w:cs="宋体"/>
                <w:sz w:val="24"/>
                <w:szCs w:val="24"/>
              </w:rPr>
              <w:t>年</w:t>
            </w:r>
            <w:r>
              <w:rPr>
                <w:rFonts w:ascii="Times New Roman" w:eastAsia="宋体" w:hAnsi="Times New Roman" w:cs="宋体"/>
                <w:sz w:val="24"/>
                <w:szCs w:val="24"/>
              </w:rPr>
              <w:t>6</w:t>
            </w:r>
            <w:r>
              <w:rPr>
                <w:rFonts w:ascii="Times New Roman" w:eastAsia="宋体" w:hAnsi="Times New Roman" w:cs="宋体"/>
                <w:sz w:val="24"/>
                <w:szCs w:val="24"/>
              </w:rPr>
              <w:t>月</w:t>
            </w:r>
            <w:r>
              <w:rPr>
                <w:rFonts w:ascii="Times New Roman" w:eastAsia="宋体" w:hAnsi="Times New Roman" w:cs="宋体"/>
                <w:sz w:val="24"/>
                <w:szCs w:val="24"/>
              </w:rPr>
              <w:t>30</w:t>
            </w:r>
            <w:r>
              <w:rPr>
                <w:rFonts w:ascii="Times New Roman" w:eastAsia="宋体" w:hAnsi="Times New Roman" w:cs="宋体"/>
                <w:sz w:val="24"/>
                <w:szCs w:val="24"/>
              </w:rPr>
              <w:t>日</w:t>
            </w:r>
            <w:r>
              <w:rPr>
                <w:rFonts w:ascii="Times New Roman" w:eastAsia="宋体" w:hAnsi="Times New Roman" w:cs="宋体" w:hint="eastAsia"/>
                <w:sz w:val="24"/>
                <w:szCs w:val="24"/>
              </w:rPr>
              <w:t>，</w:t>
            </w:r>
            <w:r>
              <w:rPr>
                <w:rFonts w:ascii="Times New Roman" w:eastAsia="宋体" w:hAnsi="Times New Roman" w:cs="宋体" w:hint="eastAsia"/>
                <w:sz w:val="24"/>
                <w:szCs w:val="24"/>
                <w:lang w:val="en-US"/>
              </w:rPr>
              <w:t>公司</w:t>
            </w:r>
            <w:r>
              <w:rPr>
                <w:rFonts w:ascii="Times New Roman" w:eastAsia="宋体" w:hAnsi="Times New Roman" w:cs="宋体"/>
                <w:sz w:val="24"/>
                <w:szCs w:val="24"/>
              </w:rPr>
              <w:t>共有有效专利</w:t>
            </w:r>
            <w:r>
              <w:rPr>
                <w:rFonts w:ascii="Times New Roman" w:eastAsia="宋体" w:hAnsi="Times New Roman" w:cs="宋体"/>
                <w:sz w:val="24"/>
                <w:szCs w:val="24"/>
              </w:rPr>
              <w:t>226</w:t>
            </w:r>
            <w:r>
              <w:rPr>
                <w:rFonts w:ascii="Times New Roman" w:eastAsia="宋体" w:hAnsi="Times New Roman" w:cs="宋体"/>
                <w:sz w:val="24"/>
                <w:szCs w:val="24"/>
              </w:rPr>
              <w:t>项、注册商标</w:t>
            </w:r>
            <w:r>
              <w:rPr>
                <w:rFonts w:ascii="Times New Roman" w:eastAsia="宋体" w:hAnsi="Times New Roman" w:cs="宋体"/>
                <w:sz w:val="24"/>
                <w:szCs w:val="24"/>
              </w:rPr>
              <w:t>492</w:t>
            </w:r>
            <w:r>
              <w:rPr>
                <w:rFonts w:ascii="Times New Roman" w:eastAsia="宋体" w:hAnsi="Times New Roman" w:cs="宋体"/>
                <w:sz w:val="24"/>
                <w:szCs w:val="24"/>
              </w:rPr>
              <w:t>个、著作权</w:t>
            </w:r>
            <w:r>
              <w:rPr>
                <w:rFonts w:ascii="Times New Roman" w:eastAsia="宋体" w:hAnsi="Times New Roman" w:cs="宋体"/>
                <w:sz w:val="24"/>
                <w:szCs w:val="24"/>
              </w:rPr>
              <w:t>99</w:t>
            </w:r>
            <w:r>
              <w:rPr>
                <w:rFonts w:ascii="Times New Roman" w:eastAsia="宋体" w:hAnsi="Times New Roman" w:cs="宋体"/>
                <w:sz w:val="24"/>
                <w:szCs w:val="24"/>
              </w:rPr>
              <w:t>项，</w:t>
            </w:r>
            <w:r>
              <w:rPr>
                <w:rFonts w:ascii="Times New Roman" w:eastAsia="宋体" w:hAnsi="Times New Roman" w:cs="宋体" w:hint="eastAsia"/>
                <w:sz w:val="24"/>
                <w:szCs w:val="24"/>
                <w:lang w:val="en-US"/>
              </w:rPr>
              <w:t>同时</w:t>
            </w:r>
            <w:r>
              <w:rPr>
                <w:rFonts w:ascii="Times New Roman" w:eastAsia="宋体" w:hAnsi="Times New Roman" w:cs="宋体"/>
                <w:sz w:val="24"/>
                <w:szCs w:val="24"/>
              </w:rPr>
              <w:t>通过智慧化工厂升级改造和新基地投产，</w:t>
            </w:r>
            <w:r>
              <w:rPr>
                <w:rFonts w:ascii="Times New Roman" w:eastAsia="宋体" w:hAnsi="Times New Roman" w:cs="宋体" w:hint="eastAsia"/>
                <w:sz w:val="24"/>
                <w:szCs w:val="24"/>
                <w:lang w:val="en-US"/>
              </w:rPr>
              <w:t>有效</w:t>
            </w:r>
            <w:r>
              <w:rPr>
                <w:rFonts w:ascii="Times New Roman" w:eastAsia="宋体" w:hAnsi="Times New Roman" w:cs="宋体"/>
                <w:sz w:val="24"/>
                <w:szCs w:val="24"/>
              </w:rPr>
              <w:t>提升</w:t>
            </w:r>
            <w:r>
              <w:rPr>
                <w:rFonts w:ascii="Times New Roman" w:eastAsia="宋体" w:hAnsi="Times New Roman" w:cs="宋体" w:hint="eastAsia"/>
                <w:sz w:val="24"/>
                <w:szCs w:val="24"/>
              </w:rPr>
              <w:t>了</w:t>
            </w:r>
            <w:r>
              <w:rPr>
                <w:rFonts w:ascii="Times New Roman" w:eastAsia="宋体" w:hAnsi="Times New Roman" w:cs="宋体"/>
                <w:sz w:val="24"/>
                <w:szCs w:val="24"/>
              </w:rPr>
              <w:t>产能利用率与供应效率。</w:t>
            </w:r>
            <w:r>
              <w:rPr>
                <w:rFonts w:ascii="Times New Roman" w:eastAsia="宋体" w:hAnsi="Times New Roman" w:cs="宋体" w:hint="eastAsia"/>
                <w:sz w:val="24"/>
                <w:szCs w:val="24"/>
              </w:rPr>
              <w:t>感谢您对公司的关注！</w:t>
            </w:r>
          </w:p>
          <w:p w14:paraId="5CF60497"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b/>
                <w:sz w:val="24"/>
                <w:szCs w:val="24"/>
              </w:rPr>
            </w:pPr>
            <w:r>
              <w:rPr>
                <w:rFonts w:ascii="Times New Roman" w:eastAsiaTheme="minorEastAsia" w:hAnsi="Times New Roman" w:cs="Times New Roman"/>
                <w:b/>
                <w:sz w:val="24"/>
                <w:szCs w:val="24"/>
              </w:rPr>
              <w:t>Q8</w:t>
            </w:r>
            <w:r>
              <w:rPr>
                <w:rFonts w:ascii="Times New Roman" w:eastAsiaTheme="minorEastAsia" w:hAnsi="Times New Roman" w:cs="Times New Roman"/>
                <w:b/>
                <w:sz w:val="24"/>
                <w:szCs w:val="24"/>
              </w:rPr>
              <w:t>、</w:t>
            </w:r>
            <w:r>
              <w:rPr>
                <w:rFonts w:asciiTheme="minorEastAsia" w:eastAsiaTheme="minorEastAsia" w:hAnsiTheme="minorEastAsia" w:cs="宋体"/>
                <w:b/>
                <w:sz w:val="24"/>
                <w:szCs w:val="24"/>
              </w:rPr>
              <w:t>有没有计划开拓更多一二线城市市场，推进难度大吗？</w:t>
            </w:r>
          </w:p>
          <w:p w14:paraId="28233BD9" w14:textId="140057AE"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sz w:val="24"/>
                <w:szCs w:val="24"/>
              </w:rPr>
            </w:pPr>
            <w:r>
              <w:rPr>
                <w:rFonts w:ascii="Times New Roman" w:eastAsiaTheme="minorEastAsia" w:hAnsi="Times New Roman" w:cs="Times New Roman"/>
                <w:sz w:val="24"/>
                <w:szCs w:val="24"/>
              </w:rPr>
              <w:t>A8</w:t>
            </w:r>
            <w:r>
              <w:rPr>
                <w:rFonts w:ascii="Times New Roman" w:eastAsiaTheme="minorEastAsia" w:hAnsi="Times New Roman" w:cs="Times New Roman"/>
                <w:sz w:val="24"/>
                <w:szCs w:val="24"/>
              </w:rPr>
              <w:t>：</w:t>
            </w:r>
            <w:r>
              <w:rPr>
                <w:rFonts w:asciiTheme="minorEastAsia" w:eastAsiaTheme="minorEastAsia" w:hAnsiTheme="minorEastAsia" w:cs="宋体"/>
                <w:sz w:val="24"/>
                <w:szCs w:val="24"/>
              </w:rPr>
              <w:t>尊敬的投资者，您好！公司始终重视全国化市场布局，一二线城市作为消费升级的重要市场，公司一直保持关注和积极跟进。渠道拓展方面公司有积极拓展电商平台、零食量贩系统、餐饮渠道、早餐、团餐等新兴渠道，并针对不同渠道开发多规格产品。全国化拓展是公司的长期战略方向，公司会根据市场情况和自身节奏有序推进，具体进展请关注公司后续定期报告。感谢您对公司的关注</w:t>
            </w:r>
            <w:r w:rsidR="00685E91">
              <w:rPr>
                <w:rFonts w:asciiTheme="minorEastAsia" w:eastAsiaTheme="minorEastAsia" w:hAnsiTheme="minorEastAsia" w:cs="宋体" w:hint="eastAsia"/>
                <w:sz w:val="24"/>
                <w:szCs w:val="24"/>
              </w:rPr>
              <w:t>！</w:t>
            </w:r>
          </w:p>
          <w:p w14:paraId="2682CEA1" w14:textId="77777777" w:rsidR="00847987" w:rsidRDefault="00000000">
            <w:pPr>
              <w:pStyle w:val="TableParagraph"/>
              <w:spacing w:line="360" w:lineRule="auto"/>
              <w:ind w:rightChars="50" w:right="110" w:firstLineChars="200" w:firstLine="482"/>
              <w:jc w:val="both"/>
              <w:rPr>
                <w:rFonts w:asciiTheme="minorEastAsia" w:eastAsiaTheme="minorEastAsia" w:hAnsiTheme="minorEastAsia" w:cs="宋体" w:hint="eastAsia"/>
                <w:b/>
                <w:sz w:val="24"/>
                <w:szCs w:val="24"/>
              </w:rPr>
            </w:pPr>
            <w:r>
              <w:rPr>
                <w:rFonts w:ascii="Times New Roman" w:eastAsiaTheme="minorEastAsia" w:hAnsi="Times New Roman" w:cs="Times New Roman"/>
                <w:b/>
                <w:sz w:val="24"/>
                <w:szCs w:val="24"/>
              </w:rPr>
              <w:t>Q9</w:t>
            </w:r>
            <w:r>
              <w:rPr>
                <w:rFonts w:ascii="Times New Roman" w:eastAsiaTheme="minorEastAsia" w:hAnsi="Times New Roman" w:cs="Times New Roman"/>
                <w:b/>
                <w:sz w:val="24"/>
                <w:szCs w:val="24"/>
              </w:rPr>
              <w:t>、</w:t>
            </w:r>
            <w:r>
              <w:rPr>
                <w:rFonts w:asciiTheme="minorEastAsia" w:eastAsiaTheme="minorEastAsia" w:hAnsiTheme="minorEastAsia" w:cs="宋体"/>
                <w:b/>
                <w:sz w:val="24"/>
                <w:szCs w:val="24"/>
              </w:rPr>
              <w:t>直销渠道去年上半年同比增长超过20%，能否分享一下直销渠道主要来自哪些客户类型或平台？</w:t>
            </w:r>
          </w:p>
          <w:p w14:paraId="65B3062F" w14:textId="77777777"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sz w:val="24"/>
                <w:szCs w:val="24"/>
              </w:rPr>
            </w:pPr>
            <w:r>
              <w:rPr>
                <w:rFonts w:ascii="Times New Roman" w:eastAsiaTheme="minorEastAsia" w:hAnsi="Times New Roman" w:cs="Times New Roman"/>
                <w:sz w:val="24"/>
                <w:szCs w:val="24"/>
              </w:rPr>
              <w:t>A9</w:t>
            </w:r>
            <w:r>
              <w:rPr>
                <w:rFonts w:ascii="Times New Roman" w:eastAsiaTheme="minorEastAsia" w:hAnsi="Times New Roman" w:cs="Times New Roman"/>
                <w:sz w:val="24"/>
                <w:szCs w:val="24"/>
              </w:rPr>
              <w:t>：</w:t>
            </w:r>
            <w:r>
              <w:rPr>
                <w:rFonts w:asciiTheme="minorEastAsia" w:eastAsiaTheme="minorEastAsia" w:hAnsiTheme="minorEastAsia" w:cs="宋体"/>
                <w:sz w:val="24"/>
                <w:szCs w:val="24"/>
              </w:rPr>
              <w:t>尊敬的投资者，您好！公司在渠道策略上根据不同渠道的消费特点，推出多规格产品组合，实现了不同销售渠道之间的产品互补与协同发展，提升了产品在多场景消费环境中的适配能力。同时，公司已经完成电商团队的重新搭建和架构优化，目前重点在发展兴趣电商和直播业务，持续推动线上线下联动。公司今后将继续深化多渠道协同发展策略。感谢您对公司的关注！</w:t>
            </w:r>
          </w:p>
          <w:p w14:paraId="055249BA" w14:textId="77777777" w:rsidR="00847987" w:rsidRDefault="00000000">
            <w:pPr>
              <w:pStyle w:val="TableParagraph"/>
              <w:spacing w:line="360" w:lineRule="auto"/>
              <w:ind w:rightChars="50" w:right="110" w:firstLineChars="200" w:firstLine="482"/>
              <w:jc w:val="both"/>
              <w:rPr>
                <w:rFonts w:ascii="Times New Roman" w:eastAsia="宋体" w:hAnsi="Times New Roman" w:cs="宋体"/>
                <w:sz w:val="24"/>
                <w:szCs w:val="24"/>
              </w:rPr>
            </w:pPr>
            <w:r>
              <w:rPr>
                <w:rFonts w:ascii="Times New Roman" w:eastAsiaTheme="minorEastAsia" w:hAnsi="Times New Roman" w:cs="Times New Roman"/>
                <w:b/>
                <w:sz w:val="24"/>
                <w:szCs w:val="24"/>
              </w:rPr>
              <w:t>Q10</w:t>
            </w:r>
            <w:r>
              <w:rPr>
                <w:rFonts w:ascii="Times New Roman" w:eastAsiaTheme="minorEastAsia" w:hAnsi="Times New Roman" w:cs="Times New Roman"/>
                <w:b/>
                <w:sz w:val="24"/>
                <w:szCs w:val="24"/>
              </w:rPr>
              <w:t>、</w:t>
            </w:r>
            <w:r>
              <w:rPr>
                <w:rFonts w:asciiTheme="minorEastAsia" w:eastAsiaTheme="minorEastAsia" w:hAnsiTheme="minorEastAsia" w:cs="宋体"/>
                <w:b/>
                <w:sz w:val="24"/>
                <w:szCs w:val="24"/>
              </w:rPr>
              <w:t>公司提到已进入奶粉市场，是基于怎样的考量？目前这一业务与公司原有乳饮料业务如何协同？</w:t>
            </w:r>
            <w:r>
              <w:rPr>
                <w:rFonts w:asciiTheme="minorEastAsia" w:eastAsiaTheme="minorEastAsia" w:hAnsiTheme="minorEastAsia" w:cs="宋体"/>
                <w:b/>
                <w:sz w:val="24"/>
                <w:szCs w:val="24"/>
              </w:rPr>
              <w:br/>
            </w:r>
            <w:r>
              <w:rPr>
                <w:rFonts w:asciiTheme="minorEastAsia" w:eastAsiaTheme="minorEastAsia" w:hAnsiTheme="minorEastAsia" w:cs="宋体"/>
                <w:sz w:val="24"/>
                <w:szCs w:val="24"/>
              </w:rPr>
              <w:t xml:space="preserve">   </w:t>
            </w:r>
            <w:r>
              <w:rPr>
                <w:rFonts w:ascii="Times New Roman" w:eastAsiaTheme="minorEastAsia" w:hAnsi="Times New Roman" w:cs="Times New Roman"/>
                <w:sz w:val="24"/>
                <w:szCs w:val="24"/>
              </w:rPr>
              <w:t>A10</w:t>
            </w:r>
            <w:r>
              <w:rPr>
                <w:rFonts w:ascii="Times New Roman" w:eastAsiaTheme="minorEastAsia" w:hAnsi="Times New Roman" w:cs="Times New Roman"/>
                <w:sz w:val="24"/>
                <w:szCs w:val="24"/>
              </w:rPr>
              <w:t>：</w:t>
            </w:r>
            <w:r>
              <w:rPr>
                <w:rFonts w:ascii="Times New Roman" w:eastAsia="宋体" w:hAnsi="Times New Roman" w:cs="宋体"/>
                <w:sz w:val="24"/>
                <w:szCs w:val="24"/>
              </w:rPr>
              <w:t>尊敬的投资者，您好！公司投资建设</w:t>
            </w:r>
            <w:r>
              <w:rPr>
                <w:rFonts w:ascii="Times New Roman" w:eastAsia="宋体" w:hAnsi="Times New Roman" w:cs="宋体" w:hint="eastAsia"/>
                <w:sz w:val="24"/>
                <w:szCs w:val="24"/>
              </w:rPr>
              <w:t>“</w:t>
            </w:r>
            <w:r>
              <w:rPr>
                <w:rFonts w:ascii="Times New Roman" w:eastAsia="宋体" w:hAnsi="Times New Roman" w:cs="宋体"/>
                <w:sz w:val="24"/>
                <w:szCs w:val="24"/>
              </w:rPr>
              <w:t>李子园日处理</w:t>
            </w:r>
            <w:r>
              <w:rPr>
                <w:rFonts w:ascii="Times New Roman" w:eastAsia="宋体" w:hAnsi="Times New Roman" w:cs="宋体"/>
                <w:sz w:val="24"/>
                <w:szCs w:val="24"/>
              </w:rPr>
              <w:t>1000</w:t>
            </w:r>
            <w:r>
              <w:rPr>
                <w:rFonts w:ascii="Times New Roman" w:eastAsia="宋体" w:hAnsi="Times New Roman" w:cs="宋体"/>
                <w:sz w:val="24"/>
                <w:szCs w:val="24"/>
              </w:rPr>
              <w:t>吨生乳深加工项目</w:t>
            </w:r>
            <w:r>
              <w:rPr>
                <w:rFonts w:ascii="Times New Roman" w:eastAsia="宋体" w:hAnsi="Times New Roman" w:cs="宋体" w:hint="eastAsia"/>
                <w:sz w:val="24"/>
                <w:szCs w:val="24"/>
              </w:rPr>
              <w:t>”</w:t>
            </w:r>
            <w:r>
              <w:rPr>
                <w:rFonts w:ascii="Times New Roman" w:eastAsia="宋体" w:hAnsi="Times New Roman" w:cs="宋体"/>
                <w:sz w:val="24"/>
                <w:szCs w:val="24"/>
              </w:rPr>
              <w:t>，是基于对行业发展趋势的审慎研判，并结合了公司在原材料成本控制方面的需求。奶粉是公司产品的主要原材料之一，奶源的供应保障、质量与安全</w:t>
            </w:r>
            <w:r>
              <w:rPr>
                <w:rFonts w:ascii="Times New Roman" w:eastAsia="宋体" w:hAnsi="Times New Roman" w:cs="宋体"/>
                <w:sz w:val="24"/>
                <w:szCs w:val="24"/>
              </w:rPr>
              <w:lastRenderedPageBreak/>
              <w:t>同公司产品质量和产业发展息息相关。在业务协同方面，该项目与公司原有含乳饮料业务紧密衔接：一方面，项目旨在保障原材料供应的稳定，同时推动公司从传统含乳饮料生产向高附加值的乳制品深加工领域延伸，实现产品结构优化升级；另一方面，在原材料加工环节，公司将充分利用现有成熟的生产管理体系和资源，实现供应链、渠道等方面的共享与协同，通过优化库存管理和供应链精益化运营，降低运营成本，进一步提升整体经营效率与市场竞争力。</w:t>
            </w:r>
            <w:r>
              <w:rPr>
                <w:rFonts w:ascii="Times New Roman" w:eastAsia="宋体" w:hAnsi="Times New Roman" w:cs="宋体" w:hint="eastAsia"/>
                <w:sz w:val="24"/>
                <w:szCs w:val="24"/>
              </w:rPr>
              <w:t>感谢您对公司的关注！</w:t>
            </w:r>
          </w:p>
          <w:p w14:paraId="5188BDCD" w14:textId="77777777" w:rsidR="00847987" w:rsidRDefault="00000000">
            <w:pPr>
              <w:pStyle w:val="TableParagraph"/>
              <w:spacing w:line="360" w:lineRule="auto"/>
              <w:ind w:rightChars="50" w:right="110" w:firstLineChars="200" w:firstLine="482"/>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Q1</w:t>
            </w:r>
            <w:r>
              <w:rPr>
                <w:rFonts w:ascii="Times New Roman" w:eastAsiaTheme="minorEastAsia" w:hAnsi="Times New Roman" w:cs="Times New Roman" w:hint="eastAsia"/>
                <w:b/>
                <w:sz w:val="24"/>
                <w:szCs w:val="24"/>
              </w:rPr>
              <w:t>1</w:t>
            </w:r>
            <w:r>
              <w:rPr>
                <w:rFonts w:ascii="Times New Roman" w:eastAsiaTheme="minorEastAsia" w:hAnsi="Times New Roman" w:cs="Times New Roman" w:hint="eastAsia"/>
                <w:b/>
                <w:sz w:val="24"/>
                <w:szCs w:val="24"/>
              </w:rPr>
              <w:t>、维生素水和电解质饮料等新品在哪些区域或渠道的接受度相对更高？这些市场反馈对后续产品调整有何参考价值？</w:t>
            </w:r>
          </w:p>
          <w:p w14:paraId="05E64F06" w14:textId="77777777" w:rsidR="00847987" w:rsidRDefault="00000000">
            <w:pPr>
              <w:pStyle w:val="TableParagraph"/>
              <w:spacing w:line="360" w:lineRule="auto"/>
              <w:ind w:rightChars="50" w:right="110" w:firstLineChars="200" w:firstLine="480"/>
              <w:jc w:val="both"/>
              <w:rPr>
                <w:rFonts w:ascii="Times New Roman" w:eastAsiaTheme="minorEastAsia" w:hAnsi="Times New Roman" w:cs="Times New Roman"/>
                <w:b/>
                <w:sz w:val="24"/>
                <w:szCs w:val="24"/>
              </w:rPr>
            </w:pPr>
            <w:r>
              <w:rPr>
                <w:rFonts w:ascii="Times New Roman" w:eastAsia="宋体" w:hAnsi="Times New Roman" w:cs="宋体" w:hint="eastAsia"/>
                <w:sz w:val="24"/>
                <w:szCs w:val="24"/>
              </w:rPr>
              <w:t>A11:</w:t>
            </w:r>
            <w:r>
              <w:rPr>
                <w:rFonts w:ascii="Times New Roman" w:eastAsia="宋体" w:hAnsi="Times New Roman" w:cs="宋体" w:hint="eastAsia"/>
                <w:sz w:val="24"/>
                <w:szCs w:val="24"/>
              </w:rPr>
              <w:t>尊敬的投资者，您好！维生素水在线下渠道接受度更高，电解质水在电商渠道表现会更好。公司推出的电解质水布局了“电解质</w:t>
            </w:r>
            <w:r>
              <w:rPr>
                <w:rFonts w:ascii="Times New Roman" w:eastAsia="宋体" w:hAnsi="Times New Roman" w:cs="宋体" w:hint="eastAsia"/>
                <w:sz w:val="24"/>
                <w:szCs w:val="24"/>
              </w:rPr>
              <w:t>+</w:t>
            </w:r>
            <w:r>
              <w:rPr>
                <w:rFonts w:ascii="Times New Roman" w:eastAsia="宋体" w:hAnsi="Times New Roman" w:cs="宋体" w:hint="eastAsia"/>
                <w:sz w:val="24"/>
                <w:szCs w:val="24"/>
              </w:rPr>
              <w:t>钙”“双倍电解质”“电解质</w:t>
            </w:r>
            <w:r>
              <w:rPr>
                <w:rFonts w:ascii="Times New Roman" w:eastAsia="宋体" w:hAnsi="Times New Roman" w:cs="宋体" w:hint="eastAsia"/>
                <w:sz w:val="24"/>
                <w:szCs w:val="24"/>
              </w:rPr>
              <w:t>+</w:t>
            </w:r>
            <w:r>
              <w:rPr>
                <w:rFonts w:ascii="Times New Roman" w:eastAsia="宋体" w:hAnsi="Times New Roman" w:cs="宋体" w:hint="eastAsia"/>
                <w:sz w:val="24"/>
                <w:szCs w:val="24"/>
              </w:rPr>
              <w:t>氨糖”三大系列，分别定位了不同细分场景。这些市场反馈将我们作为产品研发迭代的重要参考，公司也会持续围绕健康化功能化趋势优化产品矩阵。感谢您对公司的关注！</w:t>
            </w:r>
          </w:p>
          <w:p w14:paraId="6F723BB8" w14:textId="77777777" w:rsidR="00847987" w:rsidRDefault="00000000">
            <w:pPr>
              <w:pStyle w:val="TableParagraph"/>
              <w:spacing w:line="360" w:lineRule="auto"/>
              <w:ind w:rightChars="50" w:right="110" w:firstLineChars="200" w:firstLine="482"/>
              <w:jc w:val="both"/>
              <w:rPr>
                <w:rFonts w:ascii="Times New Roman" w:eastAsiaTheme="minorEastAsia" w:hAnsi="Times New Roman" w:cs="Times New Roman"/>
                <w:b/>
                <w:sz w:val="24"/>
                <w:szCs w:val="24"/>
              </w:rPr>
            </w:pPr>
            <w:r>
              <w:rPr>
                <w:rFonts w:ascii="Times New Roman" w:eastAsiaTheme="minorEastAsia" w:hAnsi="Times New Roman" w:cs="Times New Roman" w:hint="eastAsia"/>
                <w:b/>
                <w:sz w:val="24"/>
                <w:szCs w:val="24"/>
              </w:rPr>
              <w:t>Q12</w:t>
            </w:r>
            <w:r>
              <w:rPr>
                <w:rFonts w:ascii="Times New Roman" w:eastAsiaTheme="minorEastAsia" w:hAnsi="Times New Roman" w:cs="Times New Roman" w:hint="eastAsia"/>
                <w:b/>
                <w:sz w:val="24"/>
                <w:szCs w:val="24"/>
              </w:rPr>
              <w:t>、宁夏生产基地一期计划今年投产，该基地主要覆盖哪些区域市场？在物流效率上会有哪些提升？</w:t>
            </w:r>
          </w:p>
          <w:p w14:paraId="0C69F7EF" w14:textId="77777777" w:rsidR="00847987" w:rsidRDefault="00000000">
            <w:pPr>
              <w:pStyle w:val="TableParagraph"/>
              <w:spacing w:line="360" w:lineRule="auto"/>
              <w:ind w:rightChars="50" w:right="110"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A12:</w:t>
            </w:r>
            <w:r>
              <w:rPr>
                <w:rFonts w:ascii="Times New Roman" w:eastAsia="宋体" w:hAnsi="Times New Roman" w:cs="宋体" w:hint="eastAsia"/>
                <w:sz w:val="24"/>
                <w:szCs w:val="24"/>
              </w:rPr>
              <w:t>尊敬的投资者，您好！宁夏生产基地一期已于</w:t>
            </w:r>
            <w:r>
              <w:rPr>
                <w:rFonts w:ascii="Times New Roman" w:eastAsia="宋体" w:hAnsi="Times New Roman" w:cs="宋体" w:hint="eastAsia"/>
                <w:sz w:val="24"/>
                <w:szCs w:val="24"/>
              </w:rPr>
              <w:t>2026</w:t>
            </w:r>
            <w:r>
              <w:rPr>
                <w:rFonts w:ascii="Times New Roman" w:eastAsia="宋体" w:hAnsi="Times New Roman" w:cs="宋体" w:hint="eastAsia"/>
                <w:sz w:val="24"/>
                <w:szCs w:val="24"/>
              </w:rPr>
              <w:t>年</w:t>
            </w:r>
            <w:r>
              <w:rPr>
                <w:rFonts w:ascii="Times New Roman" w:eastAsia="宋体" w:hAnsi="Times New Roman" w:cs="宋体" w:hint="eastAsia"/>
                <w:sz w:val="24"/>
                <w:szCs w:val="24"/>
              </w:rPr>
              <w:t>7</w:t>
            </w:r>
            <w:r>
              <w:rPr>
                <w:rFonts w:ascii="Times New Roman" w:eastAsia="宋体" w:hAnsi="Times New Roman" w:cs="宋体" w:hint="eastAsia"/>
                <w:sz w:val="24"/>
                <w:szCs w:val="24"/>
              </w:rPr>
              <w:t>月正式投产。该基地立足于西北、联动全国，是补齐西北市场布局的核心支点，与公司其他生产基地形成互补。在物流效率方面，我们依托宁夏黄金奶源带优势可降低生乳采购与跨区域物流成本，缩短了供应链半径，更好地提升市场响应速度。感谢您对公司的关注！</w:t>
            </w:r>
          </w:p>
          <w:p w14:paraId="5859497D" w14:textId="77777777" w:rsidR="00847987" w:rsidRDefault="00000000">
            <w:pPr>
              <w:pStyle w:val="TableParagraph"/>
              <w:spacing w:line="360" w:lineRule="auto"/>
              <w:ind w:rightChars="50" w:right="110" w:firstLineChars="200" w:firstLine="482"/>
              <w:jc w:val="both"/>
              <w:rPr>
                <w:rFonts w:ascii="Times New Roman" w:eastAsiaTheme="minorEastAsia" w:hAnsi="Times New Roman" w:cs="Times New Roman"/>
                <w:b/>
                <w:sz w:val="24"/>
                <w:szCs w:val="24"/>
              </w:rPr>
            </w:pPr>
            <w:r>
              <w:rPr>
                <w:rFonts w:ascii="Times New Roman" w:eastAsiaTheme="minorEastAsia" w:hAnsi="Times New Roman" w:cs="Times New Roman" w:hint="eastAsia"/>
                <w:b/>
                <w:sz w:val="24"/>
                <w:szCs w:val="24"/>
              </w:rPr>
              <w:t>Q13</w:t>
            </w:r>
            <w:r>
              <w:rPr>
                <w:rFonts w:ascii="Times New Roman" w:eastAsiaTheme="minorEastAsia" w:hAnsi="Times New Roman" w:cs="Times New Roman" w:hint="eastAsia"/>
                <w:b/>
                <w:sz w:val="24"/>
                <w:szCs w:val="24"/>
              </w:rPr>
              <w:t>、募投项目进度如何，产能释放之后销路能否跟得上？</w:t>
            </w:r>
          </w:p>
          <w:p w14:paraId="74652D0E" w14:textId="77777777" w:rsidR="00847987" w:rsidRDefault="00000000">
            <w:pPr>
              <w:pStyle w:val="TableParagraph"/>
              <w:spacing w:line="360" w:lineRule="auto"/>
              <w:ind w:rightChars="50" w:right="110" w:firstLineChars="200" w:firstLine="480"/>
              <w:jc w:val="both"/>
              <w:rPr>
                <w:rFonts w:ascii="Times New Roman" w:eastAsia="宋体" w:hAnsi="Times New Roman" w:cs="宋体"/>
                <w:sz w:val="24"/>
                <w:szCs w:val="24"/>
              </w:rPr>
            </w:pPr>
            <w:r>
              <w:rPr>
                <w:rFonts w:ascii="Times New Roman" w:eastAsia="宋体" w:hAnsi="Times New Roman" w:cs="宋体" w:hint="eastAsia"/>
                <w:sz w:val="24"/>
                <w:szCs w:val="24"/>
              </w:rPr>
              <w:t>A13:</w:t>
            </w:r>
            <w:r>
              <w:rPr>
                <w:rFonts w:ascii="Times New Roman" w:eastAsia="宋体" w:hAnsi="Times New Roman" w:cs="宋体" w:hint="eastAsia"/>
                <w:sz w:val="24"/>
                <w:szCs w:val="24"/>
              </w:rPr>
              <w:t>尊敬的投资者，您好！关于募投项目进展，宁夏“李</w:t>
            </w:r>
            <w:r>
              <w:rPr>
                <w:rFonts w:ascii="Times New Roman" w:eastAsia="宋体" w:hAnsi="Times New Roman" w:cs="宋体" w:hint="eastAsia"/>
                <w:sz w:val="24"/>
                <w:szCs w:val="24"/>
              </w:rPr>
              <w:lastRenderedPageBreak/>
              <w:t>子园日处理</w:t>
            </w:r>
            <w:r>
              <w:rPr>
                <w:rFonts w:ascii="Times New Roman" w:eastAsia="宋体" w:hAnsi="Times New Roman" w:cs="宋体" w:hint="eastAsia"/>
                <w:sz w:val="24"/>
                <w:szCs w:val="24"/>
              </w:rPr>
              <w:t>1000</w:t>
            </w:r>
            <w:r>
              <w:rPr>
                <w:rFonts w:ascii="Times New Roman" w:eastAsia="宋体" w:hAnsi="Times New Roman" w:cs="宋体" w:hint="eastAsia"/>
                <w:sz w:val="24"/>
                <w:szCs w:val="24"/>
              </w:rPr>
              <w:t>吨生乳深加工项目（一期）”已于</w:t>
            </w:r>
            <w:r>
              <w:rPr>
                <w:rFonts w:ascii="Times New Roman" w:eastAsia="宋体" w:hAnsi="Times New Roman" w:cs="宋体" w:hint="eastAsia"/>
                <w:sz w:val="24"/>
                <w:szCs w:val="24"/>
              </w:rPr>
              <w:t>2026</w:t>
            </w:r>
            <w:r>
              <w:rPr>
                <w:rFonts w:ascii="Times New Roman" w:eastAsia="宋体" w:hAnsi="Times New Roman" w:cs="宋体" w:hint="eastAsia"/>
                <w:sz w:val="24"/>
                <w:szCs w:val="24"/>
              </w:rPr>
              <w:t>年</w:t>
            </w:r>
            <w:r>
              <w:rPr>
                <w:rFonts w:ascii="Times New Roman" w:eastAsia="宋体" w:hAnsi="Times New Roman" w:cs="宋体" w:hint="eastAsia"/>
                <w:sz w:val="24"/>
                <w:szCs w:val="24"/>
              </w:rPr>
              <w:t>7</w:t>
            </w:r>
            <w:r>
              <w:rPr>
                <w:rFonts w:ascii="Times New Roman" w:eastAsia="宋体" w:hAnsi="Times New Roman" w:cs="宋体" w:hint="eastAsia"/>
                <w:sz w:val="24"/>
                <w:szCs w:val="24"/>
              </w:rPr>
              <w:t>月投产，二期正有序推进，主要用于保障奶粉原料稳定供应，同时进一步延伸并完善奶酪、黄油等产品的生产链条，助力产品结构多元化升级。年产</w:t>
            </w:r>
            <w:r>
              <w:rPr>
                <w:rFonts w:ascii="Times New Roman" w:eastAsia="宋体" w:hAnsi="Times New Roman" w:cs="宋体" w:hint="eastAsia"/>
                <w:sz w:val="24"/>
                <w:szCs w:val="24"/>
              </w:rPr>
              <w:t>15</w:t>
            </w:r>
            <w:r>
              <w:rPr>
                <w:rFonts w:ascii="Times New Roman" w:eastAsia="宋体" w:hAnsi="Times New Roman" w:cs="宋体" w:hint="eastAsia"/>
                <w:sz w:val="24"/>
                <w:szCs w:val="24"/>
              </w:rPr>
              <w:t>万吨含乳饮料扩产技改项目土建基本完成，剩余募集资金拟永久补流，相关程序正在履行中。产能方面，公司五大生产基地可柔性调配满足生产需求，在渠道端，公司正积极开拓电商、零食量贩、餐饮等新兴渠道。具体情况请关注公司定期报告及相关公告。感谢您对公司的关注！</w:t>
            </w:r>
          </w:p>
          <w:p w14:paraId="687E5A75" w14:textId="77777777" w:rsidR="00847987" w:rsidRDefault="00000000">
            <w:pPr>
              <w:pStyle w:val="TableParagraph"/>
              <w:spacing w:line="360" w:lineRule="auto"/>
              <w:ind w:rightChars="50" w:right="110" w:firstLineChars="200" w:firstLine="482"/>
              <w:jc w:val="both"/>
              <w:rPr>
                <w:rFonts w:ascii="Times New Roman" w:eastAsiaTheme="minorEastAsia" w:hAnsi="Times New Roman" w:cs="Times New Roman"/>
                <w:b/>
                <w:sz w:val="24"/>
                <w:szCs w:val="24"/>
              </w:rPr>
            </w:pPr>
            <w:r>
              <w:rPr>
                <w:rFonts w:ascii="Times New Roman" w:eastAsiaTheme="minorEastAsia" w:hAnsi="Times New Roman" w:cs="Times New Roman" w:hint="eastAsia"/>
                <w:b/>
                <w:sz w:val="24"/>
                <w:szCs w:val="24"/>
              </w:rPr>
              <w:t>Q14</w:t>
            </w:r>
            <w:r>
              <w:rPr>
                <w:rFonts w:ascii="Times New Roman" w:eastAsiaTheme="minorEastAsia" w:hAnsi="Times New Roman" w:cs="Times New Roman" w:hint="eastAsia"/>
                <w:b/>
                <w:sz w:val="24"/>
                <w:szCs w:val="24"/>
              </w:rPr>
              <w:t>、对下半年消费环境怎么看，公司下半年经营有什么预期？</w:t>
            </w:r>
          </w:p>
          <w:p w14:paraId="3745579C" w14:textId="77777777" w:rsidR="00847987" w:rsidRDefault="00000000">
            <w:pPr>
              <w:pStyle w:val="TableParagraph"/>
              <w:spacing w:line="360" w:lineRule="auto"/>
              <w:ind w:rightChars="50" w:right="110" w:firstLineChars="200" w:firstLine="480"/>
              <w:jc w:val="both"/>
              <w:rPr>
                <w:rFonts w:asciiTheme="minorEastAsia" w:eastAsiaTheme="minorEastAsia" w:hAnsiTheme="minorEastAsia" w:cs="宋体" w:hint="eastAsia"/>
                <w:sz w:val="24"/>
                <w:szCs w:val="24"/>
              </w:rPr>
            </w:pPr>
            <w:r>
              <w:rPr>
                <w:rFonts w:ascii="Times New Roman" w:eastAsia="宋体" w:hAnsi="Times New Roman" w:cs="宋体" w:hint="eastAsia"/>
                <w:sz w:val="24"/>
                <w:szCs w:val="24"/>
              </w:rPr>
              <w:t>Q14:</w:t>
            </w:r>
            <w:r>
              <w:rPr>
                <w:rFonts w:ascii="Times New Roman" w:eastAsia="宋体" w:hAnsi="Times New Roman" w:cs="宋体" w:hint="eastAsia"/>
                <w:sz w:val="24"/>
                <w:szCs w:val="24"/>
              </w:rPr>
              <w:t>尊敬的投资者，您好！我们坚信下半年在国家大力促消费、惠民生的政策支持下，含乳饮料行业将会保持稳步增长。展望下半年，公司将持续推进产品创新与品类拓展，围绕低糖、低脂、功能化等消费趋势，推出维生素水、电解质饮料等水替类产品，并把握健康化、情绪消费等趋势优化产品结构；同时深化渠道建设，在巩固传统商超与流通渠道优势的基础上，积极拓展零食量贩、电商平台及新兴消费渠道，推动多渠道协同发展。公司管理层将持续关注内外部环境变化，动态优化质量管控体系，推进产品多元化战略，深化供应链韧性建设，以积极审慎的态度应对挑战，努力保障公司长期稳健可持续发展。感谢您对公司的关注！</w:t>
            </w:r>
          </w:p>
        </w:tc>
      </w:tr>
      <w:tr w:rsidR="00847987" w14:paraId="2DFBA323" w14:textId="77777777">
        <w:trPr>
          <w:trHeight w:val="958"/>
          <w:jc w:val="center"/>
        </w:trPr>
        <w:tc>
          <w:tcPr>
            <w:tcW w:w="2972" w:type="dxa"/>
            <w:vAlign w:val="center"/>
          </w:tcPr>
          <w:p w14:paraId="59DEA567" w14:textId="77777777" w:rsidR="00847987" w:rsidRDefault="00000000">
            <w:pPr>
              <w:pStyle w:val="TableParagraph"/>
              <w:spacing w:before="1"/>
              <w:ind w:left="107"/>
              <w:jc w:val="both"/>
              <w:rPr>
                <w:rFonts w:ascii="宋体" w:eastAsia="宋体" w:hAnsi="宋体" w:cs="宋体" w:hint="eastAsia"/>
                <w:b/>
                <w:bCs/>
                <w:sz w:val="20"/>
                <w:szCs w:val="20"/>
              </w:rPr>
            </w:pPr>
            <w:r>
              <w:rPr>
                <w:rFonts w:asciiTheme="minorEastAsia" w:eastAsiaTheme="minorEastAsia" w:hAnsiTheme="minorEastAsia" w:cs="宋体" w:hint="eastAsia"/>
                <w:b/>
                <w:bCs/>
                <w:sz w:val="24"/>
                <w:szCs w:val="24"/>
              </w:rPr>
              <w:lastRenderedPageBreak/>
              <w:t>关于本次活动是否涉及应披露重大信息的说明</w:t>
            </w:r>
          </w:p>
        </w:tc>
        <w:tc>
          <w:tcPr>
            <w:tcW w:w="6384" w:type="dxa"/>
            <w:vAlign w:val="center"/>
          </w:tcPr>
          <w:p w14:paraId="5602EB8D" w14:textId="77777777" w:rsidR="00847987" w:rsidRDefault="00000000">
            <w:pPr>
              <w:pStyle w:val="TableParagraph"/>
              <w:spacing w:before="100" w:beforeAutospacing="1" w:line="360" w:lineRule="auto"/>
              <w:rPr>
                <w:rFonts w:ascii="宋体" w:eastAsia="宋体" w:hAnsi="宋体" w:cs="宋体" w:hint="eastAsia"/>
                <w:sz w:val="24"/>
                <w:szCs w:val="24"/>
              </w:rPr>
            </w:pPr>
            <w:r>
              <w:rPr>
                <w:rFonts w:asciiTheme="minorEastAsia" w:eastAsiaTheme="minorEastAsia" w:hAnsiTheme="minorEastAsia" w:cs="宋体" w:hint="eastAsia"/>
                <w:sz w:val="24"/>
                <w:szCs w:val="24"/>
              </w:rPr>
              <w:t>本次活动不涉及未公开披露的重大信息。</w:t>
            </w:r>
          </w:p>
        </w:tc>
      </w:tr>
      <w:tr w:rsidR="00847987" w14:paraId="4EF7A37A" w14:textId="77777777">
        <w:trPr>
          <w:trHeight w:val="600"/>
          <w:jc w:val="center"/>
        </w:trPr>
        <w:tc>
          <w:tcPr>
            <w:tcW w:w="2972" w:type="dxa"/>
            <w:vAlign w:val="center"/>
          </w:tcPr>
          <w:p w14:paraId="0ED2A656" w14:textId="77777777" w:rsidR="00847987" w:rsidRDefault="00000000">
            <w:pPr>
              <w:pStyle w:val="TableParagraph"/>
              <w:spacing w:before="1"/>
              <w:ind w:left="107"/>
              <w:rPr>
                <w:rFonts w:ascii="宋体" w:eastAsia="宋体" w:hAnsi="宋体" w:cs="宋体" w:hint="eastAsia"/>
                <w:b/>
                <w:bCs/>
                <w:sz w:val="24"/>
                <w:szCs w:val="24"/>
              </w:rPr>
            </w:pPr>
            <w:r>
              <w:rPr>
                <w:rFonts w:ascii="宋体" w:eastAsia="宋体" w:hAnsi="宋体" w:cs="宋体" w:hint="eastAsia"/>
                <w:b/>
                <w:bCs/>
                <w:sz w:val="24"/>
                <w:szCs w:val="24"/>
              </w:rPr>
              <w:t>附件清单（如有）</w:t>
            </w:r>
          </w:p>
        </w:tc>
        <w:tc>
          <w:tcPr>
            <w:tcW w:w="6384" w:type="dxa"/>
            <w:vAlign w:val="center"/>
          </w:tcPr>
          <w:p w14:paraId="65BF445A" w14:textId="77777777" w:rsidR="00847987" w:rsidRDefault="00000000">
            <w:pPr>
              <w:pStyle w:val="TableParagraph"/>
              <w:spacing w:before="100" w:beforeAutospacing="1" w:line="360" w:lineRule="auto"/>
              <w:rPr>
                <w:rFonts w:ascii="宋体" w:eastAsia="宋体" w:hAnsi="宋体" w:cs="宋体" w:hint="eastAsia"/>
                <w:sz w:val="24"/>
                <w:szCs w:val="24"/>
                <w:lang w:val="en-US"/>
              </w:rPr>
            </w:pPr>
            <w:r>
              <w:rPr>
                <w:rFonts w:ascii="宋体" w:eastAsia="宋体" w:hAnsi="宋体" w:cs="宋体" w:hint="eastAsia"/>
                <w:sz w:val="24"/>
                <w:szCs w:val="24"/>
                <w:lang w:val="en-US"/>
              </w:rPr>
              <w:t>无</w:t>
            </w:r>
          </w:p>
        </w:tc>
      </w:tr>
      <w:tr w:rsidR="00847987" w14:paraId="5F94F83E" w14:textId="77777777">
        <w:trPr>
          <w:trHeight w:val="558"/>
          <w:jc w:val="center"/>
        </w:trPr>
        <w:tc>
          <w:tcPr>
            <w:tcW w:w="2972" w:type="dxa"/>
            <w:vAlign w:val="center"/>
          </w:tcPr>
          <w:p w14:paraId="1623DBE7" w14:textId="77777777" w:rsidR="00847987" w:rsidRDefault="00000000">
            <w:pPr>
              <w:pStyle w:val="TableParagraph"/>
              <w:spacing w:before="1"/>
              <w:ind w:left="107"/>
              <w:rPr>
                <w:rFonts w:ascii="宋体" w:eastAsia="宋体" w:hAnsi="宋体" w:cs="宋体" w:hint="eastAsia"/>
                <w:b/>
                <w:bCs/>
                <w:sz w:val="24"/>
                <w:szCs w:val="24"/>
              </w:rPr>
            </w:pPr>
            <w:r>
              <w:rPr>
                <w:rFonts w:ascii="宋体" w:eastAsia="宋体" w:hAnsi="宋体" w:cs="宋体" w:hint="eastAsia"/>
                <w:b/>
                <w:bCs/>
                <w:sz w:val="24"/>
                <w:szCs w:val="24"/>
              </w:rPr>
              <w:t>日期</w:t>
            </w:r>
          </w:p>
        </w:tc>
        <w:tc>
          <w:tcPr>
            <w:tcW w:w="6384" w:type="dxa"/>
            <w:vAlign w:val="center"/>
          </w:tcPr>
          <w:p w14:paraId="4E1ADD47" w14:textId="77777777" w:rsidR="00847987" w:rsidRDefault="00000000">
            <w:pPr>
              <w:pStyle w:val="TableParagraph"/>
              <w:spacing w:before="100" w:beforeAutospacing="1"/>
              <w:rPr>
                <w:rFonts w:ascii="Times New Roman" w:eastAsia="宋体" w:hAnsi="Times New Roman" w:cs="Times New Roman"/>
                <w:sz w:val="24"/>
                <w:szCs w:val="24"/>
              </w:rPr>
            </w:pPr>
            <w:r>
              <w:rPr>
                <w:rFonts w:ascii="Times New Roman" w:eastAsia="宋体" w:hAnsi="Times New Roman" w:cs="Times New Roman"/>
                <w:sz w:val="24"/>
                <w:szCs w:val="24"/>
              </w:rPr>
              <w:t>202</w:t>
            </w:r>
            <w:r>
              <w:rPr>
                <w:rFonts w:ascii="Times New Roman" w:eastAsia="宋体" w:hAnsi="Times New Roman" w:cs="Times New Roman" w:hint="eastAsia"/>
                <w:sz w:val="24"/>
                <w:szCs w:val="24"/>
              </w:rPr>
              <w:t>6</w:t>
            </w:r>
            <w:r>
              <w:rPr>
                <w:rFonts w:ascii="Times New Roman" w:eastAsia="宋体" w:hAnsi="Times New Roman" w:cs="Times New Roman"/>
                <w:sz w:val="24"/>
                <w:szCs w:val="24"/>
              </w:rPr>
              <w:t>年</w:t>
            </w:r>
            <w:r>
              <w:rPr>
                <w:rFonts w:ascii="Times New Roman" w:eastAsia="宋体" w:hAnsi="Times New Roman" w:cs="Times New Roman" w:hint="eastAsia"/>
                <w:sz w:val="24"/>
                <w:szCs w:val="24"/>
              </w:rPr>
              <w:t>9</w:t>
            </w:r>
            <w:r>
              <w:rPr>
                <w:rFonts w:ascii="Times New Roman" w:eastAsia="宋体" w:hAnsi="Times New Roman" w:cs="Times New Roman"/>
                <w:sz w:val="24"/>
                <w:szCs w:val="24"/>
              </w:rPr>
              <w:t>月</w:t>
            </w:r>
            <w:r>
              <w:rPr>
                <w:rFonts w:ascii="Times New Roman" w:eastAsia="宋体" w:hAnsi="Times New Roman" w:cs="Times New Roman" w:hint="eastAsia"/>
                <w:sz w:val="24"/>
                <w:szCs w:val="24"/>
                <w:lang w:val="en-US"/>
              </w:rPr>
              <w:t>4</w:t>
            </w:r>
            <w:r>
              <w:rPr>
                <w:rFonts w:ascii="Times New Roman" w:eastAsia="宋体" w:hAnsi="Times New Roman" w:cs="Times New Roman"/>
                <w:sz w:val="24"/>
                <w:szCs w:val="24"/>
              </w:rPr>
              <w:t>日</w:t>
            </w:r>
          </w:p>
        </w:tc>
      </w:tr>
    </w:tbl>
    <w:p w14:paraId="03C1A6DB" w14:textId="77777777" w:rsidR="00847987" w:rsidRDefault="00847987">
      <w:pPr>
        <w:rPr>
          <w:rFonts w:ascii="宋体" w:eastAsia="宋体" w:hAnsi="宋体" w:cs="宋体" w:hint="eastAsia"/>
          <w:sz w:val="28"/>
          <w:szCs w:val="36"/>
        </w:rPr>
      </w:pPr>
    </w:p>
    <w:sectPr w:rsidR="00847987">
      <w:type w:val="continuous"/>
      <w:pgSz w:w="11910" w:h="16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default"/>
    <w:sig w:usb0="00000000" w:usb1="0000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iY2JkMjU3NGYzZTEwMzZmMGFkZWViYmNkYWU3NDIifQ=="/>
  </w:docVars>
  <w:rsids>
    <w:rsidRoot w:val="00301D32"/>
    <w:rsid w:val="00020C4F"/>
    <w:rsid w:val="00026CC3"/>
    <w:rsid w:val="00036089"/>
    <w:rsid w:val="00053CFA"/>
    <w:rsid w:val="000633EC"/>
    <w:rsid w:val="00063804"/>
    <w:rsid w:val="000665A2"/>
    <w:rsid w:val="00080F00"/>
    <w:rsid w:val="000877AB"/>
    <w:rsid w:val="00096C5E"/>
    <w:rsid w:val="000B7C08"/>
    <w:rsid w:val="000C6E2A"/>
    <w:rsid w:val="000D12CF"/>
    <w:rsid w:val="000D2D88"/>
    <w:rsid w:val="000E4B20"/>
    <w:rsid w:val="000F137D"/>
    <w:rsid w:val="00105CA4"/>
    <w:rsid w:val="001104E9"/>
    <w:rsid w:val="0011418F"/>
    <w:rsid w:val="00123313"/>
    <w:rsid w:val="00136C56"/>
    <w:rsid w:val="00137D95"/>
    <w:rsid w:val="00163860"/>
    <w:rsid w:val="00171644"/>
    <w:rsid w:val="00172C24"/>
    <w:rsid w:val="00184654"/>
    <w:rsid w:val="001C512E"/>
    <w:rsid w:val="001C6A7E"/>
    <w:rsid w:val="001E59D1"/>
    <w:rsid w:val="001E5EA4"/>
    <w:rsid w:val="002042A7"/>
    <w:rsid w:val="00205911"/>
    <w:rsid w:val="002146AD"/>
    <w:rsid w:val="00233B68"/>
    <w:rsid w:val="00234DBE"/>
    <w:rsid w:val="0025424D"/>
    <w:rsid w:val="00275CB6"/>
    <w:rsid w:val="002800B5"/>
    <w:rsid w:val="00295B29"/>
    <w:rsid w:val="002C0696"/>
    <w:rsid w:val="002D4073"/>
    <w:rsid w:val="002E7098"/>
    <w:rsid w:val="002E7ED8"/>
    <w:rsid w:val="00301D32"/>
    <w:rsid w:val="00307AEC"/>
    <w:rsid w:val="00312EB5"/>
    <w:rsid w:val="00323FC6"/>
    <w:rsid w:val="0033378B"/>
    <w:rsid w:val="00342E2C"/>
    <w:rsid w:val="00366FAD"/>
    <w:rsid w:val="0037105B"/>
    <w:rsid w:val="003975BA"/>
    <w:rsid w:val="003A74E6"/>
    <w:rsid w:val="003B73DD"/>
    <w:rsid w:val="003D011C"/>
    <w:rsid w:val="003D7F41"/>
    <w:rsid w:val="00400650"/>
    <w:rsid w:val="004108C7"/>
    <w:rsid w:val="00412DC2"/>
    <w:rsid w:val="00440041"/>
    <w:rsid w:val="00451268"/>
    <w:rsid w:val="004515AD"/>
    <w:rsid w:val="00451857"/>
    <w:rsid w:val="00453516"/>
    <w:rsid w:val="00457548"/>
    <w:rsid w:val="00470DB2"/>
    <w:rsid w:val="004925E7"/>
    <w:rsid w:val="00495B11"/>
    <w:rsid w:val="004B136A"/>
    <w:rsid w:val="004B43CA"/>
    <w:rsid w:val="004D6057"/>
    <w:rsid w:val="004F6FF3"/>
    <w:rsid w:val="00506601"/>
    <w:rsid w:val="00506658"/>
    <w:rsid w:val="00520585"/>
    <w:rsid w:val="00525C12"/>
    <w:rsid w:val="005539DA"/>
    <w:rsid w:val="00565BA0"/>
    <w:rsid w:val="00571B49"/>
    <w:rsid w:val="005743AE"/>
    <w:rsid w:val="00576F53"/>
    <w:rsid w:val="005C5181"/>
    <w:rsid w:val="005D64CA"/>
    <w:rsid w:val="005E29A1"/>
    <w:rsid w:val="005E5717"/>
    <w:rsid w:val="005E6DB2"/>
    <w:rsid w:val="005F22B4"/>
    <w:rsid w:val="005F6A43"/>
    <w:rsid w:val="0061433E"/>
    <w:rsid w:val="0062751D"/>
    <w:rsid w:val="006354AA"/>
    <w:rsid w:val="00656D7A"/>
    <w:rsid w:val="00661AFA"/>
    <w:rsid w:val="006726BF"/>
    <w:rsid w:val="006745D8"/>
    <w:rsid w:val="00677B77"/>
    <w:rsid w:val="00682F1C"/>
    <w:rsid w:val="00685E91"/>
    <w:rsid w:val="0068718A"/>
    <w:rsid w:val="00696B03"/>
    <w:rsid w:val="006A2739"/>
    <w:rsid w:val="006B26A2"/>
    <w:rsid w:val="006B5C95"/>
    <w:rsid w:val="006C1205"/>
    <w:rsid w:val="006D07E9"/>
    <w:rsid w:val="006E14B0"/>
    <w:rsid w:val="006F0108"/>
    <w:rsid w:val="006F63E9"/>
    <w:rsid w:val="00704AE6"/>
    <w:rsid w:val="00706A3B"/>
    <w:rsid w:val="00711950"/>
    <w:rsid w:val="007153A2"/>
    <w:rsid w:val="00724A68"/>
    <w:rsid w:val="007271BF"/>
    <w:rsid w:val="00730DD3"/>
    <w:rsid w:val="00733224"/>
    <w:rsid w:val="00764128"/>
    <w:rsid w:val="00773C33"/>
    <w:rsid w:val="007824B8"/>
    <w:rsid w:val="007910DD"/>
    <w:rsid w:val="007A3EC1"/>
    <w:rsid w:val="007B3368"/>
    <w:rsid w:val="007B5BC5"/>
    <w:rsid w:val="007C0CC7"/>
    <w:rsid w:val="007D0A69"/>
    <w:rsid w:val="007D6DC4"/>
    <w:rsid w:val="00802446"/>
    <w:rsid w:val="0083016A"/>
    <w:rsid w:val="00847987"/>
    <w:rsid w:val="00853463"/>
    <w:rsid w:val="00893F25"/>
    <w:rsid w:val="00895035"/>
    <w:rsid w:val="008B2B14"/>
    <w:rsid w:val="008C6AED"/>
    <w:rsid w:val="008C7604"/>
    <w:rsid w:val="008E1B27"/>
    <w:rsid w:val="00903379"/>
    <w:rsid w:val="0090439A"/>
    <w:rsid w:val="00906975"/>
    <w:rsid w:val="00914686"/>
    <w:rsid w:val="00917F0B"/>
    <w:rsid w:val="00917F8B"/>
    <w:rsid w:val="00926F44"/>
    <w:rsid w:val="00955DCC"/>
    <w:rsid w:val="00960964"/>
    <w:rsid w:val="00963723"/>
    <w:rsid w:val="00965E4D"/>
    <w:rsid w:val="00983919"/>
    <w:rsid w:val="00990E84"/>
    <w:rsid w:val="009B1D5C"/>
    <w:rsid w:val="009C2E31"/>
    <w:rsid w:val="009E1955"/>
    <w:rsid w:val="00A3293E"/>
    <w:rsid w:val="00A507B8"/>
    <w:rsid w:val="00A527AA"/>
    <w:rsid w:val="00A5684D"/>
    <w:rsid w:val="00A61982"/>
    <w:rsid w:val="00A64824"/>
    <w:rsid w:val="00A75C61"/>
    <w:rsid w:val="00A9601B"/>
    <w:rsid w:val="00AD100E"/>
    <w:rsid w:val="00AD30ED"/>
    <w:rsid w:val="00AE1E36"/>
    <w:rsid w:val="00AF74AA"/>
    <w:rsid w:val="00AF7666"/>
    <w:rsid w:val="00B03C2F"/>
    <w:rsid w:val="00B15064"/>
    <w:rsid w:val="00B340A3"/>
    <w:rsid w:val="00B410F5"/>
    <w:rsid w:val="00B4306B"/>
    <w:rsid w:val="00B6280C"/>
    <w:rsid w:val="00B64BE4"/>
    <w:rsid w:val="00B671A4"/>
    <w:rsid w:val="00B72CD4"/>
    <w:rsid w:val="00B85B00"/>
    <w:rsid w:val="00B9116C"/>
    <w:rsid w:val="00B91A0F"/>
    <w:rsid w:val="00BC07F0"/>
    <w:rsid w:val="00BF132F"/>
    <w:rsid w:val="00C13878"/>
    <w:rsid w:val="00C17992"/>
    <w:rsid w:val="00C8225C"/>
    <w:rsid w:val="00C86C21"/>
    <w:rsid w:val="00CA1705"/>
    <w:rsid w:val="00CA47A2"/>
    <w:rsid w:val="00CE1A54"/>
    <w:rsid w:val="00CF5FB6"/>
    <w:rsid w:val="00D02518"/>
    <w:rsid w:val="00D11717"/>
    <w:rsid w:val="00D17454"/>
    <w:rsid w:val="00D33FBC"/>
    <w:rsid w:val="00D616EF"/>
    <w:rsid w:val="00D7535C"/>
    <w:rsid w:val="00D76302"/>
    <w:rsid w:val="00D77A27"/>
    <w:rsid w:val="00DA5CE2"/>
    <w:rsid w:val="00DE10E8"/>
    <w:rsid w:val="00DE24C7"/>
    <w:rsid w:val="00DF101C"/>
    <w:rsid w:val="00E16FDA"/>
    <w:rsid w:val="00E3259C"/>
    <w:rsid w:val="00E35F58"/>
    <w:rsid w:val="00E36DFA"/>
    <w:rsid w:val="00E44DB2"/>
    <w:rsid w:val="00E45BD9"/>
    <w:rsid w:val="00E66FFC"/>
    <w:rsid w:val="00E759D6"/>
    <w:rsid w:val="00E777B0"/>
    <w:rsid w:val="00E815F6"/>
    <w:rsid w:val="00E84A8C"/>
    <w:rsid w:val="00E976DE"/>
    <w:rsid w:val="00EA44CA"/>
    <w:rsid w:val="00EA7CF3"/>
    <w:rsid w:val="00EC0F83"/>
    <w:rsid w:val="00EE2CE2"/>
    <w:rsid w:val="00EE3187"/>
    <w:rsid w:val="00EF499B"/>
    <w:rsid w:val="00F14977"/>
    <w:rsid w:val="00F343BD"/>
    <w:rsid w:val="00FB4A08"/>
    <w:rsid w:val="00FC0C2A"/>
    <w:rsid w:val="00FD7F8E"/>
    <w:rsid w:val="00FE2AEC"/>
    <w:rsid w:val="00FF11E4"/>
    <w:rsid w:val="04B072D4"/>
    <w:rsid w:val="05F575D4"/>
    <w:rsid w:val="064249C6"/>
    <w:rsid w:val="08641132"/>
    <w:rsid w:val="09186774"/>
    <w:rsid w:val="0945438F"/>
    <w:rsid w:val="0A71587A"/>
    <w:rsid w:val="0B792C38"/>
    <w:rsid w:val="0C28640C"/>
    <w:rsid w:val="0E90599A"/>
    <w:rsid w:val="0ED720CD"/>
    <w:rsid w:val="12070CAE"/>
    <w:rsid w:val="145F688C"/>
    <w:rsid w:val="14D47131"/>
    <w:rsid w:val="15680001"/>
    <w:rsid w:val="15DD2205"/>
    <w:rsid w:val="17072842"/>
    <w:rsid w:val="17A67110"/>
    <w:rsid w:val="1864189B"/>
    <w:rsid w:val="18D73A7D"/>
    <w:rsid w:val="19557370"/>
    <w:rsid w:val="1BD06B6A"/>
    <w:rsid w:val="1F782BDE"/>
    <w:rsid w:val="204A6A53"/>
    <w:rsid w:val="23317869"/>
    <w:rsid w:val="25650CAE"/>
    <w:rsid w:val="26406598"/>
    <w:rsid w:val="28080056"/>
    <w:rsid w:val="28734C1A"/>
    <w:rsid w:val="28C72DDD"/>
    <w:rsid w:val="29EE0E64"/>
    <w:rsid w:val="2BC4020A"/>
    <w:rsid w:val="2EF90F16"/>
    <w:rsid w:val="2F125C63"/>
    <w:rsid w:val="302C3D0A"/>
    <w:rsid w:val="3104598F"/>
    <w:rsid w:val="33DE31BB"/>
    <w:rsid w:val="389C49C0"/>
    <w:rsid w:val="38BE0C22"/>
    <w:rsid w:val="39BC78F4"/>
    <w:rsid w:val="3B35486F"/>
    <w:rsid w:val="3EF1250A"/>
    <w:rsid w:val="40567DB0"/>
    <w:rsid w:val="40FF5CD2"/>
    <w:rsid w:val="42DB40B0"/>
    <w:rsid w:val="43B71B0A"/>
    <w:rsid w:val="44DC3144"/>
    <w:rsid w:val="44FA0589"/>
    <w:rsid w:val="45A663E3"/>
    <w:rsid w:val="469F09AF"/>
    <w:rsid w:val="4B756271"/>
    <w:rsid w:val="4C8E1CA8"/>
    <w:rsid w:val="4D6D36A4"/>
    <w:rsid w:val="510903EF"/>
    <w:rsid w:val="53F137F4"/>
    <w:rsid w:val="543A6906"/>
    <w:rsid w:val="56850CBB"/>
    <w:rsid w:val="59D8738A"/>
    <w:rsid w:val="5A666D76"/>
    <w:rsid w:val="5B2253C2"/>
    <w:rsid w:val="5CF02E0F"/>
    <w:rsid w:val="602433F0"/>
    <w:rsid w:val="603269D2"/>
    <w:rsid w:val="61A52BCA"/>
    <w:rsid w:val="67095496"/>
    <w:rsid w:val="67ED7463"/>
    <w:rsid w:val="681A546A"/>
    <w:rsid w:val="68507D37"/>
    <w:rsid w:val="69CB37D4"/>
    <w:rsid w:val="6A0D5B9B"/>
    <w:rsid w:val="6A3B23B1"/>
    <w:rsid w:val="6AEA32DC"/>
    <w:rsid w:val="6CC24AB5"/>
    <w:rsid w:val="6D9271B2"/>
    <w:rsid w:val="6F134790"/>
    <w:rsid w:val="6FE81F5F"/>
    <w:rsid w:val="72446028"/>
    <w:rsid w:val="73076EC0"/>
    <w:rsid w:val="74210CA6"/>
    <w:rsid w:val="746F4E76"/>
    <w:rsid w:val="76430096"/>
    <w:rsid w:val="788C25F5"/>
    <w:rsid w:val="79F72AA9"/>
    <w:rsid w:val="7A144529"/>
    <w:rsid w:val="7DD37FAE"/>
    <w:rsid w:val="7EF51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CDA57"/>
  <w15:docId w15:val="{22509FB8-6504-435F-86F9-1A3A40A38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uiPriority w:val="1"/>
    <w:qFormat/>
    <w:pPr>
      <w:ind w:left="220"/>
    </w:pPr>
    <w:rPr>
      <w:sz w:val="32"/>
      <w:szCs w:val="32"/>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qFormat/>
    <w:rPr>
      <w:b/>
      <w:bCs/>
    </w:rPr>
  </w:style>
  <w:style w:type="character" w:styleId="ae">
    <w:name w:val="FollowedHyperlink"/>
    <w:basedOn w:val="a0"/>
    <w:rPr>
      <w:color w:val="954F72" w:themeColor="followedHyperlink"/>
      <w:u w:val="single"/>
    </w:rPr>
  </w:style>
  <w:style w:type="character" w:styleId="af">
    <w:name w:val="Hyperlink"/>
    <w:basedOn w:val="a0"/>
    <w:rPr>
      <w:color w:val="0563C1" w:themeColor="hyperlink"/>
      <w:u w:val="single"/>
    </w:rPr>
  </w:style>
  <w:style w:type="character" w:styleId="af0">
    <w:name w:val="annotation reference"/>
    <w:basedOn w:val="a0"/>
    <w:qFormat/>
    <w:rPr>
      <w:sz w:val="21"/>
      <w:szCs w:val="21"/>
    </w:rPr>
  </w:style>
  <w:style w:type="paragraph" w:customStyle="1" w:styleId="TableParagraph">
    <w:name w:val="Table Paragraph"/>
    <w:basedOn w:val="a"/>
    <w:uiPriority w:val="1"/>
    <w:qFormat/>
  </w:style>
  <w:style w:type="character" w:customStyle="1" w:styleId="ab">
    <w:name w:val="页眉 字符"/>
    <w:basedOn w:val="a0"/>
    <w:link w:val="aa"/>
    <w:qFormat/>
    <w:rPr>
      <w:rFonts w:ascii="仿宋" w:eastAsia="仿宋" w:hAnsi="仿宋" w:cs="仿宋"/>
      <w:sz w:val="18"/>
      <w:szCs w:val="18"/>
      <w:lang w:val="zh-CN" w:bidi="zh-CN"/>
    </w:rPr>
  </w:style>
  <w:style w:type="character" w:customStyle="1" w:styleId="a9">
    <w:name w:val="页脚 字符"/>
    <w:basedOn w:val="a0"/>
    <w:link w:val="a8"/>
    <w:qFormat/>
    <w:rPr>
      <w:rFonts w:ascii="仿宋" w:eastAsia="仿宋" w:hAnsi="仿宋" w:cs="仿宋"/>
      <w:sz w:val="18"/>
      <w:szCs w:val="18"/>
      <w:lang w:val="zh-CN" w:bidi="zh-CN"/>
    </w:rPr>
  </w:style>
  <w:style w:type="character" w:customStyle="1" w:styleId="a4">
    <w:name w:val="批注文字 字符"/>
    <w:basedOn w:val="a0"/>
    <w:link w:val="a3"/>
    <w:qFormat/>
    <w:rPr>
      <w:rFonts w:ascii="仿宋" w:eastAsia="仿宋" w:hAnsi="仿宋" w:cs="仿宋"/>
      <w:sz w:val="22"/>
      <w:szCs w:val="22"/>
      <w:lang w:val="zh-CN" w:bidi="zh-CN"/>
    </w:rPr>
  </w:style>
  <w:style w:type="character" w:customStyle="1" w:styleId="ad">
    <w:name w:val="批注主题 字符"/>
    <w:basedOn w:val="a4"/>
    <w:link w:val="ac"/>
    <w:qFormat/>
    <w:rPr>
      <w:rFonts w:ascii="仿宋" w:eastAsia="仿宋" w:hAnsi="仿宋" w:cs="仿宋"/>
      <w:b/>
      <w:bCs/>
      <w:sz w:val="22"/>
      <w:szCs w:val="22"/>
      <w:lang w:val="zh-CN" w:bidi="zh-CN"/>
    </w:rPr>
  </w:style>
  <w:style w:type="character" w:customStyle="1" w:styleId="a7">
    <w:name w:val="批注框文本 字符"/>
    <w:basedOn w:val="a0"/>
    <w:link w:val="a6"/>
    <w:qFormat/>
    <w:rPr>
      <w:rFonts w:ascii="仿宋" w:eastAsia="仿宋" w:hAnsi="仿宋" w:cs="仿宋"/>
      <w:sz w:val="18"/>
      <w:szCs w:val="18"/>
      <w:lang w:val="zh-CN" w:bidi="zh-CN"/>
    </w:rPr>
  </w:style>
  <w:style w:type="paragraph" w:customStyle="1" w:styleId="10">
    <w:name w:val="修订1"/>
    <w:hidden/>
    <w:uiPriority w:val="99"/>
    <w:unhideWhenUsed/>
    <w:qFormat/>
    <w:rPr>
      <w:rFonts w:ascii="仿宋" w:eastAsia="仿宋" w:hAnsi="仿宋" w:cs="仿宋"/>
      <w:sz w:val="22"/>
      <w:szCs w:val="22"/>
      <w:lang w:val="zh-CN" w:bidi="zh-CN"/>
    </w:rPr>
  </w:style>
  <w:style w:type="paragraph" w:customStyle="1" w:styleId="2">
    <w:name w:val="修订2"/>
    <w:hidden/>
    <w:uiPriority w:val="99"/>
    <w:unhideWhenUsed/>
    <w:rPr>
      <w:rFonts w:ascii="仿宋" w:eastAsia="仿宋" w:hAnsi="仿宋" w:cs="仿宋"/>
      <w:sz w:val="22"/>
      <w:szCs w:val="22"/>
      <w:lang w:val="zh-CN" w:bidi="zh-CN"/>
    </w:rPr>
  </w:style>
  <w:style w:type="paragraph" w:customStyle="1" w:styleId="3">
    <w:name w:val="修订3"/>
    <w:hidden/>
    <w:uiPriority w:val="99"/>
    <w:unhideWhenUsed/>
    <w:rPr>
      <w:rFonts w:ascii="仿宋" w:eastAsia="仿宋" w:hAnsi="仿宋" w:cs="仿宋"/>
      <w:sz w:val="22"/>
      <w:szCs w:val="22"/>
      <w:lang w:val="zh-CN" w:bidi="zh-CN"/>
    </w:rPr>
  </w:style>
  <w:style w:type="character" w:customStyle="1" w:styleId="11">
    <w:name w:val="未处理的提及1"/>
    <w:basedOn w:val="a0"/>
    <w:uiPriority w:val="99"/>
    <w:semiHidden/>
    <w:unhideWhenUsed/>
    <w:rPr>
      <w:color w:val="605E5C"/>
      <w:shd w:val="clear" w:color="auto" w:fill="E1DFDD"/>
    </w:rPr>
  </w:style>
  <w:style w:type="paragraph" w:styleId="af1">
    <w:name w:val="Revision"/>
    <w:hidden/>
    <w:uiPriority w:val="99"/>
    <w:unhideWhenUsed/>
    <w:rsid w:val="00B4306B"/>
    <w:rPr>
      <w:rFonts w:ascii="仿宋" w:eastAsia="仿宋" w:hAnsi="仿宋" w:cs="仿宋"/>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6454-D52C-4974-A468-5D02FFFC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592</Words>
  <Characters>3381</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jie.huang</dc:creator>
  <cp:lastModifiedBy>zhf</cp:lastModifiedBy>
  <cp:revision>14</cp:revision>
  <dcterms:created xsi:type="dcterms:W3CDTF">2026-05-20T06:18:00Z</dcterms:created>
  <dcterms:modified xsi:type="dcterms:W3CDTF">2026-09-07T07:08:00Z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041861F8025D4702919AB0334BEFE513_13</vt:lpwstr>
  </property>
  <property fmtid="{D5CDD505-2E9C-101B-9397-08002B2CF9AE}" pid="4" name="KSOTemplateDocerSaveRecord">
    <vt:lpwstr>eyJoZGlkIjoiNTU0ZmIwYTQ3NzlmZGUxZmU3Zjk0M2IyZTNmM2IxNjAiLCJ1c2VySWQiOiIxNzA4OTE1NjA3In0=</vt:lpwstr>
  </property>
</Properties>
</file>