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DEFF07F">
      <w:pPr>
        <w:autoSpaceDE w:val="0"/>
        <w:autoSpaceDN w:val="0"/>
        <w:adjustRightInd w:val="0"/>
        <w:snapToGrid w:val="0"/>
        <w:spacing w:line="288" w:lineRule="auto"/>
        <w:rPr>
          <w:rFonts w:ascii="宋体" w:hAnsi="宋体" w:cs="宋体"/>
          <w:kern w:val="0"/>
          <w:sz w:val="28"/>
          <w:szCs w:val="28"/>
          <w:lang w:val="zh-CN" w:bidi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 w:bidi="zh-CN"/>
        </w:rPr>
        <w:t>证券代码：60</w:t>
      </w:r>
      <w:r>
        <w:rPr>
          <w:rFonts w:hint="eastAsia" w:ascii="宋体" w:hAnsi="宋体" w:cs="宋体"/>
          <w:kern w:val="0"/>
          <w:sz w:val="28"/>
          <w:szCs w:val="28"/>
          <w:lang w:val="en-US" w:bidi="zh-CN"/>
        </w:rPr>
        <w:t>1065</w:t>
      </w:r>
      <w:r>
        <w:rPr>
          <w:rFonts w:hint="eastAsia" w:ascii="宋体" w:hAnsi="宋体" w:cs="宋体"/>
          <w:kern w:val="0"/>
          <w:sz w:val="28"/>
          <w:szCs w:val="28"/>
          <w:lang w:val="zh-CN" w:bidi="zh-CN"/>
        </w:rPr>
        <w:t xml:space="preserve">                         证券简称：</w:t>
      </w:r>
      <w:r>
        <w:rPr>
          <w:rFonts w:hint="eastAsia" w:ascii="宋体" w:hAnsi="宋体" w:cs="宋体"/>
          <w:kern w:val="0"/>
          <w:sz w:val="28"/>
          <w:szCs w:val="28"/>
          <w:lang w:val="en-US" w:bidi="zh-CN"/>
        </w:rPr>
        <w:t>江盐</w:t>
      </w:r>
      <w:r>
        <w:rPr>
          <w:rFonts w:hint="eastAsia" w:ascii="宋体" w:hAnsi="宋体" w:cs="宋体"/>
          <w:kern w:val="0"/>
          <w:sz w:val="28"/>
          <w:szCs w:val="28"/>
          <w:lang w:val="zh-CN" w:bidi="zh-CN"/>
        </w:rPr>
        <w:t>集团</w:t>
      </w:r>
    </w:p>
    <w:p w14:paraId="2E3D6235">
      <w:pPr>
        <w:adjustRightInd w:val="0"/>
        <w:snapToGrid w:val="0"/>
        <w:spacing w:before="312" w:beforeLines="100" w:line="480" w:lineRule="exact"/>
        <w:jc w:val="center"/>
        <w:rPr>
          <w:rFonts w:ascii="黑体" w:hAnsi="黑体" w:eastAsia="黑体"/>
          <w:b/>
          <w:bCs/>
          <w:color w:val="FF0000"/>
          <w:sz w:val="32"/>
          <w:szCs w:val="36"/>
        </w:rPr>
      </w:pPr>
      <w:r>
        <w:rPr>
          <w:rFonts w:hint="eastAsia" w:ascii="黑体" w:hAnsi="黑体" w:eastAsia="黑体"/>
          <w:b/>
          <w:bCs/>
          <w:color w:val="FF0000"/>
          <w:sz w:val="32"/>
          <w:szCs w:val="36"/>
        </w:rPr>
        <w:t>江西</w:t>
      </w:r>
      <w:r>
        <w:rPr>
          <w:rFonts w:hint="eastAsia" w:ascii="黑体" w:hAnsi="黑体" w:eastAsia="黑体"/>
          <w:b/>
          <w:bCs/>
          <w:color w:val="FF0000"/>
          <w:sz w:val="32"/>
          <w:szCs w:val="36"/>
          <w:lang w:val="en-US" w:eastAsia="zh-CN"/>
        </w:rPr>
        <w:t>省盐业集团</w:t>
      </w:r>
      <w:r>
        <w:rPr>
          <w:rFonts w:hint="eastAsia" w:ascii="黑体" w:hAnsi="黑体" w:eastAsia="黑体"/>
          <w:b/>
          <w:bCs/>
          <w:color w:val="FF0000"/>
          <w:sz w:val="32"/>
          <w:szCs w:val="36"/>
        </w:rPr>
        <w:t>股份有限公司</w:t>
      </w:r>
    </w:p>
    <w:p w14:paraId="770C78EC">
      <w:pPr>
        <w:adjustRightInd w:val="0"/>
        <w:snapToGrid w:val="0"/>
        <w:spacing w:before="156" w:beforeLines="50" w:after="156" w:afterLines="50" w:line="480" w:lineRule="exact"/>
        <w:jc w:val="center"/>
        <w:rPr>
          <w:rFonts w:ascii="等线" w:hAnsi="等线"/>
          <w:b/>
          <w:bCs/>
          <w:color w:val="FF0000"/>
          <w:sz w:val="32"/>
          <w:szCs w:val="36"/>
        </w:rPr>
      </w:pPr>
      <w:r>
        <w:rPr>
          <w:rFonts w:hint="eastAsia" w:ascii="黑体" w:hAnsi="黑体" w:eastAsia="黑体"/>
          <w:b/>
          <w:bCs/>
          <w:color w:val="FF0000"/>
          <w:sz w:val="32"/>
          <w:szCs w:val="36"/>
        </w:rPr>
        <w:t>投资者关系活动记录表</w:t>
      </w:r>
    </w:p>
    <w:p w14:paraId="0ADF0303">
      <w:pPr>
        <w:jc w:val="right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</w:rPr>
        <w:t>编号：202</w:t>
      </w:r>
      <w:r>
        <w:rPr>
          <w:rFonts w:hint="eastAsia" w:ascii="宋体" w:hAnsi="宋体"/>
          <w:lang w:val="en-US" w:eastAsia="zh-CN"/>
        </w:rPr>
        <w:t>6</w:t>
      </w:r>
      <w:r>
        <w:rPr>
          <w:rFonts w:hint="eastAsia" w:ascii="宋体" w:hAnsi="宋体"/>
        </w:rPr>
        <w:t>-</w:t>
      </w:r>
      <w:r>
        <w:rPr>
          <w:rFonts w:hint="default" w:ascii="宋体" w:hAnsi="宋体"/>
          <w:lang w:val="en-US" w:eastAsia="zh-CN"/>
        </w:rPr>
        <w:t>00</w:t>
      </w:r>
      <w:r>
        <w:rPr>
          <w:rFonts w:hint="eastAsia" w:ascii="宋体" w:hAnsi="宋体"/>
          <w:lang w:val="en-US" w:eastAsia="zh-CN"/>
        </w:rPr>
        <w:t>2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6996"/>
      </w:tblGrid>
      <w:tr w14:paraId="4AB8A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6" w:hRule="atLeast"/>
        </w:trPr>
        <w:tc>
          <w:tcPr>
            <w:tcW w:w="1526" w:type="dxa"/>
            <w:vAlign w:val="center"/>
          </w:tcPr>
          <w:p w14:paraId="655FD3F2">
            <w:pPr>
              <w:pStyle w:val="23"/>
              <w:adjustRightInd w:val="0"/>
              <w:snapToGrid w:val="0"/>
              <w:spacing w:line="480" w:lineRule="atLeas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投资者关系活动类别</w:t>
            </w:r>
          </w:p>
        </w:tc>
        <w:tc>
          <w:tcPr>
            <w:tcW w:w="6996" w:type="dxa"/>
            <w:vAlign w:val="center"/>
          </w:tcPr>
          <w:p w14:paraId="4A4A39AD">
            <w:pPr>
              <w:adjustRightInd w:val="0"/>
              <w:snapToGrid w:val="0"/>
              <w:spacing w:line="440" w:lineRule="exac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 xml:space="preserve">特定对象调研       </w:t>
            </w:r>
            <w:r>
              <w:rPr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>分析师会议</w:t>
            </w:r>
          </w:p>
          <w:p w14:paraId="35B2821A">
            <w:pPr>
              <w:pStyle w:val="23"/>
              <w:adjustRightInd w:val="0"/>
              <w:snapToGrid w:val="0"/>
              <w:spacing w:line="440" w:lineRule="exact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sz w:val="24"/>
              </w:rPr>
              <w:t xml:space="preserve">媒体采访           </w:t>
            </w:r>
            <w:r>
              <w:rPr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sz w:val="24"/>
              </w:rPr>
              <w:t>业绩说明会</w:t>
            </w:r>
          </w:p>
          <w:p w14:paraId="17DE4685">
            <w:pPr>
              <w:pStyle w:val="23"/>
              <w:adjustRightInd w:val="0"/>
              <w:snapToGrid w:val="0"/>
              <w:spacing w:line="440" w:lineRule="exact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sym w:font="Wingdings 2" w:char="00A3"/>
            </w:r>
            <w:r>
              <w:rPr>
                <w:sz w:val="24"/>
              </w:rPr>
              <w:t xml:space="preserve">新闻发布会         </w:t>
            </w:r>
            <w:r>
              <w:rPr>
                <w:bCs/>
                <w:iCs/>
                <w:sz w:val="24"/>
              </w:rPr>
              <w:sym w:font="Wingdings 2" w:char="00A3"/>
            </w:r>
            <w:r>
              <w:rPr>
                <w:sz w:val="24"/>
              </w:rPr>
              <w:t>路演活动</w:t>
            </w:r>
          </w:p>
          <w:p w14:paraId="1BC08184">
            <w:pPr>
              <w:adjustRightInd w:val="0"/>
              <w:snapToGrid w:val="0"/>
              <w:spacing w:line="440" w:lineRule="exact"/>
              <w:rPr>
                <w:bCs/>
                <w:i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>电话会议</w:t>
            </w:r>
          </w:p>
          <w:p w14:paraId="2CB67DB2">
            <w:pPr>
              <w:pStyle w:val="23"/>
              <w:tabs>
                <w:tab w:val="center" w:pos="3199"/>
              </w:tabs>
              <w:adjustRightInd w:val="0"/>
              <w:snapToGrid w:val="0"/>
              <w:spacing w:line="440" w:lineRule="exact"/>
              <w:rPr>
                <w:bCs/>
                <w:iCs/>
                <w:sz w:val="24"/>
                <w:u w:val="single"/>
              </w:rPr>
            </w:pPr>
            <w:r>
              <w:rPr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14:paraId="1CB6D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526" w:type="dxa"/>
            <w:vAlign w:val="center"/>
          </w:tcPr>
          <w:p w14:paraId="167CA13F">
            <w:pPr>
              <w:pStyle w:val="23"/>
              <w:adjustRightInd w:val="0"/>
              <w:snapToGrid w:val="0"/>
              <w:spacing w:line="480" w:lineRule="atLeas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参与单位名称及人员姓名</w:t>
            </w:r>
          </w:p>
        </w:tc>
        <w:tc>
          <w:tcPr>
            <w:tcW w:w="6996" w:type="dxa"/>
            <w:vAlign w:val="center"/>
          </w:tcPr>
          <w:p w14:paraId="6D5783E9">
            <w:pPr>
              <w:spacing w:line="36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线上参与公司202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半年</w:t>
            </w:r>
            <w:r>
              <w:rPr>
                <w:rFonts w:hint="eastAsia" w:ascii="Times New Roman" w:hAnsi="Times New Roman"/>
                <w:sz w:val="24"/>
                <w:szCs w:val="24"/>
              </w:rPr>
              <w:t>度业绩说明会的投资者</w:t>
            </w:r>
          </w:p>
        </w:tc>
      </w:tr>
      <w:tr w14:paraId="1E7A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26" w:type="dxa"/>
            <w:vAlign w:val="center"/>
          </w:tcPr>
          <w:p w14:paraId="4CFF8D58">
            <w:pPr>
              <w:pStyle w:val="23"/>
              <w:adjustRightInd w:val="0"/>
              <w:snapToGrid w:val="0"/>
              <w:spacing w:line="480" w:lineRule="atLeas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时间</w:t>
            </w:r>
          </w:p>
        </w:tc>
        <w:tc>
          <w:tcPr>
            <w:tcW w:w="6996" w:type="dxa"/>
            <w:vAlign w:val="center"/>
          </w:tcPr>
          <w:p w14:paraId="18C48A68">
            <w:pPr>
              <w:pStyle w:val="23"/>
              <w:adjustRightInd w:val="0"/>
              <w:snapToGrid w:val="0"/>
              <w:spacing w:line="440" w:lineRule="exact"/>
              <w:rPr>
                <w:rFonts w:hint="default" w:ascii="宋体" w:hAnsi="宋体" w:eastAsia="宋体"/>
                <w:bCs/>
                <w:i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/>
                <w:bCs/>
                <w:iCs/>
                <w:sz w:val="24"/>
              </w:rPr>
              <w:t>年</w:t>
            </w:r>
            <w:r>
              <w:rPr>
                <w:rFonts w:hint="eastAsia" w:ascii="宋体" w:hAnsi="宋体"/>
                <w:bCs/>
                <w:iCs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sz w:val="24"/>
              </w:rPr>
              <w:t>月</w:t>
            </w:r>
            <w:r>
              <w:rPr>
                <w:rFonts w:hint="eastAsia" w:ascii="宋体" w:hAnsi="宋体"/>
                <w:bCs/>
                <w:iCs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bCs/>
                <w:iCs/>
                <w:sz w:val="24"/>
              </w:rPr>
              <w:t>日</w:t>
            </w:r>
            <w:r>
              <w:rPr>
                <w:rFonts w:hint="eastAsia" w:ascii="宋体" w:hAnsi="宋体"/>
                <w:bCs/>
                <w:iCs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iCs/>
                <w:sz w:val="24"/>
                <w:lang w:val="en-US" w:eastAsia="zh-CN"/>
              </w:rPr>
              <w:t>星期一</w:t>
            </w:r>
            <w:r>
              <w:rPr>
                <w:rFonts w:hint="eastAsia" w:ascii="宋体" w:hAnsi="宋体"/>
                <w:bCs/>
                <w:iCs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bCs/>
                <w:iCs/>
                <w:sz w:val="24"/>
                <w:lang w:val="en-US" w:eastAsia="zh-CN"/>
              </w:rPr>
              <w:t>下午15：00-16：00</w:t>
            </w:r>
          </w:p>
        </w:tc>
      </w:tr>
      <w:tr w14:paraId="34E5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526" w:type="dxa"/>
            <w:vAlign w:val="center"/>
          </w:tcPr>
          <w:p w14:paraId="4D554C7D">
            <w:pPr>
              <w:pStyle w:val="23"/>
              <w:adjustRightInd w:val="0"/>
              <w:snapToGrid w:val="0"/>
              <w:spacing w:line="480" w:lineRule="atLeas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地点</w:t>
            </w:r>
          </w:p>
        </w:tc>
        <w:tc>
          <w:tcPr>
            <w:tcW w:w="6996" w:type="dxa"/>
            <w:vAlign w:val="center"/>
          </w:tcPr>
          <w:p w14:paraId="371F05B6">
            <w:pPr>
              <w:pStyle w:val="23"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eastAsia="宋体"/>
                <w:bCs/>
                <w:i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lang w:eastAsia="zh-CN"/>
              </w:rPr>
              <w:t>价值在线（www.ir-online.cn）</w:t>
            </w:r>
          </w:p>
        </w:tc>
      </w:tr>
      <w:tr w14:paraId="339D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526" w:type="dxa"/>
            <w:vAlign w:val="center"/>
          </w:tcPr>
          <w:p w14:paraId="4DEFABC3">
            <w:pPr>
              <w:pStyle w:val="23"/>
              <w:adjustRightInd w:val="0"/>
              <w:snapToGrid w:val="0"/>
              <w:spacing w:line="480" w:lineRule="atLeast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上市公司接待人员</w:t>
            </w:r>
          </w:p>
        </w:tc>
        <w:tc>
          <w:tcPr>
            <w:tcW w:w="6996" w:type="dxa"/>
            <w:vAlign w:val="center"/>
          </w:tcPr>
          <w:p w14:paraId="64868CF6">
            <w:pPr>
              <w:adjustRightInd w:val="0"/>
              <w:snapToGrid w:val="0"/>
              <w:spacing w:line="440" w:lineRule="exact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董事长万李先生，独立董事袁业虎先生，副总经理、董事会秘书任雁飞先生、证券事务代表王宇昕女士</w:t>
            </w:r>
          </w:p>
        </w:tc>
      </w:tr>
      <w:tr w14:paraId="4426E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26" w:type="dxa"/>
            <w:vAlign w:val="center"/>
          </w:tcPr>
          <w:p w14:paraId="250D3A82">
            <w:pPr>
              <w:pStyle w:val="23"/>
              <w:adjustRightInd w:val="0"/>
              <w:snapToGrid w:val="0"/>
              <w:spacing w:line="480" w:lineRule="atLeast"/>
              <w:rPr>
                <w:b/>
                <w:bCs/>
                <w:iCs/>
                <w:sz w:val="24"/>
              </w:rPr>
            </w:pPr>
            <w:r>
              <w:rPr>
                <w:rFonts w:hint="eastAsia"/>
                <w:b/>
                <w:bCs/>
                <w:iCs/>
                <w:sz w:val="24"/>
              </w:rPr>
              <w:t>投资者关系活动主要内容介绍</w:t>
            </w:r>
          </w:p>
        </w:tc>
        <w:tc>
          <w:tcPr>
            <w:tcW w:w="6996" w:type="dxa"/>
          </w:tcPr>
          <w:p w14:paraId="23AFE6A5">
            <w:pPr>
              <w:snapToGrid w:val="0"/>
              <w:spacing w:line="360" w:lineRule="auto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</w:p>
          <w:p w14:paraId="7F462621">
            <w:pPr>
              <w:snapToGrid w:val="0"/>
              <w:spacing w:line="360" w:lineRule="auto"/>
              <w:textAlignment w:val="baseline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一、交流的主要问题及回复</w:t>
            </w:r>
          </w:p>
          <w:p w14:paraId="3961862F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问题一：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作为地方国资上市平台，公司在资源禀赋上有优势，未来有没有考虑通过对外合作、并购等方式做大业务规模，还是主要以自有项目内生增长为主？</w:t>
            </w:r>
          </w:p>
          <w:p w14:paraId="2AD0C7B7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尊敬的投资者，您好。公司对符合经营战略及行业相关的优质项目持有开放态度，未来如有相关并购重组计划，将根据相关规定及时履行信息披露义务。感谢您的关注。</w:t>
            </w:r>
          </w:p>
          <w:p w14:paraId="5F5474EA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问题二：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您好！关注到贵公司2026年9月2日在江西日报的新闻，“按照设计，（高强硫酸钙）生产线的年纯利润约500万元”，请问现阶段距离达成设计目标还有多大差距？此外，贵公司“晶昊年产5.5万吨高强硫酸钙综合利用工程项目”的IPO募集资金是约1.53亿元，即便按照达成设计的年利润估算，项目的回本周期也长达30.6年，贵公司有没有扩大高强硫酸钙项目利润空间的计划？</w:t>
            </w:r>
          </w:p>
          <w:p w14:paraId="122F2CAE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高强硫酸钙项目为公司重点攻关的盐化工资源化循环利用项目，属于国内首套合成二水石膏制备高强硫酸钙项目，可实现工业固废的高附加值资源化利用，助力绿色低碳转型。目前项目正按计划有序推进，开展工艺优化、装置调试及下游应用验证相关工作，正式投产时间及扩产计划相关情况请关注公司后续公告。感谢您的关注。</w:t>
            </w:r>
          </w:p>
          <w:p w14:paraId="6835F5E8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问题三：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请问贵公司2026年上半年纯碱产品是否盈利，利润率是多少？</w:t>
            </w:r>
          </w:p>
          <w:p w14:paraId="38795873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尊敬的投资者，您好。公司经营情况及相关产品信息可查阅公司定期报告。感谢您的关注。</w:t>
            </w:r>
          </w:p>
          <w:p w14:paraId="71DBB958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问题四：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您好，请问贵公司的盐穴储能项目在2026年度有没有实质性的进展？</w:t>
            </w:r>
          </w:p>
          <w:p w14:paraId="505B13C1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尊敬的投资者，您好。盐穴储能项目尚处于前期研究阶段，具有不确定性，项目具体信息及进展情况还请您关注公司披露的相关公告。感谢您的关注。</w:t>
            </w:r>
          </w:p>
          <w:p w14:paraId="33B9C2F6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您好，关注到贵公司的大股东在持续进行减持活动，请问截止到9月4日收盘后，贵公司的前十大股东的持股情况？</w:t>
            </w:r>
          </w:p>
          <w:p w14:paraId="7571F97F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尊敬的投资者，您好。公司信息披露遵循谨慎、公平原则，为保证所有投资者平等获悉公司信息，公司会在定期报告中披露对应时点的前十大股东信息。感谢您的关注。</w:t>
            </w:r>
          </w:p>
          <w:p w14:paraId="21557429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问题六：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盐板块本身是否稳健？请问盐板块收入、毛利及同比？盐板块内部，食盐和工业盐上半年的销量、均价、单位毛利分别同比变动多少？是"量增价跌"、"量价齐跌"还是"量价齐升"？</w:t>
            </w:r>
          </w:p>
          <w:p w14:paraId="10F38016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尊敬的投资者，您好。公司上半年各类产品营收及同比情况等相关信息可查阅公司披露的2026年半年度报告及2026年上半年主要经营数据公告。感谢您的关注。</w:t>
            </w:r>
          </w:p>
          <w:p w14:paraId="5679FDA4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问题七：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您好，请问一下，上半年各类盐品的收入、利润情况如何?是否稳健？</w:t>
            </w:r>
          </w:p>
          <w:p w14:paraId="468910FC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尊敬的投资者，您好。公司上半年各类产品营收等相关信息可查阅公司披露的2026年半年度报告。感谢您的关注。</w:t>
            </w:r>
          </w:p>
          <w:p w14:paraId="7F400AE6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问题八：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想请教管理层，怎么判断纯碱、工业盐下半年的价格走势？公司下半年生产排产计划会做哪些调整来对冲周期压力？</w:t>
            </w:r>
          </w:p>
          <w:p w14:paraId="5C3C0B38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产品价格的波动受原材料价格波动、供需格局以及市场预期等综合因素影响。公司将密切跟踪下游需求变化及市场价格变动情况，合理调节产销库存节奏，同时持续抓实降本增效，强化内部成本管控，优化产品结构，多措并举对冲行业周期波动带来的经营压力。感谢您的关注。</w:t>
            </w:r>
          </w:p>
          <w:p w14:paraId="501E11D2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问题九：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公司出口业务保持稳健增长，食用盐自营出口全国领先，想了解海外市场后续拓展计划，海外业务是否会成为公司接下来重要的利润缓冲板块？</w:t>
            </w:r>
          </w:p>
          <w:p w14:paraId="43D86E0D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一直高度重视海外市场的发展，未来将继续坚持稳健的经营策略，积极把握市场机遇，不断优化海外业务布局，努力推动海外业务持续健康增长。具体情况及业绩表现请以公司发布的定期报告为准。感谢您的关注。</w:t>
            </w:r>
          </w:p>
          <w:p w14:paraId="5C086BF4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问题十：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公司往年分红比例相对稳定，今年上半年没有中期分红预案，想了解公司未来分红政策是否会发生变化，后续分红会优先考量哪些条件？</w:t>
            </w:r>
          </w:p>
          <w:p w14:paraId="3F1DEEB8">
            <w:pPr>
              <w:snapToGrid w:val="0"/>
              <w:spacing w:line="360" w:lineRule="auto"/>
              <w:ind w:firstLine="480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尊敬的投资者，您好。公司将从实际经营和资金运作情况出发，合理考虑公司发展战略和经营资金需求，兼顾公司可持续发展及对股东的合理回报，严格按照相关法律法规、公司章程等有关规定实施分红政策。感谢您的关注。</w:t>
            </w:r>
          </w:p>
          <w:p w14:paraId="13237B29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798DA408">
            <w:pPr>
              <w:snapToGrid w:val="0"/>
              <w:spacing w:line="360" w:lineRule="auto"/>
              <w:ind w:firstLine="480"/>
              <w:textAlignment w:val="baseline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3D3FFC8F">
            <w:pPr>
              <w:snapToGrid w:val="0"/>
              <w:spacing w:line="240" w:lineRule="auto"/>
              <w:textAlignment w:val="baseline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/>
                <w:sz w:val="24"/>
                <w:szCs w:val="24"/>
                <w:lang w:val="en-US" w:eastAsia="zh-CN"/>
              </w:rPr>
              <w:t>注：本次业绩说明会如涉及对行业的预测、公司发展战略规划等相关内容，不能视作公司或管理层对行业、公司发展或业绩的承诺和保证，敬请广大投资者注意投资风险。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）</w:t>
            </w:r>
          </w:p>
        </w:tc>
      </w:tr>
      <w:tr w14:paraId="03B01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vAlign w:val="center"/>
          </w:tcPr>
          <w:p w14:paraId="6CCAC307">
            <w:pPr>
              <w:pStyle w:val="23"/>
              <w:spacing w:line="480" w:lineRule="atLeast"/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>附件清单</w:t>
            </w:r>
          </w:p>
        </w:tc>
        <w:tc>
          <w:tcPr>
            <w:tcW w:w="6996" w:type="dxa"/>
            <w:vAlign w:val="center"/>
          </w:tcPr>
          <w:p w14:paraId="26DAAC42">
            <w:pPr>
              <w:pStyle w:val="23"/>
              <w:spacing w:line="480" w:lineRule="atLeast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无。</w:t>
            </w:r>
          </w:p>
        </w:tc>
      </w:tr>
      <w:tr w14:paraId="57CEA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 w14:paraId="47C0C8B3">
            <w:pPr>
              <w:pStyle w:val="23"/>
              <w:spacing w:line="480" w:lineRule="atLeast"/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>日期</w:t>
            </w:r>
          </w:p>
        </w:tc>
        <w:tc>
          <w:tcPr>
            <w:tcW w:w="6996" w:type="dxa"/>
            <w:vAlign w:val="center"/>
          </w:tcPr>
          <w:p w14:paraId="6E82F1F5">
            <w:pPr>
              <w:pStyle w:val="23"/>
              <w:spacing w:line="480" w:lineRule="atLeast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hint="eastAsia" w:ascii="Times New Roman" w:hAnsi="Times New Roman"/>
                <w:bCs/>
                <w:iCs/>
                <w:sz w:val="24"/>
                <w:lang w:val="en-US" w:eastAsia="zh-CN"/>
              </w:rPr>
              <w:t>2026</w:t>
            </w:r>
            <w:r>
              <w:rPr>
                <w:rFonts w:ascii="Times New Roman" w:hAnsi="Times New Roman"/>
                <w:bCs/>
                <w:iCs/>
                <w:sz w:val="24"/>
              </w:rPr>
              <w:t>年</w:t>
            </w:r>
            <w:r>
              <w:rPr>
                <w:rFonts w:hint="eastAsia" w:ascii="Times New Roman" w:hAnsi="Times New Roman"/>
                <w:bCs/>
                <w:iCs/>
                <w:sz w:val="24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bCs/>
                <w:iCs/>
                <w:sz w:val="24"/>
              </w:rPr>
              <w:t>月</w:t>
            </w:r>
            <w:r>
              <w:rPr>
                <w:rFonts w:hint="eastAsia" w:ascii="Times New Roman" w:hAnsi="Times New Roman"/>
                <w:bCs/>
                <w:iCs/>
                <w:sz w:val="24"/>
                <w:lang w:val="en-US" w:eastAsia="zh-CN"/>
              </w:rPr>
              <w:t>7</w:t>
            </w:r>
            <w:r>
              <w:rPr>
                <w:rFonts w:ascii="Times New Roman" w:hAnsi="Times New Roman"/>
                <w:bCs/>
                <w:iCs/>
                <w:sz w:val="24"/>
              </w:rPr>
              <w:t>日</w:t>
            </w:r>
          </w:p>
        </w:tc>
      </w:tr>
    </w:tbl>
    <w:p w14:paraId="04E5C3DF">
      <w:pPr>
        <w:rPr>
          <w:rFonts w:ascii="Times New Roman" w:hAnsi="Times New Roman"/>
          <w:sz w:val="28"/>
          <w:szCs w:val="28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26294211"/>
      <w:docPartObj>
        <w:docPartGallery w:val="autotext"/>
      </w:docPartObj>
    </w:sdtPr>
    <w:sdtContent>
      <w:p w14:paraId="285EA831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258E2017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3ZDIwZThmZWJiMDE0MGJhYjBhZDhjMDFhN2JhMTcifQ=="/>
    <w:docVar w:name="KSO_WPS_MARK_KEY" w:val="05762b01-7849-4482-a95d-6aeb1139b09a"/>
  </w:docVars>
  <w:rsids>
    <w:rsidRoot w:val="00172A27"/>
    <w:rsid w:val="000E7FD8"/>
    <w:rsid w:val="001C5BB5"/>
    <w:rsid w:val="002037D4"/>
    <w:rsid w:val="002A4B4C"/>
    <w:rsid w:val="004F05BD"/>
    <w:rsid w:val="005516FE"/>
    <w:rsid w:val="005D3B41"/>
    <w:rsid w:val="00660AD4"/>
    <w:rsid w:val="006A76EB"/>
    <w:rsid w:val="007A6170"/>
    <w:rsid w:val="00837B23"/>
    <w:rsid w:val="00BF44E6"/>
    <w:rsid w:val="00C528EC"/>
    <w:rsid w:val="00C96D4E"/>
    <w:rsid w:val="00D70E55"/>
    <w:rsid w:val="01BE6AF9"/>
    <w:rsid w:val="062E19DF"/>
    <w:rsid w:val="086C2CFF"/>
    <w:rsid w:val="0AD97127"/>
    <w:rsid w:val="0B9557C4"/>
    <w:rsid w:val="0FB85531"/>
    <w:rsid w:val="11483D9E"/>
    <w:rsid w:val="11882673"/>
    <w:rsid w:val="15E962C8"/>
    <w:rsid w:val="1F0462B3"/>
    <w:rsid w:val="24CC5B07"/>
    <w:rsid w:val="25B3293E"/>
    <w:rsid w:val="2C8974F1"/>
    <w:rsid w:val="2EDB2EBB"/>
    <w:rsid w:val="326C0551"/>
    <w:rsid w:val="373C3BA7"/>
    <w:rsid w:val="38CD681E"/>
    <w:rsid w:val="39D4375B"/>
    <w:rsid w:val="3BB3534E"/>
    <w:rsid w:val="3BEE40FB"/>
    <w:rsid w:val="3C5C4961"/>
    <w:rsid w:val="3DC070B6"/>
    <w:rsid w:val="3E0A32AD"/>
    <w:rsid w:val="46F56910"/>
    <w:rsid w:val="49D77615"/>
    <w:rsid w:val="49EB3795"/>
    <w:rsid w:val="4A9F3C99"/>
    <w:rsid w:val="4E833DAC"/>
    <w:rsid w:val="554C3B9F"/>
    <w:rsid w:val="557378ED"/>
    <w:rsid w:val="59316DF8"/>
    <w:rsid w:val="5D973E86"/>
    <w:rsid w:val="5DDE5652"/>
    <w:rsid w:val="5FEA56D8"/>
    <w:rsid w:val="60B66CA4"/>
    <w:rsid w:val="6201536E"/>
    <w:rsid w:val="68182D7B"/>
    <w:rsid w:val="6BDA1271"/>
    <w:rsid w:val="6E711399"/>
    <w:rsid w:val="6F930442"/>
    <w:rsid w:val="75A65C8D"/>
    <w:rsid w:val="772D145B"/>
    <w:rsid w:val="7B292635"/>
    <w:rsid w:val="7B8E42D2"/>
    <w:rsid w:val="7D236D81"/>
    <w:rsid w:val="7EAE621F"/>
    <w:rsid w:val="7FFF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47"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黑体" w:cs="宋体"/>
      <w:sz w:val="32"/>
      <w:szCs w:val="22"/>
    </w:rPr>
  </w:style>
  <w:style w:type="paragraph" w:styleId="3">
    <w:name w:val="heading 3"/>
    <w:basedOn w:val="1"/>
    <w:next w:val="1"/>
    <w:unhideWhenUsed/>
    <w:qFormat/>
    <w:uiPriority w:val="0"/>
    <w:pPr>
      <w:snapToGrid w:val="0"/>
      <w:spacing w:line="580" w:lineRule="exact"/>
      <w:ind w:firstLine="560" w:firstLineChars="200"/>
      <w:jc w:val="left"/>
      <w:outlineLvl w:val="2"/>
    </w:pPr>
    <w:rPr>
      <w:rFonts w:hint="eastAsia" w:ascii="宋体" w:hAnsi="宋体" w:eastAsia="楷体"/>
      <w:kern w:val="0"/>
      <w:szCs w:val="27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qFormat/>
    <w:uiPriority w:val="0"/>
    <w:pPr>
      <w:jc w:val="left"/>
    </w:pPr>
  </w:style>
  <w:style w:type="paragraph" w:styleId="5">
    <w:name w:val="Body Text Indent"/>
    <w:qFormat/>
    <w:uiPriority w:val="99"/>
    <w:pPr>
      <w:spacing w:after="120"/>
      <w:ind w:left="420" w:leftChars="200"/>
    </w:pPr>
    <w:rPr>
      <w:rFonts w:ascii="Calibri" w:hAnsi="Calibri" w:eastAsia="宋体" w:cs="Times New Roman"/>
      <w:lang w:val="en-US" w:eastAsia="zh-CN" w:bidi="ar-SA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19"/>
    <w:qFormat/>
    <w:uiPriority w:val="0"/>
    <w:rPr>
      <w:b/>
      <w:bCs/>
    </w:rPr>
  </w:style>
  <w:style w:type="character" w:styleId="13">
    <w:name w:val="annotation reference"/>
    <w:qFormat/>
    <w:uiPriority w:val="0"/>
    <w:rPr>
      <w:sz w:val="21"/>
      <w:szCs w:val="21"/>
    </w:rPr>
  </w:style>
  <w:style w:type="character" w:customStyle="1" w:styleId="14">
    <w:name w:val="页脚 Char"/>
    <w:link w:val="7"/>
    <w:qFormat/>
    <w:uiPriority w:val="99"/>
    <w:rPr>
      <w:kern w:val="2"/>
      <w:sz w:val="18"/>
    </w:rPr>
  </w:style>
  <w:style w:type="character" w:customStyle="1" w:styleId="15">
    <w:name w:val="页码 New"/>
    <w:basedOn w:val="12"/>
    <w:qFormat/>
    <w:uiPriority w:val="0"/>
  </w:style>
  <w:style w:type="character" w:customStyle="1" w:styleId="16">
    <w:name w:val="页码 New New"/>
    <w:basedOn w:val="12"/>
    <w:qFormat/>
    <w:uiPriority w:val="0"/>
  </w:style>
  <w:style w:type="character" w:customStyle="1" w:styleId="17">
    <w:name w:val="页码 New New New"/>
    <w:basedOn w:val="12"/>
    <w:qFormat/>
    <w:uiPriority w:val="0"/>
  </w:style>
  <w:style w:type="character" w:customStyle="1" w:styleId="18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19">
    <w:name w:val="批注主题 Char"/>
    <w:link w:val="10"/>
    <w:qFormat/>
    <w:uiPriority w:val="0"/>
    <w:rPr>
      <w:b/>
      <w:bCs/>
      <w:kern w:val="2"/>
      <w:sz w:val="21"/>
    </w:rPr>
  </w:style>
  <w:style w:type="character" w:customStyle="1" w:styleId="20">
    <w:name w:val="批注文字 Char"/>
    <w:link w:val="4"/>
    <w:qFormat/>
    <w:uiPriority w:val="0"/>
    <w:rPr>
      <w:kern w:val="2"/>
      <w:sz w:val="21"/>
    </w:rPr>
  </w:style>
  <w:style w:type="character" w:customStyle="1" w:styleId="21">
    <w:name w:val="页码 New New New New"/>
    <w:basedOn w:val="12"/>
    <w:qFormat/>
    <w:uiPriority w:val="0"/>
  </w:style>
  <w:style w:type="paragraph" w:customStyle="1" w:styleId="22">
    <w:name w:val="正文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23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5">
    <w:name w:val="页眉1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right"/>
    </w:pPr>
    <w:rPr>
      <w:rFonts w:hint="eastAsia"/>
    </w:rPr>
  </w:style>
  <w:style w:type="paragraph" w:customStyle="1" w:styleId="26">
    <w:name w:val="页眉 New"/>
    <w:basedOn w:val="22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27">
    <w:name w:val="页脚 New New New"/>
    <w:basedOn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28">
    <w:name w:val="正文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29">
    <w:name w:val="页眉 New New"/>
    <w:basedOn w:val="28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30">
    <w:name w:val="正文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31">
    <w:name w:val="正文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32">
    <w:name w:val="页脚 New"/>
    <w:basedOn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3">
    <w:name w:val="页脚1"/>
    <w:basedOn w:val="1"/>
    <w:qFormat/>
    <w:uiPriority w:val="99"/>
    <w:pPr>
      <w:tabs>
        <w:tab w:val="center" w:pos="4153"/>
        <w:tab w:val="right" w:pos="8306"/>
      </w:tabs>
      <w:snapToGrid w:val="0"/>
      <w:jc w:val="right"/>
    </w:pPr>
    <w:rPr>
      <w:rFonts w:hint="eastAsia"/>
    </w:rPr>
  </w:style>
  <w:style w:type="paragraph" w:customStyle="1" w:styleId="34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35">
    <w:name w:val="页脚 New New"/>
    <w:basedOn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6">
    <w:name w:val="页脚 New New New New"/>
    <w:basedOn w:val="3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7">
    <w:name w:val="正文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8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9">
    <w:name w:val="修订1"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0">
    <w:name w:val="正文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1">
    <w:name w:val="正文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正文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5">
    <w:name w:val="正文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6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7">
    <w:name w:val="标题 2 Char"/>
    <w:basedOn w:val="12"/>
    <w:link w:val="2"/>
    <w:qFormat/>
    <w:uiPriority w:val="0"/>
    <w:rPr>
      <w:rFonts w:ascii="Arial" w:hAnsi="Arial" w:eastAsia="黑体" w:cs="宋体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A9F70-6449-4A4D-B13E-2815078932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1876</Words>
  <Characters>1948</Characters>
  <Lines>18</Lines>
  <Paragraphs>5</Paragraphs>
  <TotalTime>2</TotalTime>
  <ScaleCrop>false</ScaleCrop>
  <LinksUpToDate>false</LinksUpToDate>
  <CharactersWithSpaces>2011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2022-02-13T12:42:00Z</dcterms:created>
  <dc:creator>Administrator</dc:creator>
  <cp:lastModifiedBy>吴涛</cp:lastModifiedBy>
  <cp:lastPrinted>2021-09-30T09:58:00Z</cp:lastPrinted>
  <dcterms:modified xsi:type="dcterms:W3CDTF">2026-09-07T08:42:00Z</dcterms:modified>
  <dc:title>投资者关系活动记录表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ED60C61877FF47598572AB178B99AC4D_13</vt:lpwstr>
  </property>
  <property fmtid="{D5CDD505-2E9C-101B-9397-08002B2CF9AE}" pid="4" name="KSOTemplateDocerSaveRecord">
    <vt:lpwstr>eyJoZGlkIjoiNjU3ZDIwZThmZWJiMDE0MGJhYjBhZDhjMDFhN2JhMTciLCJ1c2VySWQiOiIxMDA2NzE5NDQ2In0=</vt:lpwstr>
  </property>
</Properties>
</file>