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04D" w:rsidRPr="008F3177" w:rsidRDefault="00D3704D" w:rsidP="00871A26">
      <w:pPr>
        <w:spacing w:beforeLines="50" w:before="156" w:afterLines="50" w:after="156" w:line="400" w:lineRule="exact"/>
        <w:rPr>
          <w:rFonts w:ascii="TimesNewRoman" w:hAnsi="宋体"/>
          <w:b/>
          <w:sz w:val="24"/>
        </w:rPr>
      </w:pPr>
      <w:r w:rsidRPr="008F3177">
        <w:rPr>
          <w:rFonts w:ascii="TimesNewRoman" w:hAnsi="宋体" w:hint="eastAsia"/>
          <w:b/>
          <w:sz w:val="24"/>
        </w:rPr>
        <w:t>证券代码：</w:t>
      </w:r>
      <w:r w:rsidR="009D2D7D" w:rsidRPr="008F3177">
        <w:rPr>
          <w:rFonts w:ascii="TimesNewRoman" w:hAnsi="TimesNewRoman"/>
          <w:b/>
          <w:sz w:val="24"/>
        </w:rPr>
        <w:t>688499</w:t>
      </w:r>
      <w:r w:rsidRPr="008F3177">
        <w:rPr>
          <w:rFonts w:ascii="TimesNewRoman" w:hAnsi="TimesNewRoman" w:hint="eastAsia"/>
          <w:b/>
          <w:sz w:val="24"/>
        </w:rPr>
        <w:t xml:space="preserve">                                </w:t>
      </w:r>
      <w:r w:rsidR="008F3177" w:rsidRPr="008F3177">
        <w:rPr>
          <w:rFonts w:ascii="TimesNewRoman" w:hAnsi="TimesNewRoman"/>
          <w:b/>
          <w:sz w:val="24"/>
        </w:rPr>
        <w:t xml:space="preserve">     </w:t>
      </w:r>
      <w:r w:rsidRPr="008F3177">
        <w:rPr>
          <w:rFonts w:ascii="TimesNewRoman" w:hAnsi="宋体" w:hint="eastAsia"/>
          <w:b/>
          <w:sz w:val="24"/>
        </w:rPr>
        <w:t>证券简称：</w:t>
      </w:r>
      <w:r w:rsidR="009D2D7D" w:rsidRPr="008F3177">
        <w:rPr>
          <w:rFonts w:ascii="TimesNewRoman" w:hAnsi="宋体" w:hint="eastAsia"/>
          <w:b/>
          <w:sz w:val="24"/>
        </w:rPr>
        <w:t>利元亨</w:t>
      </w:r>
    </w:p>
    <w:p w:rsidR="0076582A" w:rsidRPr="0076582A" w:rsidRDefault="009D2D7D" w:rsidP="0076582A">
      <w:pPr>
        <w:jc w:val="center"/>
        <w:rPr>
          <w:rFonts w:ascii="TimesNewRoman" w:hAnsi="宋体"/>
          <w:b/>
          <w:sz w:val="28"/>
          <w:szCs w:val="32"/>
        </w:rPr>
      </w:pPr>
      <w:r w:rsidRPr="0076582A">
        <w:rPr>
          <w:rFonts w:ascii="TimesNewRoman" w:hAnsi="宋体" w:hint="eastAsia"/>
          <w:b/>
          <w:sz w:val="28"/>
          <w:szCs w:val="32"/>
        </w:rPr>
        <w:t>广东利元亨智能装备</w:t>
      </w:r>
      <w:r w:rsidR="00E83A63" w:rsidRPr="0076582A">
        <w:rPr>
          <w:rFonts w:ascii="TimesNewRoman" w:hAnsi="宋体" w:hint="eastAsia"/>
          <w:b/>
          <w:sz w:val="28"/>
          <w:szCs w:val="32"/>
        </w:rPr>
        <w:t>股份有限公司</w:t>
      </w:r>
    </w:p>
    <w:p w:rsidR="00D3704D" w:rsidRPr="0076582A" w:rsidRDefault="00563647" w:rsidP="0076582A">
      <w:pPr>
        <w:jc w:val="center"/>
        <w:rPr>
          <w:rFonts w:ascii="TimesNewRoman" w:hAnsi="宋体"/>
          <w:b/>
          <w:sz w:val="28"/>
          <w:szCs w:val="32"/>
        </w:rPr>
      </w:pPr>
      <w:r w:rsidRPr="0076582A">
        <w:rPr>
          <w:rFonts w:ascii="TimesNewRoman" w:hAnsi="TimesNewRoman" w:hint="eastAsia"/>
          <w:b/>
          <w:sz w:val="28"/>
          <w:szCs w:val="32"/>
        </w:rPr>
        <w:t>投资者交流记录表</w:t>
      </w:r>
    </w:p>
    <w:p w:rsidR="00D3704D" w:rsidRPr="00943E94" w:rsidRDefault="00D3704D" w:rsidP="00D3704D">
      <w:pPr>
        <w:spacing w:line="400" w:lineRule="exact"/>
        <w:rPr>
          <w:rFonts w:ascii="TimesNewRoman" w:hAnsi="TimesNewRoman" w:hint="eastAsia"/>
          <w:sz w:val="24"/>
        </w:rPr>
      </w:pPr>
      <w:r w:rsidRPr="00943E94">
        <w:rPr>
          <w:rFonts w:ascii="TimesNewRoman" w:hAnsi="TimesNewRoman" w:hint="eastAsia"/>
          <w:sz w:val="24"/>
        </w:rPr>
        <w:t xml:space="preserve">                    </w:t>
      </w:r>
      <w:r w:rsidR="009F518A">
        <w:rPr>
          <w:rFonts w:ascii="TimesNewRoman" w:hAnsi="TimesNewRoman" w:hint="eastAsia"/>
          <w:sz w:val="24"/>
        </w:rPr>
        <w:t xml:space="preserve">                               </w:t>
      </w:r>
      <w:r w:rsidRPr="00943E94">
        <w:rPr>
          <w:rFonts w:ascii="TimesNewRoman" w:hAnsi="TimesNewRoman" w:hint="eastAsia"/>
          <w:sz w:val="24"/>
        </w:rPr>
        <w:t xml:space="preserve"> </w:t>
      </w:r>
      <w:r w:rsidRPr="00943E94">
        <w:rPr>
          <w:rFonts w:ascii="TimesNewRoman" w:hAnsi="宋体" w:hint="eastAsia"/>
          <w:sz w:val="24"/>
        </w:rPr>
        <w:t>编号：</w:t>
      </w:r>
      <w:r w:rsidR="004D2728" w:rsidRPr="004D2728">
        <w:rPr>
          <w:rFonts w:ascii="TimesNewRoman" w:hAnsi="TimesNewRoman"/>
          <w:sz w:val="24"/>
        </w:rPr>
        <w:t>202</w:t>
      </w:r>
      <w:r w:rsidR="000D0CAF">
        <w:rPr>
          <w:rFonts w:ascii="TimesNewRoman" w:hAnsi="TimesNewRoman"/>
          <w:sz w:val="24"/>
        </w:rPr>
        <w:t>6</w:t>
      </w:r>
      <w:r w:rsidR="009F518A">
        <w:rPr>
          <w:rFonts w:ascii="TimesNewRoman" w:hAnsi="TimesNewRoman" w:hint="eastAsia"/>
          <w:sz w:val="24"/>
        </w:rPr>
        <w:t>-</w:t>
      </w:r>
      <w:r w:rsidR="00D86EA6">
        <w:rPr>
          <w:rFonts w:ascii="TimesNewRoman" w:hAnsi="TimesNewRoman"/>
          <w:sz w:val="24"/>
        </w:rPr>
        <w:t>09</w:t>
      </w:r>
      <w:r w:rsidR="004D2728" w:rsidRPr="004D2728">
        <w:rPr>
          <w:rFonts w:ascii="TimesNewRoman" w:hAnsi="TimesNewRoman"/>
          <w:sz w:val="24"/>
        </w:rPr>
        <w:t>00</w:t>
      </w:r>
      <w:r w:rsidR="000D0CAF">
        <w:rPr>
          <w:rFonts w:ascii="TimesNewRoman" w:hAnsi="TimesNewRoman"/>
          <w:sz w:val="24"/>
        </w:rPr>
        <w:t>1</w:t>
      </w:r>
    </w:p>
    <w:tbl>
      <w:tblPr>
        <w:tblW w:w="9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3"/>
        <w:gridCol w:w="7392"/>
      </w:tblGrid>
      <w:tr w:rsidR="00D3704D" w:rsidRPr="00943E94" w:rsidTr="00AE22CC">
        <w:trPr>
          <w:trHeight w:val="2126"/>
          <w:jc w:val="center"/>
        </w:trPr>
        <w:tc>
          <w:tcPr>
            <w:tcW w:w="1633" w:type="dxa"/>
            <w:vAlign w:val="center"/>
          </w:tcPr>
          <w:p w:rsidR="00D3704D" w:rsidRPr="00943E94" w:rsidRDefault="00D3704D" w:rsidP="00BB5AD9">
            <w:pPr>
              <w:spacing w:line="480" w:lineRule="atLeast"/>
              <w:jc w:val="center"/>
              <w:rPr>
                <w:rFonts w:ascii="TimesNewRoman" w:hAnsi="TimesNewRoman" w:hint="eastAsia"/>
                <w:b/>
                <w:sz w:val="24"/>
              </w:rPr>
            </w:pPr>
            <w:r w:rsidRPr="00943E94">
              <w:rPr>
                <w:rFonts w:ascii="TimesNewRoman" w:hAnsi="宋体" w:hint="eastAsia"/>
                <w:b/>
                <w:sz w:val="24"/>
              </w:rPr>
              <w:t>投资者关系活动类别</w:t>
            </w:r>
          </w:p>
        </w:tc>
        <w:tc>
          <w:tcPr>
            <w:tcW w:w="7392" w:type="dxa"/>
            <w:tcBorders>
              <w:bottom w:val="single" w:sz="4" w:space="0" w:color="auto"/>
            </w:tcBorders>
          </w:tcPr>
          <w:p w:rsidR="00D3704D" w:rsidRPr="00943E94" w:rsidRDefault="009D2D7D" w:rsidP="002749ED">
            <w:pPr>
              <w:spacing w:line="480" w:lineRule="atLeast"/>
              <w:rPr>
                <w:rFonts w:ascii="TimesNewRoman" w:hAnsi="TimesNewRoman" w:hint="eastAsia"/>
                <w:sz w:val="24"/>
              </w:rPr>
            </w:pPr>
            <w:r w:rsidRPr="00943E94">
              <w:rPr>
                <w:rFonts w:ascii="TimesNewRoman" w:hAnsi="TimesNewRoman" w:hint="eastAsia"/>
                <w:sz w:val="24"/>
              </w:rPr>
              <w:t>□</w:t>
            </w:r>
            <w:r w:rsidR="00D3704D" w:rsidRPr="00943E94">
              <w:rPr>
                <w:rFonts w:ascii="TimesNewRoman" w:hAnsi="宋体" w:hint="eastAsia"/>
                <w:sz w:val="24"/>
              </w:rPr>
              <w:t>特定对象调研</w:t>
            </w:r>
            <w:r w:rsidR="00337761">
              <w:rPr>
                <w:rFonts w:ascii="TimesNewRoman" w:hAnsi="TimesNewRoman" w:hint="eastAsia"/>
                <w:sz w:val="24"/>
              </w:rPr>
              <w:t xml:space="preserve">      </w:t>
            </w:r>
            <w:r w:rsidR="006F3FA6">
              <w:rPr>
                <w:rFonts w:ascii="TimesNewRoman" w:hAnsi="TimesNewRoman" w:hint="eastAsia"/>
                <w:sz w:val="24"/>
              </w:rPr>
              <w:t xml:space="preserve">  </w:t>
            </w:r>
            <w:r w:rsidR="00337761" w:rsidRPr="00943E94">
              <w:rPr>
                <w:rFonts w:ascii="TimesNewRoman" w:hAnsi="TimesNewRoman" w:hint="eastAsia"/>
                <w:sz w:val="24"/>
              </w:rPr>
              <w:t>□</w:t>
            </w:r>
            <w:r w:rsidR="00D3704D" w:rsidRPr="00943E94">
              <w:rPr>
                <w:rFonts w:ascii="TimesNewRoman" w:hAnsi="宋体" w:hint="eastAsia"/>
                <w:sz w:val="24"/>
              </w:rPr>
              <w:t>分析师会议</w:t>
            </w:r>
          </w:p>
          <w:p w:rsidR="00D3704D" w:rsidRPr="00943E94" w:rsidRDefault="00D3704D" w:rsidP="002749ED">
            <w:pPr>
              <w:spacing w:line="480" w:lineRule="atLeast"/>
              <w:rPr>
                <w:rFonts w:ascii="TimesNewRoman" w:hAnsi="TimesNewRoman" w:hint="eastAsia"/>
                <w:sz w:val="24"/>
              </w:rPr>
            </w:pPr>
            <w:r w:rsidRPr="00943E94">
              <w:rPr>
                <w:rFonts w:ascii="TimesNewRoman" w:hAnsi="TimesNewRoman" w:hint="eastAsia"/>
                <w:sz w:val="24"/>
              </w:rPr>
              <w:t>□</w:t>
            </w:r>
            <w:r w:rsidRPr="00943E94">
              <w:rPr>
                <w:rFonts w:ascii="TimesNewRoman" w:hAnsi="宋体" w:hint="eastAsia"/>
                <w:sz w:val="24"/>
              </w:rPr>
              <w:t>媒体采访</w:t>
            </w:r>
            <w:r w:rsidRPr="00943E94">
              <w:rPr>
                <w:rFonts w:ascii="TimesNewRoman" w:hAnsi="TimesNewRoman" w:hint="eastAsia"/>
                <w:sz w:val="24"/>
              </w:rPr>
              <w:t xml:space="preserve">           </w:t>
            </w:r>
            <w:r w:rsidR="00D94658">
              <w:rPr>
                <w:rFonts w:ascii="TimesNewRoman" w:hAnsi="TimesNewRoman"/>
                <w:sz w:val="24"/>
              </w:rPr>
              <w:t xml:space="preserve"> </w:t>
            </w:r>
            <w:r w:rsidR="00D94658" w:rsidRPr="00D94658">
              <w:rPr>
                <w:rFonts w:ascii="TimesNewRoman" w:hAnsi="TimesNewRoman" w:hint="eastAsia"/>
                <w:sz w:val="24"/>
              </w:rPr>
              <w:t>■</w:t>
            </w:r>
            <w:r w:rsidR="00F323D2">
              <w:rPr>
                <w:rFonts w:ascii="TimesNewRoman" w:hAnsi="TimesNewRoman" w:hint="eastAsia"/>
                <w:sz w:val="24"/>
              </w:rPr>
              <w:t>业绩</w:t>
            </w:r>
            <w:r w:rsidRPr="00943E94">
              <w:rPr>
                <w:rFonts w:ascii="TimesNewRoman" w:hAnsi="宋体" w:hint="eastAsia"/>
                <w:sz w:val="24"/>
              </w:rPr>
              <w:t>说明会</w:t>
            </w:r>
          </w:p>
          <w:p w:rsidR="00D3704D" w:rsidRPr="00943E94" w:rsidRDefault="00D3704D" w:rsidP="002749ED">
            <w:pPr>
              <w:spacing w:line="480" w:lineRule="atLeast"/>
              <w:rPr>
                <w:rFonts w:ascii="TimesNewRoman" w:hAnsi="TimesNewRoman" w:hint="eastAsia"/>
                <w:sz w:val="24"/>
              </w:rPr>
            </w:pPr>
            <w:r w:rsidRPr="00943E94">
              <w:rPr>
                <w:rFonts w:ascii="TimesNewRoman" w:hAnsi="TimesNewRoman" w:hint="eastAsia"/>
                <w:sz w:val="24"/>
              </w:rPr>
              <w:t>□</w:t>
            </w:r>
            <w:r w:rsidRPr="00943E94">
              <w:rPr>
                <w:rFonts w:ascii="TimesNewRoman" w:hAnsi="宋体" w:hint="eastAsia"/>
                <w:sz w:val="24"/>
              </w:rPr>
              <w:t>新闻发布会</w:t>
            </w:r>
            <w:r w:rsidRPr="00943E94">
              <w:rPr>
                <w:rFonts w:ascii="TimesNewRoman" w:hAnsi="TimesNewRoman" w:hint="eastAsia"/>
                <w:sz w:val="24"/>
              </w:rPr>
              <w:t xml:space="preserve">          </w:t>
            </w:r>
            <w:r w:rsidRPr="00943E94">
              <w:rPr>
                <w:rFonts w:ascii="TimesNewRoman" w:hAnsi="TimesNewRoman" w:hint="eastAsia"/>
                <w:sz w:val="24"/>
              </w:rPr>
              <w:t>□</w:t>
            </w:r>
            <w:r w:rsidRPr="00943E94">
              <w:rPr>
                <w:rFonts w:ascii="TimesNewRoman" w:hAnsi="宋体" w:hint="eastAsia"/>
                <w:sz w:val="24"/>
              </w:rPr>
              <w:t>路演活动</w:t>
            </w:r>
          </w:p>
          <w:p w:rsidR="00D3704D" w:rsidRPr="00943E94" w:rsidRDefault="005B214F" w:rsidP="008C175B">
            <w:pPr>
              <w:tabs>
                <w:tab w:val="left" w:pos="3045"/>
                <w:tab w:val="center" w:pos="3199"/>
              </w:tabs>
              <w:spacing w:line="480" w:lineRule="atLeast"/>
              <w:rPr>
                <w:rFonts w:ascii="TimesNewRoman" w:hAnsi="TimesNewRoman" w:hint="eastAsia"/>
                <w:sz w:val="24"/>
              </w:rPr>
            </w:pPr>
            <w:r>
              <w:rPr>
                <w:rFonts w:ascii="宋体" w:hAnsi="宋体" w:hint="eastAsia"/>
                <w:sz w:val="24"/>
              </w:rPr>
              <w:t>■</w:t>
            </w:r>
            <w:r w:rsidR="00563647">
              <w:rPr>
                <w:rFonts w:ascii="TimesNewRoman" w:hAnsi="宋体" w:hint="eastAsia"/>
                <w:sz w:val="24"/>
              </w:rPr>
              <w:t>现场参观</w:t>
            </w:r>
            <w:r w:rsidR="00292646">
              <w:rPr>
                <w:rFonts w:ascii="TimesNewRoman" w:hAnsi="TimesNewRoman" w:hint="eastAsia"/>
                <w:sz w:val="24"/>
              </w:rPr>
              <w:t xml:space="preserve"> </w:t>
            </w:r>
            <w:r w:rsidR="00292646">
              <w:rPr>
                <w:rFonts w:ascii="TimesNewRoman" w:hAnsi="TimesNewRoman"/>
                <w:sz w:val="24"/>
              </w:rPr>
              <w:t xml:space="preserve">           </w:t>
            </w:r>
            <w:r w:rsidR="00D94658" w:rsidRPr="00943E94">
              <w:rPr>
                <w:rFonts w:ascii="TimesNewRoman" w:hAnsi="TimesNewRoman" w:hint="eastAsia"/>
                <w:sz w:val="24"/>
              </w:rPr>
              <w:t>□</w:t>
            </w:r>
            <w:r w:rsidR="008C175B" w:rsidRPr="008C175B">
              <w:rPr>
                <w:rFonts w:ascii="TimesNewRoman" w:hAnsi="TimesNewRoman" w:hint="eastAsia"/>
                <w:sz w:val="24"/>
              </w:rPr>
              <w:t>其他（电话会议）</w:t>
            </w:r>
            <w:r w:rsidR="00D3704D" w:rsidRPr="00943E94">
              <w:rPr>
                <w:rFonts w:ascii="TimesNewRoman" w:hAnsi="TimesNewRoman" w:hint="eastAsia"/>
                <w:sz w:val="24"/>
              </w:rPr>
              <w:t xml:space="preserve"> </w:t>
            </w:r>
          </w:p>
        </w:tc>
      </w:tr>
      <w:tr w:rsidR="00134783" w:rsidRPr="004973D8" w:rsidTr="00AE22CC">
        <w:trPr>
          <w:trHeight w:val="730"/>
          <w:jc w:val="center"/>
        </w:trPr>
        <w:tc>
          <w:tcPr>
            <w:tcW w:w="1633" w:type="dxa"/>
            <w:vAlign w:val="center"/>
          </w:tcPr>
          <w:p w:rsidR="00134783" w:rsidRPr="00943E94" w:rsidRDefault="00134783" w:rsidP="00AA5F3D">
            <w:pPr>
              <w:spacing w:line="480" w:lineRule="atLeast"/>
              <w:jc w:val="center"/>
              <w:rPr>
                <w:rFonts w:ascii="TimesNewRoman" w:hAnsi="TimesNewRoman" w:hint="eastAsia"/>
                <w:b/>
                <w:sz w:val="24"/>
              </w:rPr>
            </w:pPr>
            <w:r w:rsidRPr="00943E94">
              <w:rPr>
                <w:rFonts w:ascii="TimesNewRoman" w:hAnsi="宋体" w:hint="eastAsia"/>
                <w:b/>
                <w:sz w:val="24"/>
              </w:rPr>
              <w:t>参与单位名称</w:t>
            </w:r>
          </w:p>
        </w:tc>
        <w:tc>
          <w:tcPr>
            <w:tcW w:w="7392" w:type="dxa"/>
            <w:vAlign w:val="center"/>
          </w:tcPr>
          <w:p w:rsidR="00C24D7F" w:rsidRPr="003C4A03" w:rsidRDefault="00C24D7F" w:rsidP="00C24D7F">
            <w:pPr>
              <w:spacing w:line="480" w:lineRule="atLeast"/>
              <w:rPr>
                <w:rFonts w:ascii="TimesNewRoman" w:hAnsi="TimesNewRoman" w:hint="eastAsia"/>
                <w:b/>
                <w:sz w:val="24"/>
              </w:rPr>
            </w:pPr>
            <w:r w:rsidRPr="003C4A03">
              <w:rPr>
                <w:rFonts w:ascii="TimesNewRoman" w:hAnsi="TimesNewRoman" w:hint="eastAsia"/>
                <w:b/>
                <w:sz w:val="24"/>
              </w:rPr>
              <w:t>202</w:t>
            </w:r>
            <w:r w:rsidRPr="003C4A03">
              <w:rPr>
                <w:rFonts w:ascii="TimesNewRoman" w:hAnsi="TimesNewRoman"/>
                <w:b/>
                <w:sz w:val="24"/>
              </w:rPr>
              <w:t>6</w:t>
            </w:r>
            <w:r w:rsidRPr="003C4A03">
              <w:rPr>
                <w:rFonts w:ascii="TimesNewRoman" w:hAnsi="TimesNewRoman" w:hint="eastAsia"/>
                <w:b/>
                <w:sz w:val="24"/>
              </w:rPr>
              <w:t>年</w:t>
            </w:r>
            <w:r w:rsidRPr="003C4A03">
              <w:rPr>
                <w:rFonts w:ascii="TimesNewRoman" w:hAnsi="TimesNewRoman"/>
                <w:b/>
                <w:sz w:val="24"/>
              </w:rPr>
              <w:t>09</w:t>
            </w:r>
            <w:r w:rsidRPr="003C4A03">
              <w:rPr>
                <w:rFonts w:ascii="TimesNewRoman" w:hAnsi="TimesNewRoman" w:hint="eastAsia"/>
                <w:b/>
                <w:sz w:val="24"/>
              </w:rPr>
              <w:t>月</w:t>
            </w:r>
            <w:r w:rsidRPr="003C4A03">
              <w:rPr>
                <w:rFonts w:ascii="TimesNewRoman" w:hAnsi="TimesNewRoman"/>
                <w:b/>
                <w:sz w:val="24"/>
              </w:rPr>
              <w:t>03</w:t>
            </w:r>
            <w:r w:rsidRPr="003C4A03">
              <w:rPr>
                <w:rFonts w:ascii="TimesNewRoman" w:hAnsi="TimesNewRoman" w:hint="eastAsia"/>
                <w:b/>
                <w:sz w:val="24"/>
              </w:rPr>
              <w:t>日</w:t>
            </w:r>
            <w:r w:rsidRPr="003C4A03">
              <w:rPr>
                <w:rFonts w:ascii="TimesNewRoman" w:hAnsi="TimesNewRoman" w:hint="eastAsia"/>
                <w:b/>
                <w:sz w:val="24"/>
              </w:rPr>
              <w:t xml:space="preserve"> </w:t>
            </w:r>
            <w:r w:rsidRPr="003C4A03">
              <w:rPr>
                <w:rFonts w:ascii="TimesNewRoman" w:hAnsi="TimesNewRoman"/>
                <w:b/>
                <w:sz w:val="24"/>
              </w:rPr>
              <w:t>9</w:t>
            </w:r>
            <w:r w:rsidRPr="003C4A03">
              <w:rPr>
                <w:rFonts w:ascii="TimesNewRoman" w:hAnsi="TimesNewRoman" w:hint="eastAsia"/>
                <w:b/>
                <w:sz w:val="24"/>
              </w:rPr>
              <w:t>:0</w:t>
            </w:r>
            <w:r w:rsidRPr="003C4A03">
              <w:rPr>
                <w:rFonts w:ascii="TimesNewRoman" w:hAnsi="TimesNewRoman"/>
                <w:b/>
                <w:sz w:val="24"/>
              </w:rPr>
              <w:t>0-10</w:t>
            </w:r>
            <w:r w:rsidRPr="003C4A03">
              <w:rPr>
                <w:rFonts w:ascii="TimesNewRoman" w:hAnsi="TimesNewRoman" w:hint="eastAsia"/>
                <w:b/>
                <w:sz w:val="24"/>
              </w:rPr>
              <w:t>:4</w:t>
            </w:r>
            <w:r w:rsidRPr="003C4A03">
              <w:rPr>
                <w:rFonts w:ascii="TimesNewRoman" w:hAnsi="TimesNewRoman"/>
                <w:b/>
                <w:sz w:val="24"/>
              </w:rPr>
              <w:t>5</w:t>
            </w:r>
          </w:p>
          <w:p w:rsidR="00560574" w:rsidRDefault="00560574" w:rsidP="00C24D7F">
            <w:pPr>
              <w:spacing w:line="480" w:lineRule="atLeast"/>
              <w:rPr>
                <w:rFonts w:ascii="TimesNewRoman" w:hAnsi="TimesNewRoman" w:hint="eastAsia"/>
                <w:sz w:val="24"/>
              </w:rPr>
            </w:pPr>
            <w:r w:rsidRPr="00560574">
              <w:rPr>
                <w:rFonts w:ascii="TimesNewRoman" w:hAnsi="TimesNewRoman" w:hint="eastAsia"/>
                <w:sz w:val="24"/>
              </w:rPr>
              <w:t>汇丰前海证券、</w:t>
            </w:r>
            <w:r w:rsidRPr="00560574">
              <w:rPr>
                <w:rFonts w:ascii="TimesNewRoman" w:hAnsi="TimesNewRoman" w:hint="eastAsia"/>
                <w:sz w:val="24"/>
              </w:rPr>
              <w:t>William Blair</w:t>
            </w:r>
            <w:r w:rsidRPr="00560574">
              <w:rPr>
                <w:rFonts w:ascii="TimesNewRoman" w:hAnsi="TimesNewRoman" w:hint="eastAsia"/>
                <w:sz w:val="24"/>
              </w:rPr>
              <w:t>、</w:t>
            </w:r>
            <w:r w:rsidRPr="00560574">
              <w:rPr>
                <w:rFonts w:ascii="TimesNewRoman" w:hAnsi="TimesNewRoman" w:hint="eastAsia"/>
                <w:sz w:val="24"/>
              </w:rPr>
              <w:t>J.P.Morgan AM</w:t>
            </w:r>
            <w:r w:rsidRPr="00560574">
              <w:rPr>
                <w:rFonts w:ascii="TimesNewRoman" w:hAnsi="TimesNewRoman" w:hint="eastAsia"/>
                <w:sz w:val="24"/>
              </w:rPr>
              <w:t>（</w:t>
            </w:r>
            <w:r w:rsidRPr="00560574">
              <w:rPr>
                <w:rFonts w:ascii="TimesNewRoman" w:hAnsi="TimesNewRoman" w:hint="eastAsia"/>
                <w:sz w:val="24"/>
              </w:rPr>
              <w:t>UK</w:t>
            </w:r>
            <w:r w:rsidRPr="00560574">
              <w:rPr>
                <w:rFonts w:ascii="TimesNewRoman" w:hAnsi="TimesNewRoman" w:hint="eastAsia"/>
                <w:sz w:val="24"/>
              </w:rPr>
              <w:t>）、</w:t>
            </w:r>
            <w:r w:rsidRPr="00560574">
              <w:rPr>
                <w:rFonts w:ascii="TimesNewRoman" w:hAnsi="TimesNewRoman" w:hint="eastAsia"/>
                <w:sz w:val="24"/>
              </w:rPr>
              <w:t>ADIA</w:t>
            </w:r>
            <w:r w:rsidRPr="00560574">
              <w:rPr>
                <w:rFonts w:ascii="TimesNewRoman" w:hAnsi="TimesNewRoman" w:hint="eastAsia"/>
                <w:sz w:val="24"/>
              </w:rPr>
              <w:t>、</w:t>
            </w:r>
            <w:r w:rsidRPr="00560574">
              <w:rPr>
                <w:rFonts w:ascii="TimesNewRoman" w:hAnsi="TimesNewRoman" w:hint="eastAsia"/>
                <w:sz w:val="24"/>
              </w:rPr>
              <w:t>Capital Group (Credit)</w:t>
            </w:r>
            <w:r w:rsidRPr="00560574">
              <w:rPr>
                <w:rFonts w:ascii="TimesNewRoman" w:hAnsi="TimesNewRoman" w:hint="eastAsia"/>
                <w:sz w:val="24"/>
              </w:rPr>
              <w:t>、</w:t>
            </w:r>
            <w:r w:rsidRPr="00560574">
              <w:rPr>
                <w:rFonts w:ascii="TimesNewRoman" w:hAnsi="TimesNewRoman" w:hint="eastAsia"/>
                <w:sz w:val="24"/>
              </w:rPr>
              <w:t>Reserve Bank of Australia</w:t>
            </w:r>
            <w:r w:rsidRPr="00560574">
              <w:rPr>
                <w:rFonts w:ascii="TimesNewRoman" w:hAnsi="TimesNewRoman" w:hint="eastAsia"/>
                <w:sz w:val="24"/>
              </w:rPr>
              <w:t>、</w:t>
            </w:r>
            <w:r w:rsidRPr="00560574">
              <w:rPr>
                <w:rFonts w:ascii="TimesNewRoman" w:hAnsi="TimesNewRoman" w:hint="eastAsia"/>
                <w:sz w:val="24"/>
              </w:rPr>
              <w:t>MacKay Shields UK (Credit)</w:t>
            </w:r>
            <w:r w:rsidRPr="00560574">
              <w:rPr>
                <w:rFonts w:ascii="TimesNewRoman" w:hAnsi="TimesNewRoman" w:hint="eastAsia"/>
                <w:sz w:val="24"/>
              </w:rPr>
              <w:t>、</w:t>
            </w:r>
            <w:r w:rsidRPr="00560574">
              <w:rPr>
                <w:rFonts w:ascii="TimesNewRoman" w:hAnsi="TimesNewRoman"/>
                <w:sz w:val="24"/>
              </w:rPr>
              <w:t>Fidelity Management &amp; Research</w:t>
            </w:r>
            <w:r w:rsidR="0012007F">
              <w:rPr>
                <w:rFonts w:ascii="TimesNewRoman" w:hAnsi="TimesNewRoman" w:hint="eastAsia"/>
                <w:sz w:val="24"/>
              </w:rPr>
              <w:t>、</w:t>
            </w:r>
            <w:r w:rsidR="0012007F">
              <w:rPr>
                <w:rFonts w:ascii="TimesNewRoman" w:hAnsi="TimesNewRoman" w:hint="eastAsia"/>
                <w:sz w:val="24"/>
              </w:rPr>
              <w:t>U</w:t>
            </w:r>
            <w:r w:rsidR="0012007F">
              <w:rPr>
                <w:rFonts w:ascii="TimesNewRoman" w:hAnsi="TimesNewRoman"/>
                <w:sz w:val="24"/>
              </w:rPr>
              <w:t>G</w:t>
            </w:r>
            <w:r w:rsidR="00E96366" w:rsidRPr="00E96366">
              <w:rPr>
                <w:rFonts w:ascii="TimesNewRoman" w:hAnsi="TimesNewRoman" w:hint="eastAsia"/>
                <w:sz w:val="24"/>
              </w:rPr>
              <w:t>（合计</w:t>
            </w:r>
            <w:r w:rsidR="0012007F">
              <w:rPr>
                <w:rFonts w:ascii="TimesNewRoman" w:hAnsi="TimesNewRoman"/>
                <w:sz w:val="24"/>
              </w:rPr>
              <w:t>9</w:t>
            </w:r>
            <w:r w:rsidR="00E96366" w:rsidRPr="00E96366">
              <w:rPr>
                <w:rFonts w:ascii="TimesNewRoman" w:hAnsi="TimesNewRoman" w:hint="eastAsia"/>
                <w:sz w:val="24"/>
              </w:rPr>
              <w:t>家机构，</w:t>
            </w:r>
            <w:r w:rsidR="003C4A03">
              <w:rPr>
                <w:rFonts w:ascii="TimesNewRoman" w:hAnsi="TimesNewRoman"/>
                <w:sz w:val="24"/>
              </w:rPr>
              <w:t>12</w:t>
            </w:r>
            <w:r w:rsidR="00E96366" w:rsidRPr="00E96366">
              <w:rPr>
                <w:rFonts w:ascii="TimesNewRoman" w:hAnsi="TimesNewRoman" w:hint="eastAsia"/>
                <w:sz w:val="24"/>
              </w:rPr>
              <w:t>位投资者参与交流）（以上排名不分先后）</w:t>
            </w:r>
          </w:p>
          <w:p w:rsidR="00C24D7F" w:rsidRPr="003C4A03" w:rsidRDefault="00C24D7F" w:rsidP="003C4A03">
            <w:pPr>
              <w:spacing w:beforeLines="50" w:before="156" w:line="480" w:lineRule="atLeast"/>
              <w:rPr>
                <w:rFonts w:ascii="TimesNewRoman" w:eastAsiaTheme="minorEastAsia" w:hAnsi="TimesNewRoman" w:cs="Arial" w:hint="eastAsia"/>
                <w:b/>
                <w:color w:val="000000"/>
                <w:kern w:val="0"/>
                <w:sz w:val="24"/>
                <w:szCs w:val="24"/>
              </w:rPr>
            </w:pPr>
            <w:r w:rsidRPr="003C4A03">
              <w:rPr>
                <w:rFonts w:ascii="TimesNewRoman" w:hAnsi="TimesNewRoman" w:hint="eastAsia"/>
                <w:b/>
                <w:sz w:val="24"/>
              </w:rPr>
              <w:t>202</w:t>
            </w:r>
            <w:r w:rsidRPr="003C4A03">
              <w:rPr>
                <w:rFonts w:ascii="TimesNewRoman" w:hAnsi="TimesNewRoman"/>
                <w:b/>
                <w:sz w:val="24"/>
              </w:rPr>
              <w:t>6</w:t>
            </w:r>
            <w:r w:rsidRPr="003C4A03">
              <w:rPr>
                <w:rFonts w:ascii="TimesNewRoman" w:hAnsi="TimesNewRoman" w:hint="eastAsia"/>
                <w:b/>
                <w:sz w:val="24"/>
              </w:rPr>
              <w:t>年</w:t>
            </w:r>
            <w:r w:rsidRPr="003C4A03">
              <w:rPr>
                <w:rFonts w:ascii="TimesNewRoman" w:hAnsi="TimesNewRoman"/>
                <w:b/>
                <w:sz w:val="24"/>
              </w:rPr>
              <w:t>09</w:t>
            </w:r>
            <w:r w:rsidRPr="003C4A03">
              <w:rPr>
                <w:rFonts w:ascii="TimesNewRoman" w:hAnsi="TimesNewRoman" w:hint="eastAsia"/>
                <w:b/>
                <w:sz w:val="24"/>
              </w:rPr>
              <w:t>月</w:t>
            </w:r>
            <w:r w:rsidRPr="003C4A03">
              <w:rPr>
                <w:rFonts w:ascii="TimesNewRoman" w:hAnsi="TimesNewRoman"/>
                <w:b/>
                <w:sz w:val="24"/>
              </w:rPr>
              <w:t>03</w:t>
            </w:r>
            <w:r w:rsidRPr="003C4A03">
              <w:rPr>
                <w:rFonts w:ascii="TimesNewRoman" w:hAnsi="TimesNewRoman" w:hint="eastAsia"/>
                <w:b/>
                <w:sz w:val="24"/>
              </w:rPr>
              <w:t>日</w:t>
            </w:r>
            <w:r w:rsidRPr="003C4A03">
              <w:rPr>
                <w:rFonts w:ascii="TimesNewRoman" w:hAnsi="TimesNewRoman" w:hint="eastAsia"/>
                <w:b/>
                <w:sz w:val="24"/>
              </w:rPr>
              <w:t xml:space="preserve"> </w:t>
            </w:r>
            <w:r w:rsidRPr="003C4A03">
              <w:rPr>
                <w:rFonts w:ascii="TimesNewRoman" w:hAnsi="TimesNewRoman"/>
                <w:b/>
                <w:sz w:val="24"/>
              </w:rPr>
              <w:t>15</w:t>
            </w:r>
            <w:r w:rsidRPr="003C4A03">
              <w:rPr>
                <w:rFonts w:ascii="TimesNewRoman" w:hAnsi="TimesNewRoman" w:hint="eastAsia"/>
                <w:b/>
                <w:sz w:val="24"/>
              </w:rPr>
              <w:t>:00</w:t>
            </w:r>
            <w:r w:rsidRPr="003C4A03">
              <w:rPr>
                <w:rFonts w:ascii="TimesNewRoman" w:hAnsi="TimesNewRoman"/>
                <w:b/>
                <w:sz w:val="24"/>
              </w:rPr>
              <w:t>-17</w:t>
            </w:r>
            <w:r w:rsidRPr="003C4A03">
              <w:rPr>
                <w:rFonts w:ascii="TimesNewRoman" w:hAnsi="TimesNewRoman" w:hint="eastAsia"/>
                <w:b/>
                <w:sz w:val="24"/>
              </w:rPr>
              <w:t>:0</w:t>
            </w:r>
            <w:r w:rsidRPr="003C4A03">
              <w:rPr>
                <w:rFonts w:ascii="TimesNewRoman" w:hAnsi="TimesNewRoman"/>
                <w:b/>
                <w:sz w:val="24"/>
              </w:rPr>
              <w:t>0</w:t>
            </w:r>
          </w:p>
          <w:p w:rsidR="00C24D7F" w:rsidRPr="00C24D7F" w:rsidRDefault="006A1665" w:rsidP="00B813B8">
            <w:pPr>
              <w:spacing w:line="480" w:lineRule="atLeast"/>
              <w:rPr>
                <w:rFonts w:ascii="TimesNewRoman" w:eastAsiaTheme="minorEastAsia" w:hAnsi="TimesNewRoman" w:cs="Arial" w:hint="eastAsia"/>
                <w:color w:val="000000"/>
                <w:kern w:val="0"/>
                <w:sz w:val="24"/>
                <w:szCs w:val="24"/>
              </w:rPr>
            </w:pPr>
            <w:r w:rsidRPr="00C4136D">
              <w:rPr>
                <w:rFonts w:ascii="TimesNewRoman" w:eastAsiaTheme="minorEastAsia" w:hAnsi="TimesNewRoman" w:cs="Arial" w:hint="eastAsia"/>
                <w:color w:val="000000"/>
                <w:kern w:val="0"/>
                <w:sz w:val="24"/>
                <w:szCs w:val="24"/>
              </w:rPr>
              <w:t>通过</w:t>
            </w:r>
            <w:r w:rsidR="00933C3B" w:rsidRPr="00C4136D">
              <w:rPr>
                <w:rFonts w:ascii="TimesNewRoman" w:eastAsiaTheme="minorEastAsia" w:hAnsi="TimesNewRoman" w:cs="Arial" w:hint="eastAsia"/>
                <w:color w:val="000000"/>
                <w:kern w:val="0"/>
                <w:sz w:val="24"/>
                <w:szCs w:val="24"/>
              </w:rPr>
              <w:t>上证路演中心</w:t>
            </w:r>
            <w:r w:rsidRPr="00C4136D">
              <w:rPr>
                <w:rFonts w:ascii="TimesNewRoman" w:eastAsiaTheme="minorEastAsia" w:hAnsi="TimesNewRoman" w:cs="Arial" w:hint="eastAsia"/>
                <w:color w:val="000000"/>
                <w:kern w:val="0"/>
                <w:sz w:val="24"/>
                <w:szCs w:val="24"/>
              </w:rPr>
              <w:t>网站参与</w:t>
            </w:r>
            <w:r w:rsidR="00D86EA6" w:rsidRPr="00D86EA6">
              <w:rPr>
                <w:rFonts w:ascii="TimesNewRoman" w:eastAsiaTheme="minorEastAsia" w:hAnsi="TimesNewRoman" w:cs="Arial" w:hint="eastAsia"/>
                <w:color w:val="000000"/>
                <w:kern w:val="0"/>
                <w:sz w:val="24"/>
                <w:szCs w:val="24"/>
              </w:rPr>
              <w:t>科创板</w:t>
            </w:r>
            <w:r w:rsidR="00D86EA6" w:rsidRPr="00D86EA6">
              <w:rPr>
                <w:rFonts w:ascii="TimesNewRoman" w:eastAsiaTheme="minorEastAsia" w:hAnsi="TimesNewRoman" w:cs="Arial" w:hint="eastAsia"/>
                <w:color w:val="000000"/>
                <w:kern w:val="0"/>
                <w:sz w:val="24"/>
                <w:szCs w:val="24"/>
              </w:rPr>
              <w:t>2026</w:t>
            </w:r>
            <w:r w:rsidR="00D86EA6" w:rsidRPr="00D86EA6">
              <w:rPr>
                <w:rFonts w:ascii="TimesNewRoman" w:eastAsiaTheme="minorEastAsia" w:hAnsi="TimesNewRoman" w:cs="Arial" w:hint="eastAsia"/>
                <w:color w:val="000000"/>
                <w:kern w:val="0"/>
                <w:sz w:val="24"/>
                <w:szCs w:val="24"/>
              </w:rPr>
              <w:t>年半年度新能源行业集体业绩说明会</w:t>
            </w:r>
            <w:r w:rsidR="0097008B" w:rsidRPr="00C4136D">
              <w:rPr>
                <w:rFonts w:ascii="TimesNewRoman" w:eastAsiaTheme="minorEastAsia" w:hAnsi="TimesNewRoman" w:cs="Arial" w:hint="eastAsia"/>
                <w:color w:val="000000"/>
                <w:kern w:val="0"/>
                <w:sz w:val="24"/>
                <w:szCs w:val="24"/>
              </w:rPr>
              <w:t>的投资者</w:t>
            </w:r>
          </w:p>
        </w:tc>
      </w:tr>
      <w:tr w:rsidR="00D3704D" w:rsidRPr="00943E94" w:rsidTr="00AE22CC">
        <w:trPr>
          <w:trHeight w:val="638"/>
          <w:jc w:val="center"/>
        </w:trPr>
        <w:tc>
          <w:tcPr>
            <w:tcW w:w="1633" w:type="dxa"/>
            <w:vAlign w:val="center"/>
          </w:tcPr>
          <w:p w:rsidR="00D3704D" w:rsidRPr="00943E94" w:rsidRDefault="00D3704D" w:rsidP="00AA5F3D">
            <w:pPr>
              <w:spacing w:line="480" w:lineRule="atLeast"/>
              <w:jc w:val="center"/>
              <w:rPr>
                <w:rFonts w:ascii="TimesNewRoman" w:hAnsi="TimesNewRoman" w:hint="eastAsia"/>
                <w:b/>
                <w:sz w:val="24"/>
              </w:rPr>
            </w:pPr>
            <w:r w:rsidRPr="00943E94">
              <w:rPr>
                <w:rFonts w:ascii="TimesNewRoman" w:hAnsi="宋体" w:hint="eastAsia"/>
                <w:b/>
                <w:sz w:val="24"/>
              </w:rPr>
              <w:t>时间</w:t>
            </w:r>
          </w:p>
        </w:tc>
        <w:tc>
          <w:tcPr>
            <w:tcW w:w="7392" w:type="dxa"/>
          </w:tcPr>
          <w:p w:rsidR="00D3704D" w:rsidRPr="00C24D7F" w:rsidRDefault="004A7ECB" w:rsidP="00D86EA6">
            <w:pPr>
              <w:spacing w:line="480" w:lineRule="atLeast"/>
              <w:rPr>
                <w:rFonts w:ascii="TimesNewRoman" w:hAnsi="TimesNewRoman" w:hint="eastAsia"/>
                <w:sz w:val="24"/>
              </w:rPr>
            </w:pPr>
            <w:r w:rsidRPr="00C24D7F">
              <w:rPr>
                <w:rFonts w:ascii="TimesNewRoman" w:hAnsi="TimesNewRoman" w:hint="eastAsia"/>
                <w:sz w:val="24"/>
              </w:rPr>
              <w:t>202</w:t>
            </w:r>
            <w:r w:rsidR="00C20F11" w:rsidRPr="00C24D7F">
              <w:rPr>
                <w:rFonts w:ascii="TimesNewRoman" w:hAnsi="TimesNewRoman"/>
                <w:sz w:val="24"/>
              </w:rPr>
              <w:t>6</w:t>
            </w:r>
            <w:r w:rsidR="00DF0E3E" w:rsidRPr="00C24D7F">
              <w:rPr>
                <w:rFonts w:ascii="TimesNewRoman" w:hAnsi="TimesNewRoman" w:hint="eastAsia"/>
                <w:sz w:val="24"/>
              </w:rPr>
              <w:t>年</w:t>
            </w:r>
            <w:r w:rsidR="00D86EA6" w:rsidRPr="00C24D7F">
              <w:rPr>
                <w:rFonts w:ascii="TimesNewRoman" w:hAnsi="TimesNewRoman"/>
                <w:sz w:val="24"/>
              </w:rPr>
              <w:t>09</w:t>
            </w:r>
            <w:r w:rsidR="00DF0E3E" w:rsidRPr="00C24D7F">
              <w:rPr>
                <w:rFonts w:ascii="TimesNewRoman" w:hAnsi="TimesNewRoman" w:hint="eastAsia"/>
                <w:sz w:val="24"/>
              </w:rPr>
              <w:t>月</w:t>
            </w:r>
            <w:r w:rsidR="00D86EA6" w:rsidRPr="00C24D7F">
              <w:rPr>
                <w:rFonts w:ascii="TimesNewRoman" w:hAnsi="TimesNewRoman"/>
                <w:sz w:val="24"/>
              </w:rPr>
              <w:t>03</w:t>
            </w:r>
            <w:r w:rsidR="00960BBD" w:rsidRPr="00C24D7F">
              <w:rPr>
                <w:rFonts w:ascii="TimesNewRoman" w:hAnsi="TimesNewRoman" w:hint="eastAsia"/>
                <w:sz w:val="24"/>
              </w:rPr>
              <w:t>日</w:t>
            </w:r>
            <w:r w:rsidR="003C4A03">
              <w:rPr>
                <w:rFonts w:ascii="TimesNewRoman" w:hAnsi="TimesNewRoman"/>
                <w:sz w:val="24"/>
              </w:rPr>
              <w:t>9</w:t>
            </w:r>
            <w:r w:rsidR="003C4A03">
              <w:rPr>
                <w:rFonts w:ascii="TimesNewRoman" w:hAnsi="TimesNewRoman" w:hint="eastAsia"/>
                <w:sz w:val="24"/>
              </w:rPr>
              <w:t>:0</w:t>
            </w:r>
            <w:r w:rsidR="003C4A03">
              <w:rPr>
                <w:rFonts w:ascii="TimesNewRoman" w:hAnsi="TimesNewRoman"/>
                <w:sz w:val="24"/>
              </w:rPr>
              <w:t>0-10</w:t>
            </w:r>
            <w:r w:rsidR="003C4A03">
              <w:rPr>
                <w:rFonts w:ascii="TimesNewRoman" w:hAnsi="TimesNewRoman" w:hint="eastAsia"/>
                <w:sz w:val="24"/>
              </w:rPr>
              <w:t>:4</w:t>
            </w:r>
            <w:r w:rsidR="003C4A03">
              <w:rPr>
                <w:rFonts w:ascii="TimesNewRoman" w:hAnsi="TimesNewRoman"/>
                <w:sz w:val="24"/>
              </w:rPr>
              <w:t>5</w:t>
            </w:r>
            <w:r w:rsidR="003C4A03">
              <w:rPr>
                <w:rFonts w:ascii="TimesNewRoman" w:hAnsi="TimesNewRoman" w:hint="eastAsia"/>
                <w:sz w:val="24"/>
              </w:rPr>
              <w:t>、</w:t>
            </w:r>
            <w:r w:rsidR="00C20F11" w:rsidRPr="00C24D7F">
              <w:rPr>
                <w:rFonts w:ascii="TimesNewRoman" w:hAnsi="TimesNewRoman"/>
                <w:sz w:val="24"/>
              </w:rPr>
              <w:t>15</w:t>
            </w:r>
            <w:r w:rsidR="007403E6" w:rsidRPr="00C24D7F">
              <w:rPr>
                <w:rFonts w:ascii="TimesNewRoman" w:hAnsi="TimesNewRoman" w:hint="eastAsia"/>
                <w:sz w:val="24"/>
              </w:rPr>
              <w:t>:00</w:t>
            </w:r>
            <w:r w:rsidR="007403E6" w:rsidRPr="00C24D7F">
              <w:rPr>
                <w:rFonts w:ascii="TimesNewRoman" w:hAnsi="TimesNewRoman"/>
                <w:sz w:val="24"/>
              </w:rPr>
              <w:t>-17</w:t>
            </w:r>
            <w:r w:rsidR="007403E6" w:rsidRPr="00C24D7F">
              <w:rPr>
                <w:rFonts w:ascii="TimesNewRoman" w:hAnsi="TimesNewRoman" w:hint="eastAsia"/>
                <w:sz w:val="24"/>
              </w:rPr>
              <w:t>:0</w:t>
            </w:r>
            <w:r w:rsidR="007403E6" w:rsidRPr="00C24D7F">
              <w:rPr>
                <w:rFonts w:ascii="TimesNewRoman" w:hAnsi="TimesNewRoman"/>
                <w:sz w:val="24"/>
              </w:rPr>
              <w:t>0</w:t>
            </w:r>
          </w:p>
        </w:tc>
      </w:tr>
      <w:tr w:rsidR="00D3704D" w:rsidRPr="00943E94" w:rsidTr="00AE22CC">
        <w:trPr>
          <w:trHeight w:val="590"/>
          <w:jc w:val="center"/>
        </w:trPr>
        <w:tc>
          <w:tcPr>
            <w:tcW w:w="1633" w:type="dxa"/>
            <w:vAlign w:val="center"/>
          </w:tcPr>
          <w:p w:rsidR="00D3704D" w:rsidRPr="00943E94" w:rsidRDefault="00D3704D" w:rsidP="00AA5F3D">
            <w:pPr>
              <w:spacing w:line="480" w:lineRule="atLeast"/>
              <w:jc w:val="center"/>
              <w:rPr>
                <w:rFonts w:ascii="TimesNewRoman" w:hAnsi="TimesNewRoman" w:hint="eastAsia"/>
                <w:b/>
                <w:sz w:val="24"/>
              </w:rPr>
            </w:pPr>
            <w:r w:rsidRPr="00943E94">
              <w:rPr>
                <w:rFonts w:ascii="TimesNewRoman" w:hAnsi="宋体" w:hint="eastAsia"/>
                <w:b/>
                <w:sz w:val="24"/>
              </w:rPr>
              <w:t>地点</w:t>
            </w:r>
          </w:p>
        </w:tc>
        <w:tc>
          <w:tcPr>
            <w:tcW w:w="7392" w:type="dxa"/>
          </w:tcPr>
          <w:p w:rsidR="00D3704D" w:rsidRPr="00943E94" w:rsidRDefault="00E8502A" w:rsidP="002749ED">
            <w:pPr>
              <w:spacing w:line="480" w:lineRule="atLeast"/>
              <w:rPr>
                <w:rFonts w:ascii="TimesNewRoman" w:hAnsi="TimesNewRoman" w:hint="eastAsia"/>
                <w:sz w:val="24"/>
              </w:rPr>
            </w:pPr>
            <w:r>
              <w:rPr>
                <w:rFonts w:ascii="TimesNewRoman" w:hAnsi="TimesNewRoman" w:hint="eastAsia"/>
                <w:sz w:val="24"/>
              </w:rPr>
              <w:t>利元亨</w:t>
            </w:r>
            <w:r>
              <w:rPr>
                <w:rFonts w:ascii="TimesNewRoman" w:hAnsi="TimesNewRoman"/>
                <w:sz w:val="24"/>
              </w:rPr>
              <w:t>办公室</w:t>
            </w:r>
            <w:r>
              <w:rPr>
                <w:rFonts w:ascii="TimesNewRoman" w:hAnsi="TimesNewRoman" w:hint="eastAsia"/>
                <w:sz w:val="24"/>
              </w:rPr>
              <w:t>、</w:t>
            </w:r>
            <w:r w:rsidR="00933C3B">
              <w:rPr>
                <w:rFonts w:ascii="TimesNewRoman" w:hAnsi="TimesNewRoman" w:hint="eastAsia"/>
                <w:sz w:val="24"/>
              </w:rPr>
              <w:t>上证路演中心（</w:t>
            </w:r>
            <w:r w:rsidR="00933C3B" w:rsidRPr="00933C3B">
              <w:rPr>
                <w:rFonts w:ascii="TimesNewRoman" w:hAnsi="TimesNewRoman" w:hint="eastAsia"/>
                <w:sz w:val="24"/>
              </w:rPr>
              <w:t>https://roadshow.sseinfo.com/</w:t>
            </w:r>
            <w:r w:rsidR="00933C3B" w:rsidRPr="00933C3B">
              <w:rPr>
                <w:rFonts w:ascii="TimesNewRoman" w:hAnsi="TimesNewRoman" w:hint="eastAsia"/>
                <w:sz w:val="24"/>
              </w:rPr>
              <w:t>）</w:t>
            </w:r>
          </w:p>
        </w:tc>
      </w:tr>
      <w:tr w:rsidR="00D3704D" w:rsidRPr="00C20F11" w:rsidTr="00AE22CC">
        <w:trPr>
          <w:trHeight w:val="2018"/>
          <w:jc w:val="center"/>
        </w:trPr>
        <w:tc>
          <w:tcPr>
            <w:tcW w:w="1633" w:type="dxa"/>
            <w:vAlign w:val="center"/>
          </w:tcPr>
          <w:p w:rsidR="00D3704D" w:rsidRPr="00943E94" w:rsidRDefault="00D3704D" w:rsidP="00AA5F3D">
            <w:pPr>
              <w:spacing w:line="480" w:lineRule="atLeast"/>
              <w:jc w:val="center"/>
              <w:rPr>
                <w:rFonts w:ascii="TimesNewRoman" w:hAnsi="TimesNewRoman" w:hint="eastAsia"/>
                <w:b/>
                <w:sz w:val="24"/>
              </w:rPr>
            </w:pPr>
            <w:r w:rsidRPr="00943E94">
              <w:rPr>
                <w:rFonts w:ascii="TimesNewRoman" w:hAnsi="宋体" w:hint="eastAsia"/>
                <w:b/>
                <w:sz w:val="24"/>
              </w:rPr>
              <w:t>上市公司接待人员姓名</w:t>
            </w:r>
          </w:p>
        </w:tc>
        <w:tc>
          <w:tcPr>
            <w:tcW w:w="7392" w:type="dxa"/>
          </w:tcPr>
          <w:p w:rsidR="0097008B" w:rsidRDefault="0097008B" w:rsidP="00B52A9F">
            <w:pPr>
              <w:spacing w:line="480" w:lineRule="atLeast"/>
              <w:rPr>
                <w:rFonts w:ascii="TimesNewRoman" w:hAnsi="宋体"/>
                <w:sz w:val="24"/>
              </w:rPr>
            </w:pPr>
            <w:r w:rsidRPr="00AE7BA9">
              <w:rPr>
                <w:rFonts w:ascii="TimesNewRoman" w:hAnsi="宋体" w:hint="eastAsia"/>
                <w:sz w:val="24"/>
              </w:rPr>
              <w:t>广东利元亨智能装备股份有限公司</w:t>
            </w:r>
            <w:r>
              <w:rPr>
                <w:rFonts w:ascii="TimesNewRoman" w:hAnsi="宋体" w:hint="eastAsia"/>
                <w:sz w:val="24"/>
              </w:rPr>
              <w:t>董事长兼总裁</w:t>
            </w:r>
            <w:r w:rsidRPr="00AE7BA9">
              <w:rPr>
                <w:rFonts w:ascii="TimesNewRoman" w:hAnsi="宋体" w:hint="eastAsia"/>
                <w:sz w:val="24"/>
              </w:rPr>
              <w:t xml:space="preserve"> </w:t>
            </w:r>
            <w:r>
              <w:rPr>
                <w:rFonts w:ascii="TimesNewRoman" w:hAnsi="宋体" w:hint="eastAsia"/>
                <w:sz w:val="24"/>
              </w:rPr>
              <w:t>周俊雄</w:t>
            </w:r>
          </w:p>
          <w:p w:rsidR="0097008B" w:rsidRDefault="0097008B" w:rsidP="00B52A9F">
            <w:pPr>
              <w:spacing w:line="480" w:lineRule="atLeast"/>
              <w:rPr>
                <w:rFonts w:ascii="TimesNewRoman" w:hAnsi="宋体"/>
                <w:sz w:val="24"/>
              </w:rPr>
            </w:pPr>
            <w:r w:rsidRPr="00AE7BA9">
              <w:rPr>
                <w:rFonts w:ascii="TimesNewRoman" w:hAnsi="宋体" w:hint="eastAsia"/>
                <w:sz w:val="24"/>
              </w:rPr>
              <w:t>广东利元亨智能装备股份有限公司</w:t>
            </w:r>
            <w:r w:rsidR="00B11AD4">
              <w:rPr>
                <w:rFonts w:ascii="TimesNewRoman" w:hAnsi="宋体" w:hint="eastAsia"/>
                <w:sz w:val="24"/>
              </w:rPr>
              <w:t>副总裁兼财务总监</w:t>
            </w:r>
            <w:r w:rsidRPr="00AE7BA9">
              <w:rPr>
                <w:rFonts w:ascii="TimesNewRoman" w:hAnsi="宋体" w:hint="eastAsia"/>
                <w:sz w:val="24"/>
              </w:rPr>
              <w:t xml:space="preserve"> </w:t>
            </w:r>
            <w:r w:rsidR="00B11AD4">
              <w:rPr>
                <w:rFonts w:ascii="TimesNewRoman" w:hAnsi="宋体" w:hint="eastAsia"/>
                <w:sz w:val="24"/>
              </w:rPr>
              <w:t>高雪松</w:t>
            </w:r>
          </w:p>
          <w:p w:rsidR="004A7ECB" w:rsidRDefault="00AE7BA9" w:rsidP="00960BBD">
            <w:pPr>
              <w:spacing w:line="480" w:lineRule="atLeast"/>
              <w:rPr>
                <w:rFonts w:ascii="TimesNewRoman" w:hAnsi="宋体"/>
                <w:sz w:val="24"/>
              </w:rPr>
            </w:pPr>
            <w:r w:rsidRPr="00AE7BA9">
              <w:rPr>
                <w:rFonts w:ascii="TimesNewRoman" w:hAnsi="宋体" w:hint="eastAsia"/>
                <w:sz w:val="24"/>
              </w:rPr>
              <w:t>广东利元亨智能装备股份有限公司</w:t>
            </w:r>
            <w:r w:rsidR="004973D8">
              <w:rPr>
                <w:rFonts w:ascii="TimesNewRoman" w:hAnsi="宋体" w:hint="eastAsia"/>
                <w:sz w:val="24"/>
              </w:rPr>
              <w:t>董事会秘书</w:t>
            </w:r>
            <w:r w:rsidRPr="00AE7BA9">
              <w:rPr>
                <w:rFonts w:ascii="TimesNewRoman" w:hAnsi="宋体" w:hint="eastAsia"/>
                <w:sz w:val="24"/>
              </w:rPr>
              <w:t xml:space="preserve"> </w:t>
            </w:r>
            <w:r w:rsidRPr="00AE7BA9">
              <w:rPr>
                <w:rFonts w:ascii="TimesNewRoman" w:hAnsi="宋体" w:hint="eastAsia"/>
                <w:sz w:val="24"/>
              </w:rPr>
              <w:t>陈振容</w:t>
            </w:r>
          </w:p>
          <w:p w:rsidR="005B214F" w:rsidRPr="00933C3B" w:rsidRDefault="00B11AD4" w:rsidP="00960BBD">
            <w:pPr>
              <w:spacing w:line="480" w:lineRule="atLeast"/>
              <w:rPr>
                <w:rFonts w:ascii="TimesNewRoman" w:hAnsi="宋体"/>
                <w:sz w:val="24"/>
              </w:rPr>
            </w:pPr>
            <w:r>
              <w:rPr>
                <w:rFonts w:ascii="TimesNewRoman" w:hAnsi="宋体" w:hint="eastAsia"/>
                <w:sz w:val="24"/>
              </w:rPr>
              <w:t>广东</w:t>
            </w:r>
            <w:r w:rsidR="00FB0479">
              <w:rPr>
                <w:rFonts w:ascii="TimesNewRoman" w:hAnsi="宋体" w:hint="eastAsia"/>
                <w:sz w:val="24"/>
              </w:rPr>
              <w:t>利元亨智能装备股份有限公司独立董事</w:t>
            </w:r>
            <w:r w:rsidR="00E512BE">
              <w:rPr>
                <w:rFonts w:ascii="TimesNewRoman" w:hAnsi="宋体" w:hint="eastAsia"/>
                <w:sz w:val="24"/>
              </w:rPr>
              <w:t xml:space="preserve"> </w:t>
            </w:r>
            <w:r w:rsidR="00E512BE" w:rsidRPr="00C20F11">
              <w:rPr>
                <w:rFonts w:ascii="TimesNewRoman" w:hAnsi="宋体" w:hint="eastAsia"/>
                <w:sz w:val="24"/>
              </w:rPr>
              <w:t>聂新军</w:t>
            </w:r>
          </w:p>
        </w:tc>
      </w:tr>
      <w:tr w:rsidR="00CC352C" w:rsidRPr="00943E94" w:rsidTr="00AE22CC">
        <w:trPr>
          <w:trHeight w:val="706"/>
          <w:jc w:val="center"/>
        </w:trPr>
        <w:tc>
          <w:tcPr>
            <w:tcW w:w="1633" w:type="dxa"/>
            <w:vAlign w:val="center"/>
          </w:tcPr>
          <w:p w:rsidR="00CC352C" w:rsidRPr="00943E94" w:rsidRDefault="00CC352C" w:rsidP="00CC352C">
            <w:pPr>
              <w:spacing w:line="480" w:lineRule="atLeast"/>
              <w:jc w:val="center"/>
              <w:rPr>
                <w:rFonts w:ascii="TimesNewRoman" w:hAnsi="宋体"/>
                <w:b/>
                <w:sz w:val="24"/>
              </w:rPr>
            </w:pPr>
            <w:r w:rsidRPr="00DE27EC">
              <w:rPr>
                <w:rFonts w:ascii="TimesNewRoman" w:hAnsi="宋体" w:hint="eastAsia"/>
                <w:b/>
                <w:sz w:val="24"/>
              </w:rPr>
              <w:t>投资者关系活动主要内容介绍</w:t>
            </w:r>
          </w:p>
        </w:tc>
        <w:tc>
          <w:tcPr>
            <w:tcW w:w="7392" w:type="dxa"/>
          </w:tcPr>
          <w:p w:rsidR="00CC352C" w:rsidRPr="00E512BE" w:rsidRDefault="00CC352C" w:rsidP="0077741D">
            <w:pPr>
              <w:spacing w:line="480" w:lineRule="atLeast"/>
              <w:ind w:firstLineChars="200" w:firstLine="482"/>
              <w:rPr>
                <w:rFonts w:eastAsiaTheme="minorEastAsia"/>
                <w:b/>
                <w:sz w:val="24"/>
                <w:szCs w:val="24"/>
              </w:rPr>
            </w:pPr>
            <w:bookmarkStart w:id="0" w:name="OLE_LINK6"/>
            <w:bookmarkStart w:id="1" w:name="OLE_LINK7"/>
            <w:r w:rsidRPr="00E512BE">
              <w:rPr>
                <w:rFonts w:eastAsiaTheme="minorEastAsia"/>
                <w:b/>
                <w:sz w:val="24"/>
                <w:szCs w:val="24"/>
              </w:rPr>
              <w:t>问题：</w:t>
            </w:r>
            <w:r w:rsidR="0077741D" w:rsidRPr="0077741D">
              <w:rPr>
                <w:rFonts w:eastAsiaTheme="minorEastAsia" w:hint="eastAsia"/>
                <w:b/>
                <w:sz w:val="24"/>
                <w:szCs w:val="24"/>
              </w:rPr>
              <w:t>公司上半年新签不含税订单是多少？公司订单确收周期是多长时间？公司截止到二季度在手订单超</w:t>
            </w:r>
            <w:r w:rsidR="0077741D" w:rsidRPr="0077741D">
              <w:rPr>
                <w:rFonts w:eastAsiaTheme="minorEastAsia" w:hint="eastAsia"/>
                <w:b/>
                <w:sz w:val="24"/>
                <w:szCs w:val="24"/>
              </w:rPr>
              <w:t>50</w:t>
            </w:r>
            <w:r w:rsidR="0077741D" w:rsidRPr="0077741D">
              <w:rPr>
                <w:rFonts w:eastAsiaTheme="minorEastAsia" w:hint="eastAsia"/>
                <w:b/>
                <w:sz w:val="24"/>
                <w:szCs w:val="24"/>
              </w:rPr>
              <w:t>亿，麻烦按照下游行业拆分一下，主要是拆分锂电和非锂电的订单。公司上半年新签订单的毛利率是多少？锂电订单的毛利率是否相较于之前的新签订单有增</w:t>
            </w:r>
            <w:r w:rsidR="0077741D" w:rsidRPr="0077741D">
              <w:rPr>
                <w:rFonts w:eastAsiaTheme="minorEastAsia" w:hint="eastAsia"/>
                <w:b/>
                <w:sz w:val="24"/>
                <w:szCs w:val="24"/>
              </w:rPr>
              <w:lastRenderedPageBreak/>
              <w:t>长？下半年新签订单有指引吗？公司的研发费用主要应用在什么产品的研发上？</w:t>
            </w:r>
          </w:p>
          <w:p w:rsidR="0077741D" w:rsidRPr="0077741D" w:rsidRDefault="00CC352C" w:rsidP="0077741D">
            <w:pPr>
              <w:spacing w:line="480" w:lineRule="atLeast"/>
              <w:ind w:firstLineChars="200" w:firstLine="480"/>
              <w:rPr>
                <w:rFonts w:eastAsiaTheme="minorEastAsia"/>
                <w:sz w:val="24"/>
                <w:szCs w:val="24"/>
              </w:rPr>
            </w:pPr>
            <w:r w:rsidRPr="00E512BE">
              <w:rPr>
                <w:rFonts w:eastAsiaTheme="minorEastAsia"/>
                <w:sz w:val="24"/>
                <w:szCs w:val="24"/>
              </w:rPr>
              <w:t>答：</w:t>
            </w:r>
            <w:bookmarkEnd w:id="0"/>
            <w:bookmarkEnd w:id="1"/>
            <w:r w:rsidR="0077741D" w:rsidRPr="0077741D">
              <w:rPr>
                <w:rFonts w:eastAsiaTheme="minorEastAsia" w:hint="eastAsia"/>
                <w:sz w:val="24"/>
                <w:szCs w:val="24"/>
              </w:rPr>
              <w:t>尊敬的投资者您好！截至</w:t>
            </w:r>
            <w:r w:rsidR="0077741D" w:rsidRPr="0077741D">
              <w:rPr>
                <w:rFonts w:eastAsiaTheme="minorEastAsia" w:hint="eastAsia"/>
                <w:sz w:val="24"/>
                <w:szCs w:val="24"/>
              </w:rPr>
              <w:t>2026</w:t>
            </w:r>
            <w:r w:rsidR="0077741D" w:rsidRPr="0077741D">
              <w:rPr>
                <w:rFonts w:eastAsiaTheme="minorEastAsia" w:hint="eastAsia"/>
                <w:sz w:val="24"/>
                <w:szCs w:val="24"/>
              </w:rPr>
              <w:t>年</w:t>
            </w:r>
            <w:r w:rsidR="0077741D" w:rsidRPr="0077741D">
              <w:rPr>
                <w:rFonts w:eastAsiaTheme="minorEastAsia" w:hint="eastAsia"/>
                <w:sz w:val="24"/>
                <w:szCs w:val="24"/>
              </w:rPr>
              <w:t>6</w:t>
            </w:r>
            <w:r w:rsidR="0077741D" w:rsidRPr="0077741D">
              <w:rPr>
                <w:rFonts w:eastAsiaTheme="minorEastAsia" w:hint="eastAsia"/>
                <w:sz w:val="24"/>
                <w:szCs w:val="24"/>
              </w:rPr>
              <w:t>月末，公司在手订单超</w:t>
            </w:r>
            <w:r w:rsidR="0077741D" w:rsidRPr="0077741D">
              <w:rPr>
                <w:rFonts w:eastAsiaTheme="minorEastAsia" w:hint="eastAsia"/>
                <w:sz w:val="24"/>
                <w:szCs w:val="24"/>
              </w:rPr>
              <w:t>50</w:t>
            </w:r>
            <w:r w:rsidR="0077741D" w:rsidRPr="0077741D">
              <w:rPr>
                <w:rFonts w:eastAsiaTheme="minorEastAsia" w:hint="eastAsia"/>
                <w:sz w:val="24"/>
                <w:szCs w:val="24"/>
              </w:rPr>
              <w:t>亿元，其中锂电占比约</w:t>
            </w:r>
            <w:r w:rsidR="0077741D" w:rsidRPr="0077741D">
              <w:rPr>
                <w:rFonts w:eastAsiaTheme="minorEastAsia" w:hint="eastAsia"/>
                <w:sz w:val="24"/>
                <w:szCs w:val="24"/>
              </w:rPr>
              <w:t>80%</w:t>
            </w:r>
            <w:r w:rsidR="0077741D" w:rsidRPr="0077741D">
              <w:rPr>
                <w:rFonts w:eastAsiaTheme="minorEastAsia" w:hint="eastAsia"/>
                <w:sz w:val="24"/>
                <w:szCs w:val="24"/>
              </w:rPr>
              <w:t>。从订单结构看，核心客户均为技术实力强、扩产需求明确的优质客户，潜在订单资源池覆盖消费电子、动力电池、固态电池及储能等多个高增长领域，项目储备丰富，能够支持未来经营发展。结合与客户的的交流，预计下半年订单落地会持续增加。公司将继续坚持订单质量与客户质量的把控，注重利润及人均效益的提升。</w:t>
            </w:r>
          </w:p>
          <w:p w:rsidR="0077741D" w:rsidRPr="0077741D" w:rsidRDefault="0077741D" w:rsidP="0077741D">
            <w:pPr>
              <w:spacing w:line="480" w:lineRule="atLeast"/>
              <w:ind w:firstLineChars="200" w:firstLine="480"/>
              <w:rPr>
                <w:rFonts w:eastAsiaTheme="minorEastAsia"/>
                <w:sz w:val="24"/>
                <w:szCs w:val="24"/>
              </w:rPr>
            </w:pPr>
            <w:r w:rsidRPr="0077741D">
              <w:rPr>
                <w:rFonts w:eastAsiaTheme="minorEastAsia" w:hint="eastAsia"/>
                <w:sz w:val="24"/>
                <w:szCs w:val="24"/>
              </w:rPr>
              <w:t>在订单确收周期方面，受技术复杂度及客户要求等因素影响，从获得订单到客户验收，通常在</w:t>
            </w:r>
            <w:r w:rsidRPr="0077741D">
              <w:rPr>
                <w:rFonts w:eastAsiaTheme="minorEastAsia" w:hint="eastAsia"/>
                <w:sz w:val="24"/>
                <w:szCs w:val="24"/>
              </w:rPr>
              <w:t>6</w:t>
            </w:r>
            <w:r w:rsidRPr="0077741D">
              <w:rPr>
                <w:rFonts w:eastAsiaTheme="minorEastAsia" w:hint="eastAsia"/>
                <w:sz w:val="24"/>
                <w:szCs w:val="24"/>
              </w:rPr>
              <w:t>至</w:t>
            </w:r>
            <w:r w:rsidRPr="0077741D">
              <w:rPr>
                <w:rFonts w:eastAsiaTheme="minorEastAsia" w:hint="eastAsia"/>
                <w:sz w:val="24"/>
                <w:szCs w:val="24"/>
              </w:rPr>
              <w:t>18</w:t>
            </w:r>
            <w:r w:rsidRPr="0077741D">
              <w:rPr>
                <w:rFonts w:eastAsiaTheme="minorEastAsia" w:hint="eastAsia"/>
                <w:sz w:val="24"/>
                <w:szCs w:val="24"/>
              </w:rPr>
              <w:t>个月不等，整线项目时间会更长点。公司结算方式主要为“客户下单</w:t>
            </w:r>
            <w:r w:rsidRPr="0077741D">
              <w:rPr>
                <w:rFonts w:eastAsiaTheme="minorEastAsia" w:hint="eastAsia"/>
                <w:sz w:val="24"/>
                <w:szCs w:val="24"/>
              </w:rPr>
              <w:t>-</w:t>
            </w:r>
            <w:r w:rsidRPr="0077741D">
              <w:rPr>
                <w:rFonts w:eastAsiaTheme="minorEastAsia" w:hint="eastAsia"/>
                <w:sz w:val="24"/>
                <w:szCs w:val="24"/>
              </w:rPr>
              <w:t>产品发货</w:t>
            </w:r>
            <w:r w:rsidRPr="0077741D">
              <w:rPr>
                <w:rFonts w:eastAsiaTheme="minorEastAsia" w:hint="eastAsia"/>
                <w:sz w:val="24"/>
                <w:szCs w:val="24"/>
              </w:rPr>
              <w:t>-</w:t>
            </w:r>
            <w:r w:rsidRPr="0077741D">
              <w:rPr>
                <w:rFonts w:eastAsiaTheme="minorEastAsia" w:hint="eastAsia"/>
                <w:sz w:val="24"/>
                <w:szCs w:val="24"/>
              </w:rPr>
              <w:t>客户验收</w:t>
            </w:r>
            <w:r w:rsidRPr="0077741D">
              <w:rPr>
                <w:rFonts w:eastAsiaTheme="minorEastAsia" w:hint="eastAsia"/>
                <w:sz w:val="24"/>
                <w:szCs w:val="24"/>
              </w:rPr>
              <w:t>-</w:t>
            </w:r>
            <w:r w:rsidRPr="0077741D">
              <w:rPr>
                <w:rFonts w:eastAsiaTheme="minorEastAsia" w:hint="eastAsia"/>
                <w:sz w:val="24"/>
                <w:szCs w:val="24"/>
              </w:rPr>
              <w:t>质保期结束”的分步收款方式。</w:t>
            </w:r>
          </w:p>
          <w:p w:rsidR="0077741D" w:rsidRPr="0077741D" w:rsidRDefault="0077741D" w:rsidP="0077741D">
            <w:pPr>
              <w:spacing w:line="480" w:lineRule="atLeast"/>
              <w:ind w:firstLineChars="200" w:firstLine="480"/>
              <w:rPr>
                <w:rFonts w:eastAsiaTheme="minorEastAsia"/>
                <w:sz w:val="24"/>
                <w:szCs w:val="24"/>
              </w:rPr>
            </w:pPr>
            <w:r w:rsidRPr="0077741D">
              <w:rPr>
                <w:rFonts w:eastAsiaTheme="minorEastAsia" w:hint="eastAsia"/>
                <w:sz w:val="24"/>
                <w:szCs w:val="24"/>
              </w:rPr>
              <w:t>关于毛利率水平，</w:t>
            </w:r>
            <w:r w:rsidRPr="0077741D">
              <w:rPr>
                <w:rFonts w:eastAsiaTheme="minorEastAsia" w:hint="eastAsia"/>
                <w:sz w:val="24"/>
                <w:szCs w:val="24"/>
              </w:rPr>
              <w:t>2026</w:t>
            </w:r>
            <w:r w:rsidRPr="0077741D">
              <w:rPr>
                <w:rFonts w:eastAsiaTheme="minorEastAsia" w:hint="eastAsia"/>
                <w:sz w:val="24"/>
                <w:szCs w:val="24"/>
              </w:rPr>
              <w:t>年上半年公司综合毛利率为</w:t>
            </w:r>
            <w:r w:rsidRPr="0077741D">
              <w:rPr>
                <w:rFonts w:eastAsiaTheme="minorEastAsia" w:hint="eastAsia"/>
                <w:sz w:val="24"/>
                <w:szCs w:val="24"/>
              </w:rPr>
              <w:t>24.4%</w:t>
            </w:r>
            <w:r w:rsidRPr="0077741D">
              <w:rPr>
                <w:rFonts w:eastAsiaTheme="minorEastAsia" w:hint="eastAsia"/>
                <w:sz w:val="24"/>
                <w:szCs w:val="24"/>
              </w:rPr>
              <w:t>，与一季度基本持平。公司将努力提升毛利率水平，主要通过以下路径实现：一是技术积累与平台化能力，依托研发架构提升设备标准化、模块化水平，缩短项目周期，上半年公司维持稳定的研发资源投入，上半年研发投入</w:t>
            </w:r>
            <w:r w:rsidRPr="0077741D">
              <w:rPr>
                <w:rFonts w:eastAsiaTheme="minorEastAsia" w:hint="eastAsia"/>
                <w:sz w:val="24"/>
                <w:szCs w:val="24"/>
              </w:rPr>
              <w:t>1.98</w:t>
            </w:r>
            <w:r w:rsidRPr="0077741D">
              <w:rPr>
                <w:rFonts w:eastAsiaTheme="minorEastAsia" w:hint="eastAsia"/>
                <w:sz w:val="24"/>
                <w:szCs w:val="24"/>
              </w:rPr>
              <w:t>亿元，同比增长</w:t>
            </w:r>
            <w:r w:rsidRPr="0077741D">
              <w:rPr>
                <w:rFonts w:eastAsiaTheme="minorEastAsia" w:hint="eastAsia"/>
                <w:sz w:val="24"/>
                <w:szCs w:val="24"/>
              </w:rPr>
              <w:t>26.52%</w:t>
            </w:r>
            <w:r w:rsidRPr="0077741D">
              <w:rPr>
                <w:rFonts w:eastAsiaTheme="minorEastAsia" w:hint="eastAsia"/>
                <w:sz w:val="24"/>
                <w:szCs w:val="24"/>
              </w:rPr>
              <w:t>，占营收比例</w:t>
            </w:r>
            <w:r w:rsidRPr="0077741D">
              <w:rPr>
                <w:rFonts w:eastAsiaTheme="minorEastAsia" w:hint="eastAsia"/>
                <w:sz w:val="24"/>
                <w:szCs w:val="24"/>
              </w:rPr>
              <w:t>10.09%</w:t>
            </w:r>
            <w:r w:rsidRPr="0077741D">
              <w:rPr>
                <w:rFonts w:eastAsiaTheme="minorEastAsia" w:hint="eastAsia"/>
                <w:sz w:val="24"/>
                <w:szCs w:val="24"/>
              </w:rPr>
              <w:t>，为技术迭代与平台化建设提供支撑；二是持续降本增效，完善项目全周期成本管控体系，优化低效订单结构，依托集中采购、组织架构精简及人均产值考核实现刚性控费；三是海外业务拓展，完善本地化交付服务体系，提升海外订单转化效率。</w:t>
            </w:r>
          </w:p>
          <w:p w:rsidR="00BF016A" w:rsidRPr="00E512BE" w:rsidRDefault="0077741D" w:rsidP="0077741D">
            <w:pPr>
              <w:spacing w:line="480" w:lineRule="atLeast"/>
              <w:ind w:firstLineChars="200" w:firstLine="480"/>
              <w:rPr>
                <w:rFonts w:eastAsiaTheme="minorEastAsia"/>
                <w:sz w:val="24"/>
                <w:szCs w:val="24"/>
              </w:rPr>
            </w:pPr>
            <w:r w:rsidRPr="0077741D">
              <w:rPr>
                <w:rFonts w:eastAsiaTheme="minorEastAsia" w:hint="eastAsia"/>
                <w:sz w:val="24"/>
                <w:szCs w:val="24"/>
              </w:rPr>
              <w:t>研发投入方面，</w:t>
            </w:r>
            <w:r w:rsidRPr="0077741D">
              <w:rPr>
                <w:rFonts w:eastAsiaTheme="minorEastAsia" w:hint="eastAsia"/>
                <w:sz w:val="24"/>
                <w:szCs w:val="24"/>
              </w:rPr>
              <w:t>2026</w:t>
            </w:r>
            <w:r w:rsidRPr="0077741D">
              <w:rPr>
                <w:rFonts w:eastAsiaTheme="minorEastAsia" w:hint="eastAsia"/>
                <w:sz w:val="24"/>
                <w:szCs w:val="24"/>
              </w:rPr>
              <w:t>年上半年公司研发费用为</w:t>
            </w:r>
            <w:r w:rsidRPr="0077741D">
              <w:rPr>
                <w:rFonts w:eastAsiaTheme="minorEastAsia" w:hint="eastAsia"/>
                <w:sz w:val="24"/>
                <w:szCs w:val="24"/>
              </w:rPr>
              <w:t>1.98</w:t>
            </w:r>
            <w:r w:rsidRPr="0077741D">
              <w:rPr>
                <w:rFonts w:eastAsiaTheme="minorEastAsia" w:hint="eastAsia"/>
                <w:sz w:val="24"/>
                <w:szCs w:val="24"/>
              </w:rPr>
              <w:t>亿元，同比增长</w:t>
            </w:r>
            <w:r w:rsidRPr="0077741D">
              <w:rPr>
                <w:rFonts w:eastAsiaTheme="minorEastAsia" w:hint="eastAsia"/>
                <w:sz w:val="24"/>
                <w:szCs w:val="24"/>
              </w:rPr>
              <w:t>26.52%</w:t>
            </w:r>
            <w:r w:rsidRPr="0077741D">
              <w:rPr>
                <w:rFonts w:eastAsiaTheme="minorEastAsia" w:hint="eastAsia"/>
                <w:sz w:val="24"/>
                <w:szCs w:val="24"/>
              </w:rPr>
              <w:t>，占营收比例</w:t>
            </w:r>
            <w:r w:rsidRPr="0077741D">
              <w:rPr>
                <w:rFonts w:eastAsiaTheme="minorEastAsia" w:hint="eastAsia"/>
                <w:sz w:val="24"/>
                <w:szCs w:val="24"/>
              </w:rPr>
              <w:t>10.09%</w:t>
            </w:r>
            <w:r w:rsidRPr="0077741D">
              <w:rPr>
                <w:rFonts w:eastAsiaTheme="minorEastAsia" w:hint="eastAsia"/>
                <w:sz w:val="24"/>
                <w:szCs w:val="24"/>
              </w:rPr>
              <w:t>，主要围绕固态电池成套设备、</w:t>
            </w:r>
            <w:r w:rsidRPr="0077741D">
              <w:rPr>
                <w:rFonts w:eastAsiaTheme="minorEastAsia" w:hint="eastAsia"/>
                <w:sz w:val="24"/>
                <w:szCs w:val="24"/>
              </w:rPr>
              <w:t>TGV</w:t>
            </w:r>
            <w:r w:rsidRPr="0077741D">
              <w:rPr>
                <w:rFonts w:eastAsiaTheme="minorEastAsia" w:hint="eastAsia"/>
                <w:sz w:val="24"/>
                <w:szCs w:val="24"/>
              </w:rPr>
              <w:t>玻璃激光穿孔设备、工业</w:t>
            </w:r>
            <w:r w:rsidRPr="0077741D">
              <w:rPr>
                <w:rFonts w:eastAsiaTheme="minorEastAsia" w:hint="eastAsia"/>
                <w:sz w:val="24"/>
                <w:szCs w:val="24"/>
              </w:rPr>
              <w:t>AI</w:t>
            </w:r>
            <w:r w:rsidRPr="0077741D">
              <w:rPr>
                <w:rFonts w:eastAsiaTheme="minorEastAsia" w:hint="eastAsia"/>
                <w:sz w:val="24"/>
                <w:szCs w:val="24"/>
              </w:rPr>
              <w:t>智能工厂、精密检测装备、机器人配套工艺等核心方向持续推进。其中固态电池领域已打通干法电极制备、电解质转印、胶框叠片、温等静压致密化、高压化成分容全流程工艺设备链路，产品可适配多体系固态电池技术路线，并获得两家头部电池客户的固态电池关键机型及中试线订单。此外，消费锂电领域公司</w:t>
            </w:r>
            <w:r w:rsidRPr="0077741D">
              <w:rPr>
                <w:rFonts w:eastAsiaTheme="minorEastAsia" w:hint="eastAsia"/>
                <w:sz w:val="24"/>
                <w:szCs w:val="24"/>
              </w:rPr>
              <w:lastRenderedPageBreak/>
              <w:t>已切入前段核心工艺（涂布、辊压、干燥等），重点研发适配新工艺的新型前段专机。感谢关注！</w:t>
            </w:r>
            <w:r w:rsidR="00D86EA6" w:rsidRPr="00E512BE">
              <w:rPr>
                <w:rFonts w:eastAsiaTheme="minorEastAsia"/>
                <w:sz w:val="24"/>
                <w:szCs w:val="24"/>
              </w:rPr>
              <w:t xml:space="preserve"> </w:t>
            </w:r>
          </w:p>
          <w:p w:rsidR="00197937" w:rsidRPr="00E512BE" w:rsidRDefault="00C82970" w:rsidP="00BF016A">
            <w:pPr>
              <w:spacing w:beforeLines="50" w:before="156" w:line="480" w:lineRule="atLeast"/>
              <w:ind w:firstLineChars="200" w:firstLine="482"/>
              <w:rPr>
                <w:rFonts w:eastAsiaTheme="minorEastAsia"/>
                <w:b/>
                <w:sz w:val="24"/>
                <w:szCs w:val="24"/>
              </w:rPr>
            </w:pPr>
            <w:r w:rsidRPr="00E512BE">
              <w:rPr>
                <w:rFonts w:eastAsiaTheme="minorEastAsia"/>
                <w:b/>
                <w:sz w:val="24"/>
                <w:szCs w:val="24"/>
              </w:rPr>
              <w:t>问题：</w:t>
            </w:r>
            <w:r w:rsidR="0077741D" w:rsidRPr="0077741D">
              <w:rPr>
                <w:rFonts w:eastAsiaTheme="minorEastAsia" w:hint="eastAsia"/>
                <w:b/>
                <w:sz w:val="24"/>
                <w:szCs w:val="24"/>
              </w:rPr>
              <w:t>公司近两年年末的智能装备业务在手订单均超当年智能装备业务营收规模的三倍，请问制约交付的因素主要有哪些？是公司产能跟不上吗？</w:t>
            </w:r>
            <w:r w:rsidR="00D86EA6" w:rsidRPr="00E512BE">
              <w:rPr>
                <w:rFonts w:eastAsiaTheme="minorEastAsia"/>
                <w:b/>
                <w:sz w:val="24"/>
                <w:szCs w:val="24"/>
              </w:rPr>
              <w:t xml:space="preserve"> </w:t>
            </w:r>
          </w:p>
          <w:p w:rsidR="0077741D" w:rsidRPr="0077741D" w:rsidRDefault="002B7BC0" w:rsidP="0077741D">
            <w:pPr>
              <w:spacing w:line="480" w:lineRule="atLeast"/>
              <w:ind w:firstLineChars="200" w:firstLine="480"/>
              <w:rPr>
                <w:rFonts w:eastAsiaTheme="minorEastAsia"/>
                <w:sz w:val="24"/>
                <w:szCs w:val="24"/>
              </w:rPr>
            </w:pPr>
            <w:r w:rsidRPr="00E512BE">
              <w:rPr>
                <w:rFonts w:eastAsiaTheme="minorEastAsia"/>
                <w:sz w:val="24"/>
                <w:szCs w:val="24"/>
              </w:rPr>
              <w:t>答</w:t>
            </w:r>
            <w:r w:rsidR="00290376" w:rsidRPr="00E512BE">
              <w:rPr>
                <w:rFonts w:eastAsiaTheme="minorEastAsia"/>
                <w:sz w:val="24"/>
                <w:szCs w:val="24"/>
              </w:rPr>
              <w:t>：</w:t>
            </w:r>
            <w:r w:rsidR="0077741D" w:rsidRPr="0077741D">
              <w:rPr>
                <w:rFonts w:eastAsiaTheme="minorEastAsia" w:hint="eastAsia"/>
                <w:sz w:val="24"/>
                <w:szCs w:val="24"/>
              </w:rPr>
              <w:t>尊敬的投资者您好！公司产品为定制化高端智能制造装备，采用“以销定产”模式，收入确认以客户最终验收为准，公司的产品涵盖专机和整线，其中整线项目的验收周期会相对而言稍长。设备项目客户验收主要还是需要综合考虑客户场地、生产需求、前后段设备的协同、客供料等多重因素，反而交付不是制约公司项目验收的主要因素。</w:t>
            </w:r>
          </w:p>
          <w:p w:rsidR="00171AC7" w:rsidRPr="00E512BE" w:rsidRDefault="0077741D" w:rsidP="0077741D">
            <w:pPr>
              <w:spacing w:line="480" w:lineRule="atLeast"/>
              <w:ind w:firstLineChars="200" w:firstLine="480"/>
              <w:rPr>
                <w:rFonts w:eastAsiaTheme="minorEastAsia"/>
                <w:sz w:val="24"/>
                <w:szCs w:val="24"/>
              </w:rPr>
            </w:pPr>
            <w:r w:rsidRPr="0077741D">
              <w:rPr>
                <w:rFonts w:eastAsiaTheme="minorEastAsia" w:hint="eastAsia"/>
                <w:sz w:val="24"/>
                <w:szCs w:val="24"/>
              </w:rPr>
              <w:t>公司目前通过合理调配自有厂房和生产场地，包括前次可转债募投项目厂房已完成消防验收并投入使用，加快项目厂内周转速度，进一步提升产能利用率，能较好满足设备生产及大规模交付需求。感谢关注！</w:t>
            </w:r>
            <w:r w:rsidR="00D86EA6" w:rsidRPr="00E512BE">
              <w:rPr>
                <w:rFonts w:eastAsiaTheme="minorEastAsia"/>
                <w:sz w:val="24"/>
                <w:szCs w:val="24"/>
              </w:rPr>
              <w:t xml:space="preserve"> </w:t>
            </w:r>
          </w:p>
          <w:p w:rsidR="00BD0664" w:rsidRPr="00E512BE" w:rsidRDefault="00290376" w:rsidP="00933C3B">
            <w:pPr>
              <w:spacing w:beforeLines="50" w:before="156" w:line="480" w:lineRule="atLeast"/>
              <w:ind w:firstLineChars="200" w:firstLine="482"/>
              <w:rPr>
                <w:rFonts w:eastAsiaTheme="minorEastAsia"/>
                <w:b/>
                <w:sz w:val="24"/>
                <w:szCs w:val="24"/>
              </w:rPr>
            </w:pPr>
            <w:bookmarkStart w:id="2" w:name="OLE_LINK3"/>
            <w:bookmarkStart w:id="3" w:name="OLE_LINK4"/>
            <w:r w:rsidRPr="00E512BE">
              <w:rPr>
                <w:rFonts w:eastAsiaTheme="minorEastAsia"/>
                <w:b/>
                <w:sz w:val="24"/>
                <w:szCs w:val="24"/>
              </w:rPr>
              <w:t>问题：</w:t>
            </w:r>
            <w:r w:rsidR="0077741D" w:rsidRPr="0077741D">
              <w:rPr>
                <w:rFonts w:eastAsiaTheme="minorEastAsia" w:hint="eastAsia"/>
                <w:b/>
                <w:sz w:val="24"/>
                <w:szCs w:val="24"/>
              </w:rPr>
              <w:t>面对当前宏观经济环境，公司在下半年面临的毛利率压力主要来自哪些环节？</w:t>
            </w:r>
            <w:r w:rsidR="00D86EA6" w:rsidRPr="00E512BE">
              <w:rPr>
                <w:rFonts w:eastAsiaTheme="minorEastAsia"/>
                <w:b/>
                <w:sz w:val="24"/>
                <w:szCs w:val="24"/>
              </w:rPr>
              <w:t xml:space="preserve"> </w:t>
            </w:r>
          </w:p>
          <w:p w:rsidR="00337DBF" w:rsidRDefault="002B7BC0" w:rsidP="00885673">
            <w:pPr>
              <w:spacing w:line="480" w:lineRule="atLeast"/>
              <w:ind w:firstLineChars="200" w:firstLine="480"/>
              <w:rPr>
                <w:rFonts w:eastAsiaTheme="minorEastAsia"/>
                <w:sz w:val="24"/>
                <w:szCs w:val="24"/>
              </w:rPr>
            </w:pPr>
            <w:r w:rsidRPr="00E512BE">
              <w:rPr>
                <w:rFonts w:eastAsiaTheme="minorEastAsia"/>
                <w:sz w:val="24"/>
                <w:szCs w:val="24"/>
              </w:rPr>
              <w:t>答：</w:t>
            </w:r>
            <w:r w:rsidR="0077741D" w:rsidRPr="0077741D">
              <w:rPr>
                <w:rFonts w:eastAsiaTheme="minorEastAsia" w:hint="eastAsia"/>
                <w:sz w:val="24"/>
                <w:szCs w:val="24"/>
              </w:rPr>
              <w:t>尊敬的投资者您好！下半年公司毛利率仍将面临一定压力，当前锂电装备行业竞争格局依然较为激烈，下游客户对成本及交付周期的要求比较高，行业内卷严重，对盈利空间形成挤压。另外公司持续在固态电池、消费锂电前段设备等首台套或新工艺项目保持较高的投入，成本相对较高。公司将继续坚持“优质客户</w:t>
            </w:r>
            <w:r w:rsidR="0077741D" w:rsidRPr="0077741D">
              <w:rPr>
                <w:rFonts w:eastAsiaTheme="minorEastAsia" w:hint="eastAsia"/>
                <w:sz w:val="24"/>
                <w:szCs w:val="24"/>
              </w:rPr>
              <w:t>+</w:t>
            </w:r>
            <w:r w:rsidR="0077741D" w:rsidRPr="0077741D">
              <w:rPr>
                <w:rFonts w:eastAsiaTheme="minorEastAsia" w:hint="eastAsia"/>
                <w:sz w:val="24"/>
                <w:szCs w:val="24"/>
              </w:rPr>
              <w:t>优质订单”导向，持续通过技术降本、模块化设计及装配、集中采购物料、加快项目周转等措施严格管控成本，同时通过提升高附加值产品占比、拓展海外业务等方式努力提升毛利率水平。感谢关注！</w:t>
            </w:r>
            <w:r w:rsidR="00D86EA6" w:rsidRPr="00E512BE">
              <w:rPr>
                <w:rFonts w:eastAsiaTheme="minorEastAsia"/>
                <w:sz w:val="24"/>
                <w:szCs w:val="24"/>
              </w:rPr>
              <w:t xml:space="preserve"> </w:t>
            </w:r>
            <w:bookmarkEnd w:id="2"/>
            <w:bookmarkEnd w:id="3"/>
          </w:p>
          <w:p w:rsidR="000D09C6" w:rsidRPr="000D09C6" w:rsidRDefault="00CF4871" w:rsidP="000D09C6">
            <w:pPr>
              <w:spacing w:beforeLines="50" w:before="156" w:line="480" w:lineRule="atLeast"/>
              <w:ind w:firstLineChars="200" w:firstLine="482"/>
              <w:rPr>
                <w:rFonts w:eastAsiaTheme="minorEastAsia"/>
                <w:b/>
                <w:sz w:val="24"/>
                <w:szCs w:val="24"/>
              </w:rPr>
            </w:pPr>
            <w:r>
              <w:rPr>
                <w:rFonts w:eastAsiaTheme="minorEastAsia" w:hint="eastAsia"/>
                <w:b/>
                <w:sz w:val="24"/>
                <w:szCs w:val="24"/>
              </w:rPr>
              <w:t>问题</w:t>
            </w:r>
            <w:r w:rsidR="000D09C6" w:rsidRPr="000D09C6">
              <w:rPr>
                <w:rFonts w:eastAsiaTheme="minorEastAsia" w:hint="eastAsia"/>
                <w:b/>
                <w:sz w:val="24"/>
                <w:szCs w:val="24"/>
              </w:rPr>
              <w:t>：海外客户合作进展如何？</w:t>
            </w:r>
          </w:p>
          <w:p w:rsidR="00F06DA4" w:rsidRDefault="000D09C6" w:rsidP="00AE22CC">
            <w:pPr>
              <w:spacing w:line="480" w:lineRule="atLeast"/>
              <w:ind w:firstLineChars="200" w:firstLine="480"/>
              <w:rPr>
                <w:rFonts w:eastAsiaTheme="minorEastAsia"/>
                <w:sz w:val="24"/>
                <w:szCs w:val="24"/>
              </w:rPr>
            </w:pPr>
            <w:r w:rsidRPr="000D09C6">
              <w:rPr>
                <w:rFonts w:eastAsiaTheme="minorEastAsia" w:hint="eastAsia"/>
                <w:sz w:val="24"/>
                <w:szCs w:val="24"/>
              </w:rPr>
              <w:t>答：海外市场拓展方面，各区域均取得阶段性进展。欧洲市场已实现实质性突破，面向波兰客户定制开发的商用车及储能场景电池模</w:t>
            </w:r>
            <w:r w:rsidRPr="000D09C6">
              <w:rPr>
                <w:rFonts w:eastAsiaTheme="minorEastAsia" w:hint="eastAsia"/>
                <w:sz w:val="24"/>
                <w:szCs w:val="24"/>
              </w:rPr>
              <w:lastRenderedPageBreak/>
              <w:t>组</w:t>
            </w:r>
            <w:r w:rsidRPr="000D09C6">
              <w:rPr>
                <w:rFonts w:eastAsiaTheme="minorEastAsia" w:hint="eastAsia"/>
                <w:sz w:val="24"/>
                <w:szCs w:val="24"/>
              </w:rPr>
              <w:t>PACK</w:t>
            </w:r>
            <w:r w:rsidRPr="000D09C6">
              <w:rPr>
                <w:rFonts w:eastAsiaTheme="minorEastAsia" w:hint="eastAsia"/>
                <w:sz w:val="24"/>
                <w:szCs w:val="24"/>
              </w:rPr>
              <w:t>生产线已完成出机，标志着公司欧洲本地设计、制造、交付服务体系正式落地。日韩高端市场方面，为日本头部电池企业定制开发的、集成自研绝缘耐压测试单元的模组产线顺利下线，海外高端市场布局持续深化。北美市场方面，公司及全资子公司香港利元亨、美国利元亨已分别获得全球头部</w:t>
            </w:r>
            <w:r w:rsidR="00BC7B83">
              <w:rPr>
                <w:rFonts w:eastAsiaTheme="minorEastAsia" w:hint="eastAsia"/>
                <w:sz w:val="24"/>
                <w:szCs w:val="24"/>
              </w:rPr>
              <w:t>科技</w:t>
            </w:r>
            <w:r w:rsidRPr="000D09C6">
              <w:rPr>
                <w:rFonts w:eastAsiaTheme="minorEastAsia" w:hint="eastAsia"/>
                <w:sz w:val="24"/>
                <w:szCs w:val="24"/>
              </w:rPr>
              <w:t>企业的供应商代码，已具备与</w:t>
            </w:r>
            <w:r w:rsidR="00266B4D">
              <w:rPr>
                <w:rFonts w:eastAsiaTheme="minorEastAsia" w:hint="eastAsia"/>
                <w:sz w:val="24"/>
                <w:szCs w:val="24"/>
              </w:rPr>
              <w:t>其</w:t>
            </w:r>
            <w:r w:rsidRPr="000D09C6">
              <w:rPr>
                <w:rFonts w:eastAsiaTheme="minorEastAsia" w:hint="eastAsia"/>
                <w:sz w:val="24"/>
                <w:szCs w:val="24"/>
              </w:rPr>
              <w:t>在特定业务领域展开技术与商务合作的资质，</w:t>
            </w:r>
            <w:r w:rsidR="00BE32E2" w:rsidRPr="00BE32E2">
              <w:rPr>
                <w:rFonts w:eastAsiaTheme="minorEastAsia" w:hint="eastAsia"/>
                <w:sz w:val="24"/>
                <w:szCs w:val="24"/>
              </w:rPr>
              <w:t>部分客户的设备交付已陆续开展，</w:t>
            </w:r>
            <w:r w:rsidRPr="000D09C6">
              <w:rPr>
                <w:rFonts w:eastAsiaTheme="minorEastAsia" w:hint="eastAsia"/>
                <w:sz w:val="24"/>
                <w:szCs w:val="24"/>
              </w:rPr>
              <w:t>整体尚处于早期验证与渠道建设阶段，订单金额占比仍非常小。</w:t>
            </w:r>
            <w:bookmarkStart w:id="4" w:name="_GoBack"/>
            <w:bookmarkEnd w:id="4"/>
            <w:r w:rsidRPr="000D09C6">
              <w:rPr>
                <w:rFonts w:eastAsiaTheme="minorEastAsia" w:hint="eastAsia"/>
                <w:sz w:val="24"/>
                <w:szCs w:val="24"/>
              </w:rPr>
              <w:t>区域布局层面，公司持续完善北美、欧洲本地化技术与售后团队建设，同步挖掘东南亚、中东储能增量市场，搭建覆盖售前方案定制、现场安装调试、长期运维支持的全球响应体系，海外订单转化效率稳步提升。</w:t>
            </w:r>
          </w:p>
          <w:p w:rsidR="00CF4871" w:rsidRPr="000D09C6" w:rsidRDefault="00CF4871" w:rsidP="00CF4871">
            <w:pPr>
              <w:spacing w:beforeLines="50" w:before="156" w:line="480" w:lineRule="atLeast"/>
              <w:ind w:firstLineChars="200" w:firstLine="482"/>
              <w:rPr>
                <w:rFonts w:eastAsiaTheme="minorEastAsia"/>
                <w:b/>
                <w:sz w:val="24"/>
                <w:szCs w:val="24"/>
              </w:rPr>
            </w:pPr>
            <w:r>
              <w:rPr>
                <w:rFonts w:eastAsiaTheme="minorEastAsia" w:hint="eastAsia"/>
                <w:b/>
                <w:sz w:val="24"/>
                <w:szCs w:val="24"/>
              </w:rPr>
              <w:t>问题</w:t>
            </w:r>
            <w:r w:rsidRPr="000D09C6">
              <w:rPr>
                <w:rFonts w:eastAsiaTheme="minorEastAsia" w:hint="eastAsia"/>
                <w:b/>
                <w:sz w:val="24"/>
                <w:szCs w:val="24"/>
              </w:rPr>
              <w:t>：</w:t>
            </w:r>
            <w:r w:rsidRPr="00CF4871">
              <w:rPr>
                <w:rFonts w:eastAsiaTheme="minorEastAsia" w:hint="eastAsia"/>
                <w:b/>
                <w:sz w:val="24"/>
                <w:szCs w:val="24"/>
              </w:rPr>
              <w:t>如何看锂电设备行业当前周期与上一轮的差异？</w:t>
            </w:r>
          </w:p>
          <w:p w:rsidR="00CF4871" w:rsidRPr="00CF4871" w:rsidRDefault="00E06E7D" w:rsidP="00CB48B7">
            <w:pPr>
              <w:pStyle w:val="ds-markdown-paragraph"/>
              <w:spacing w:before="0" w:beforeAutospacing="0" w:after="0" w:afterAutospacing="0" w:line="480" w:lineRule="atLeast"/>
              <w:ind w:firstLineChars="200" w:firstLine="480"/>
              <w:jc w:val="both"/>
              <w:rPr>
                <w:rFonts w:eastAsiaTheme="minorEastAsia"/>
              </w:rPr>
            </w:pPr>
            <w:r w:rsidRPr="00E06E7D">
              <w:rPr>
                <w:rFonts w:ascii="Times New Roman" w:eastAsiaTheme="minorEastAsia" w:hAnsi="Times New Roman" w:cs="Times New Roman" w:hint="eastAsia"/>
                <w:kern w:val="2"/>
              </w:rPr>
              <w:t>答：</w:t>
            </w:r>
            <w:r w:rsidR="00231698" w:rsidRPr="00231698">
              <w:rPr>
                <w:rFonts w:ascii="Times New Roman" w:eastAsiaTheme="minorEastAsia" w:hAnsi="Times New Roman" w:cs="Times New Roman" w:hint="eastAsia"/>
                <w:kern w:val="2"/>
              </w:rPr>
              <w:t>两轮周期的本质差异在于驱动逻辑与结构质量。上一轮</w:t>
            </w:r>
            <w:r w:rsidR="00E8502A">
              <w:rPr>
                <w:rFonts w:ascii="Times New Roman" w:eastAsiaTheme="minorEastAsia" w:hAnsi="Times New Roman" w:cs="Times New Roman" w:hint="eastAsia"/>
                <w:kern w:val="2"/>
              </w:rPr>
              <w:t>行业周期</w:t>
            </w:r>
            <w:r w:rsidR="00E8502A">
              <w:rPr>
                <w:rFonts w:ascii="Times New Roman" w:eastAsiaTheme="minorEastAsia" w:hAnsi="Times New Roman" w:cs="Times New Roman"/>
                <w:kern w:val="2"/>
              </w:rPr>
              <w:t>中，受新能源车</w:t>
            </w:r>
            <w:r w:rsidR="00E8502A">
              <w:rPr>
                <w:rFonts w:ascii="Times New Roman" w:eastAsiaTheme="minorEastAsia" w:hAnsi="Times New Roman" w:cs="Times New Roman" w:hint="eastAsia"/>
                <w:kern w:val="2"/>
              </w:rPr>
              <w:t>快速</w:t>
            </w:r>
            <w:r w:rsidR="00E8502A">
              <w:rPr>
                <w:rFonts w:ascii="Times New Roman" w:eastAsiaTheme="minorEastAsia" w:hAnsi="Times New Roman" w:cs="Times New Roman"/>
                <w:kern w:val="2"/>
              </w:rPr>
              <w:t>增长</w:t>
            </w:r>
            <w:r w:rsidR="00E8502A">
              <w:rPr>
                <w:rFonts w:ascii="Times New Roman" w:eastAsiaTheme="minorEastAsia" w:hAnsi="Times New Roman" w:cs="Times New Roman" w:hint="eastAsia"/>
                <w:kern w:val="2"/>
              </w:rPr>
              <w:t>及行业</w:t>
            </w:r>
            <w:r w:rsidR="00E8502A">
              <w:rPr>
                <w:rFonts w:ascii="Times New Roman" w:eastAsiaTheme="minorEastAsia" w:hAnsi="Times New Roman" w:cs="Times New Roman"/>
                <w:kern w:val="2"/>
              </w:rPr>
              <w:t>政策</w:t>
            </w:r>
            <w:r w:rsidR="00E8502A">
              <w:rPr>
                <w:rFonts w:ascii="Times New Roman" w:eastAsiaTheme="minorEastAsia" w:hAnsi="Times New Roman" w:cs="Times New Roman" w:hint="eastAsia"/>
                <w:kern w:val="2"/>
              </w:rPr>
              <w:t>支持下</w:t>
            </w:r>
            <w:r w:rsidR="00E8502A">
              <w:rPr>
                <w:rFonts w:ascii="Times New Roman" w:eastAsiaTheme="minorEastAsia" w:hAnsi="Times New Roman" w:cs="Times New Roman"/>
                <w:kern w:val="2"/>
              </w:rPr>
              <w:t>，</w:t>
            </w:r>
            <w:r w:rsidR="00CB48B7">
              <w:rPr>
                <w:rFonts w:ascii="Times New Roman" w:eastAsiaTheme="minorEastAsia" w:hAnsi="Times New Roman" w:cs="Times New Roman" w:hint="eastAsia"/>
                <w:kern w:val="2"/>
              </w:rPr>
              <w:t>众多</w:t>
            </w:r>
            <w:r w:rsidR="00E8502A">
              <w:rPr>
                <w:rFonts w:ascii="Times New Roman" w:eastAsiaTheme="minorEastAsia" w:hAnsi="Times New Roman" w:cs="Times New Roman"/>
                <w:kern w:val="2"/>
              </w:rPr>
              <w:t>电池厂家</w:t>
            </w:r>
            <w:r w:rsidR="00CB48B7">
              <w:rPr>
                <w:rFonts w:ascii="Times New Roman" w:eastAsiaTheme="minorEastAsia" w:hAnsi="Times New Roman" w:cs="Times New Roman" w:hint="eastAsia"/>
                <w:kern w:val="2"/>
              </w:rPr>
              <w:t>包括</w:t>
            </w:r>
            <w:r w:rsidR="00CB48B7">
              <w:rPr>
                <w:rFonts w:ascii="Times New Roman" w:eastAsiaTheme="minorEastAsia" w:hAnsi="Times New Roman" w:cs="Times New Roman"/>
                <w:kern w:val="2"/>
              </w:rPr>
              <w:t>跨界者和中小规模厂商</w:t>
            </w:r>
            <w:r w:rsidR="00CB48B7">
              <w:rPr>
                <w:rFonts w:ascii="Times New Roman" w:eastAsiaTheme="minorEastAsia" w:hAnsi="Times New Roman" w:cs="Times New Roman" w:hint="eastAsia"/>
                <w:kern w:val="2"/>
              </w:rPr>
              <w:t>争相</w:t>
            </w:r>
            <w:r w:rsidR="00CB48B7">
              <w:rPr>
                <w:rFonts w:ascii="Times New Roman" w:eastAsiaTheme="minorEastAsia" w:hAnsi="Times New Roman" w:cs="Times New Roman"/>
                <w:kern w:val="2"/>
              </w:rPr>
              <w:t>大规模扩产，</w:t>
            </w:r>
            <w:r w:rsidR="00231698" w:rsidRPr="00231698">
              <w:rPr>
                <w:rFonts w:ascii="Times New Roman" w:eastAsiaTheme="minorEastAsia" w:hAnsi="Times New Roman" w:cs="Times New Roman" w:hint="eastAsia"/>
                <w:kern w:val="2"/>
              </w:rPr>
              <w:t>规划产能远超实际需求，最终导致价格战、应收账款高企和行业深度调整，设备企业普遍增收不增利。本轮</w:t>
            </w:r>
            <w:r w:rsidR="00E8502A">
              <w:rPr>
                <w:rFonts w:ascii="Times New Roman" w:eastAsiaTheme="minorEastAsia" w:hAnsi="Times New Roman" w:cs="Times New Roman" w:hint="eastAsia"/>
                <w:kern w:val="2"/>
              </w:rPr>
              <w:t>行业</w:t>
            </w:r>
            <w:r w:rsidR="00E8502A">
              <w:rPr>
                <w:rFonts w:ascii="Times New Roman" w:eastAsiaTheme="minorEastAsia" w:hAnsi="Times New Roman" w:cs="Times New Roman"/>
                <w:kern w:val="2"/>
              </w:rPr>
              <w:t>周期</w:t>
            </w:r>
            <w:r w:rsidR="00231698" w:rsidRPr="00231698">
              <w:rPr>
                <w:rFonts w:ascii="Times New Roman" w:eastAsiaTheme="minorEastAsia" w:hAnsi="Times New Roman" w:cs="Times New Roman" w:hint="eastAsia"/>
                <w:kern w:val="2"/>
              </w:rPr>
              <w:t>则是在需求真实性与供给集中度双重约束下的有序扩张：需求端，消费电池扩产由终端创新（</w:t>
            </w:r>
            <w:r w:rsidR="00231698" w:rsidRPr="00231698">
              <w:rPr>
                <w:rFonts w:ascii="Times New Roman" w:eastAsiaTheme="minorEastAsia" w:hAnsi="Times New Roman" w:cs="Times New Roman" w:hint="eastAsia"/>
                <w:kern w:val="2"/>
              </w:rPr>
              <w:t>AI</w:t>
            </w:r>
            <w:r w:rsidR="00231698" w:rsidRPr="00231698">
              <w:rPr>
                <w:rFonts w:ascii="Times New Roman" w:eastAsiaTheme="minorEastAsia" w:hAnsi="Times New Roman" w:cs="Times New Roman" w:hint="eastAsia"/>
                <w:kern w:val="2"/>
              </w:rPr>
              <w:t>手机、</w:t>
            </w:r>
            <w:r w:rsidR="00231698" w:rsidRPr="00231698">
              <w:rPr>
                <w:rFonts w:ascii="Times New Roman" w:eastAsiaTheme="minorEastAsia" w:hAnsi="Times New Roman" w:cs="Times New Roman" w:hint="eastAsia"/>
                <w:kern w:val="2"/>
              </w:rPr>
              <w:t>AR</w:t>
            </w:r>
            <w:r w:rsidR="00231698" w:rsidRPr="00231698">
              <w:rPr>
                <w:rFonts w:ascii="Times New Roman" w:eastAsiaTheme="minorEastAsia" w:hAnsi="Times New Roman" w:cs="Times New Roman" w:hint="eastAsia"/>
                <w:kern w:val="2"/>
              </w:rPr>
              <w:t>、可穿戴）直接拉动，储能受</w:t>
            </w:r>
            <w:r w:rsidR="00231698" w:rsidRPr="00231698">
              <w:rPr>
                <w:rFonts w:ascii="Times New Roman" w:eastAsiaTheme="minorEastAsia" w:hAnsi="Times New Roman" w:cs="Times New Roman" w:hint="eastAsia"/>
                <w:kern w:val="2"/>
              </w:rPr>
              <w:t>AI</w:t>
            </w:r>
            <w:r w:rsidR="00231698" w:rsidRPr="00231698">
              <w:rPr>
                <w:rFonts w:ascii="Times New Roman" w:eastAsiaTheme="minorEastAsia" w:hAnsi="Times New Roman" w:cs="Times New Roman" w:hint="eastAsia"/>
                <w:kern w:val="2"/>
              </w:rPr>
              <w:t>算力配套刚需驱动，固态电池打开远期技术替代空间；供给端，扩产主体高度集中于经过上一轮洗牌验证的头部电池企业，其技术、成本与全球化能力突出，决策更趋理性，产能利用率有保障，政府亦强化了行业规范与产能预警。因此，本轮周期斜率更缓、持续性更强，设备企业的竞争壁垒也从单一的“接单能力”转向“技术卡位</w:t>
            </w:r>
            <w:r w:rsidR="00231698" w:rsidRPr="00231698">
              <w:rPr>
                <w:rFonts w:ascii="Times New Roman" w:eastAsiaTheme="minorEastAsia" w:hAnsi="Times New Roman" w:cs="Times New Roman" w:hint="eastAsia"/>
                <w:kern w:val="2"/>
              </w:rPr>
              <w:t>+</w:t>
            </w:r>
            <w:r w:rsidR="00231698" w:rsidRPr="00231698">
              <w:rPr>
                <w:rFonts w:ascii="Times New Roman" w:eastAsiaTheme="minorEastAsia" w:hAnsi="Times New Roman" w:cs="Times New Roman" w:hint="eastAsia"/>
                <w:kern w:val="2"/>
              </w:rPr>
              <w:t>整线交付</w:t>
            </w:r>
            <w:r w:rsidR="00231698" w:rsidRPr="00231698">
              <w:rPr>
                <w:rFonts w:ascii="Times New Roman" w:eastAsiaTheme="minorEastAsia" w:hAnsi="Times New Roman" w:cs="Times New Roman" w:hint="eastAsia"/>
                <w:kern w:val="2"/>
              </w:rPr>
              <w:t>+</w:t>
            </w:r>
            <w:r w:rsidR="00231698" w:rsidRPr="00231698">
              <w:rPr>
                <w:rFonts w:ascii="Times New Roman" w:eastAsiaTheme="minorEastAsia" w:hAnsi="Times New Roman" w:cs="Times New Roman" w:hint="eastAsia"/>
                <w:kern w:val="2"/>
              </w:rPr>
              <w:t>海外本地化服务”的综合实力，</w:t>
            </w:r>
            <w:r w:rsidR="00493E50" w:rsidRPr="00493E50">
              <w:rPr>
                <w:rFonts w:ascii="Times New Roman" w:eastAsiaTheme="minorEastAsia" w:hAnsi="Times New Roman" w:cs="Times New Roman" w:hint="eastAsia"/>
                <w:kern w:val="2"/>
              </w:rPr>
              <w:t>具备上述能力的企业将在本轮温和复苏中获得更稳健的订单质量与盈利空间。</w:t>
            </w:r>
          </w:p>
        </w:tc>
      </w:tr>
      <w:tr w:rsidR="006D6628" w:rsidRPr="00943E94" w:rsidTr="00AE22CC">
        <w:trPr>
          <w:trHeight w:val="706"/>
          <w:jc w:val="center"/>
        </w:trPr>
        <w:tc>
          <w:tcPr>
            <w:tcW w:w="1633" w:type="dxa"/>
            <w:vAlign w:val="center"/>
          </w:tcPr>
          <w:p w:rsidR="006D6628" w:rsidRPr="00DE27EC" w:rsidRDefault="006D6628" w:rsidP="00CC352C">
            <w:pPr>
              <w:spacing w:line="480" w:lineRule="atLeast"/>
              <w:jc w:val="center"/>
              <w:rPr>
                <w:rFonts w:ascii="TimesNewRoman" w:hAnsi="宋体"/>
                <w:b/>
                <w:sz w:val="24"/>
              </w:rPr>
            </w:pPr>
            <w:r>
              <w:rPr>
                <w:rFonts w:ascii="TimesNewRoman" w:hAnsi="宋体" w:hint="eastAsia"/>
                <w:b/>
                <w:sz w:val="24"/>
              </w:rPr>
              <w:lastRenderedPageBreak/>
              <w:t>附件清单</w:t>
            </w:r>
          </w:p>
        </w:tc>
        <w:tc>
          <w:tcPr>
            <w:tcW w:w="7392" w:type="dxa"/>
            <w:vAlign w:val="center"/>
          </w:tcPr>
          <w:p w:rsidR="006D6628" w:rsidRPr="00CD62EC" w:rsidRDefault="006D6628" w:rsidP="006D6628">
            <w:pPr>
              <w:spacing w:line="480" w:lineRule="atLeast"/>
              <w:rPr>
                <w:rFonts w:asciiTheme="minorEastAsia" w:eastAsiaTheme="minorEastAsia" w:hAnsiTheme="minorEastAsia"/>
                <w:sz w:val="24"/>
                <w:szCs w:val="24"/>
              </w:rPr>
            </w:pPr>
            <w:r w:rsidRPr="00CD62EC">
              <w:rPr>
                <w:rFonts w:asciiTheme="minorEastAsia" w:eastAsiaTheme="minorEastAsia" w:hAnsiTheme="minorEastAsia" w:hint="eastAsia"/>
                <w:sz w:val="24"/>
                <w:szCs w:val="24"/>
              </w:rPr>
              <w:t>无</w:t>
            </w:r>
          </w:p>
        </w:tc>
      </w:tr>
      <w:tr w:rsidR="00CC352C" w:rsidRPr="00943E94" w:rsidTr="00AE22CC">
        <w:trPr>
          <w:trHeight w:val="706"/>
          <w:jc w:val="center"/>
        </w:trPr>
        <w:tc>
          <w:tcPr>
            <w:tcW w:w="1633" w:type="dxa"/>
            <w:vAlign w:val="center"/>
          </w:tcPr>
          <w:p w:rsidR="00CC352C" w:rsidRPr="00943E94" w:rsidRDefault="00CC352C" w:rsidP="00933C3B">
            <w:pPr>
              <w:spacing w:line="480" w:lineRule="atLeast"/>
              <w:jc w:val="center"/>
              <w:rPr>
                <w:rFonts w:ascii="TimesNewRoman" w:hAnsi="TimesNewRoman" w:hint="eastAsia"/>
                <w:b/>
                <w:sz w:val="24"/>
              </w:rPr>
            </w:pPr>
            <w:r w:rsidRPr="00943E94">
              <w:rPr>
                <w:rFonts w:ascii="TimesNewRoman" w:hAnsi="宋体" w:hint="eastAsia"/>
                <w:b/>
                <w:sz w:val="24"/>
              </w:rPr>
              <w:t>日期</w:t>
            </w:r>
          </w:p>
        </w:tc>
        <w:tc>
          <w:tcPr>
            <w:tcW w:w="7392" w:type="dxa"/>
            <w:vAlign w:val="center"/>
          </w:tcPr>
          <w:p w:rsidR="00CC352C" w:rsidRPr="00943E94" w:rsidRDefault="00CF6225" w:rsidP="00D86EA6">
            <w:pPr>
              <w:spacing w:line="480" w:lineRule="atLeast"/>
              <w:rPr>
                <w:rFonts w:ascii="TimesNewRoman" w:hAnsi="TimesNewRoman" w:hint="eastAsia"/>
                <w:sz w:val="24"/>
                <w:szCs w:val="24"/>
              </w:rPr>
            </w:pPr>
            <w:r w:rsidRPr="00CF6225">
              <w:rPr>
                <w:rFonts w:ascii="TimesNewRoman" w:hAnsi="TimesNewRoman" w:hint="eastAsia"/>
                <w:sz w:val="24"/>
              </w:rPr>
              <w:t>2026</w:t>
            </w:r>
            <w:r w:rsidRPr="00CF6225">
              <w:rPr>
                <w:rFonts w:ascii="TimesNewRoman" w:hAnsi="TimesNewRoman" w:hint="eastAsia"/>
                <w:sz w:val="24"/>
              </w:rPr>
              <w:t>年</w:t>
            </w:r>
            <w:r w:rsidRPr="00CF6225">
              <w:rPr>
                <w:rFonts w:ascii="TimesNewRoman" w:hAnsi="TimesNewRoman" w:hint="eastAsia"/>
                <w:sz w:val="24"/>
              </w:rPr>
              <w:t>09</w:t>
            </w:r>
            <w:r w:rsidRPr="00CF6225">
              <w:rPr>
                <w:rFonts w:ascii="TimesNewRoman" w:hAnsi="TimesNewRoman" w:hint="eastAsia"/>
                <w:sz w:val="24"/>
              </w:rPr>
              <w:t>月</w:t>
            </w:r>
            <w:r w:rsidRPr="00CF6225">
              <w:rPr>
                <w:rFonts w:ascii="TimesNewRoman" w:hAnsi="TimesNewRoman" w:hint="eastAsia"/>
                <w:sz w:val="24"/>
              </w:rPr>
              <w:t>03</w:t>
            </w:r>
            <w:r w:rsidRPr="00CF6225">
              <w:rPr>
                <w:rFonts w:ascii="TimesNewRoman" w:hAnsi="TimesNewRoman" w:hint="eastAsia"/>
                <w:sz w:val="24"/>
              </w:rPr>
              <w:t>日</w:t>
            </w:r>
            <w:r w:rsidRPr="00CF6225">
              <w:rPr>
                <w:rFonts w:ascii="TimesNewRoman" w:hAnsi="TimesNewRoman" w:hint="eastAsia"/>
                <w:sz w:val="24"/>
              </w:rPr>
              <w:t>9:00-10:45</w:t>
            </w:r>
            <w:r w:rsidRPr="00CF6225">
              <w:rPr>
                <w:rFonts w:ascii="TimesNewRoman" w:hAnsi="TimesNewRoman" w:hint="eastAsia"/>
                <w:sz w:val="24"/>
              </w:rPr>
              <w:t>、</w:t>
            </w:r>
            <w:r w:rsidRPr="00CF6225">
              <w:rPr>
                <w:rFonts w:ascii="TimesNewRoman" w:hAnsi="TimesNewRoman" w:hint="eastAsia"/>
                <w:sz w:val="24"/>
              </w:rPr>
              <w:t>15:00-17:00</w:t>
            </w:r>
          </w:p>
        </w:tc>
      </w:tr>
    </w:tbl>
    <w:p w:rsidR="00134783" w:rsidRDefault="00134783" w:rsidP="00D3704D">
      <w:pPr>
        <w:rPr>
          <w:rFonts w:ascii="TimesNewRoman" w:hAnsi="TimesNewRoman" w:hint="eastAsia"/>
        </w:rPr>
      </w:pPr>
    </w:p>
    <w:sectPr w:rsidR="00134783" w:rsidSect="002749ED">
      <w:footerReference w:type="default" r:id="rId8"/>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425" w:rsidRDefault="009C2425" w:rsidP="00D3704D">
      <w:r>
        <w:separator/>
      </w:r>
    </w:p>
  </w:endnote>
  <w:endnote w:type="continuationSeparator" w:id="0">
    <w:p w:rsidR="009C2425" w:rsidRDefault="009C2425" w:rsidP="00D37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555993"/>
      <w:docPartObj>
        <w:docPartGallery w:val="Page Numbers (Bottom of Page)"/>
        <w:docPartUnique/>
      </w:docPartObj>
    </w:sdtPr>
    <w:sdtEndPr/>
    <w:sdtContent>
      <w:p w:rsidR="00BA3205" w:rsidRDefault="00BA3205">
        <w:pPr>
          <w:pStyle w:val="a5"/>
          <w:jc w:val="center"/>
        </w:pPr>
        <w:r>
          <w:fldChar w:fldCharType="begin"/>
        </w:r>
        <w:r>
          <w:instrText>PAGE   \* MERGEFORMAT</w:instrText>
        </w:r>
        <w:r>
          <w:fldChar w:fldCharType="separate"/>
        </w:r>
        <w:r w:rsidR="00AE22CC" w:rsidRPr="00AE22CC">
          <w:rPr>
            <w:noProof/>
            <w:lang w:val="zh-CN"/>
          </w:rPr>
          <w:t>1</w:t>
        </w:r>
        <w:r>
          <w:fldChar w:fldCharType="end"/>
        </w:r>
      </w:p>
    </w:sdtContent>
  </w:sdt>
  <w:p w:rsidR="00BA3205" w:rsidRDefault="00BA32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425" w:rsidRDefault="009C2425" w:rsidP="00D3704D">
      <w:r>
        <w:separator/>
      </w:r>
    </w:p>
  </w:footnote>
  <w:footnote w:type="continuationSeparator" w:id="0">
    <w:p w:rsidR="009C2425" w:rsidRDefault="009C2425" w:rsidP="00D370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A59FB"/>
    <w:multiLevelType w:val="hybridMultilevel"/>
    <w:tmpl w:val="7E062644"/>
    <w:lvl w:ilvl="0" w:tplc="A502BDB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68F13ED6"/>
    <w:multiLevelType w:val="hybridMultilevel"/>
    <w:tmpl w:val="D6B6AE1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04D"/>
    <w:rsid w:val="00007235"/>
    <w:rsid w:val="00007434"/>
    <w:rsid w:val="00007A64"/>
    <w:rsid w:val="0001134B"/>
    <w:rsid w:val="0001191E"/>
    <w:rsid w:val="00012E92"/>
    <w:rsid w:val="00016D7C"/>
    <w:rsid w:val="00022326"/>
    <w:rsid w:val="000235A1"/>
    <w:rsid w:val="00032D68"/>
    <w:rsid w:val="000335F6"/>
    <w:rsid w:val="00036D0D"/>
    <w:rsid w:val="00037659"/>
    <w:rsid w:val="00041BD6"/>
    <w:rsid w:val="0004414C"/>
    <w:rsid w:val="00045A41"/>
    <w:rsid w:val="00051230"/>
    <w:rsid w:val="0005374B"/>
    <w:rsid w:val="00053E02"/>
    <w:rsid w:val="000649C3"/>
    <w:rsid w:val="0007293B"/>
    <w:rsid w:val="0007604F"/>
    <w:rsid w:val="00081817"/>
    <w:rsid w:val="00082349"/>
    <w:rsid w:val="00082551"/>
    <w:rsid w:val="000846EC"/>
    <w:rsid w:val="0009127C"/>
    <w:rsid w:val="00094F01"/>
    <w:rsid w:val="00096388"/>
    <w:rsid w:val="000963FF"/>
    <w:rsid w:val="000A17B7"/>
    <w:rsid w:val="000A6856"/>
    <w:rsid w:val="000A74FD"/>
    <w:rsid w:val="000B0A61"/>
    <w:rsid w:val="000B609D"/>
    <w:rsid w:val="000B773C"/>
    <w:rsid w:val="000C4258"/>
    <w:rsid w:val="000C45ED"/>
    <w:rsid w:val="000D09C6"/>
    <w:rsid w:val="000D0CAF"/>
    <w:rsid w:val="000D0E7C"/>
    <w:rsid w:val="000D29EC"/>
    <w:rsid w:val="00100FB7"/>
    <w:rsid w:val="00101154"/>
    <w:rsid w:val="00103433"/>
    <w:rsid w:val="00105146"/>
    <w:rsid w:val="00106892"/>
    <w:rsid w:val="001123B3"/>
    <w:rsid w:val="00113756"/>
    <w:rsid w:val="0012007F"/>
    <w:rsid w:val="00120DE0"/>
    <w:rsid w:val="001254C0"/>
    <w:rsid w:val="00126989"/>
    <w:rsid w:val="00132274"/>
    <w:rsid w:val="00134783"/>
    <w:rsid w:val="00136249"/>
    <w:rsid w:val="00136A3B"/>
    <w:rsid w:val="00140353"/>
    <w:rsid w:val="00141F83"/>
    <w:rsid w:val="0014748C"/>
    <w:rsid w:val="00163F1B"/>
    <w:rsid w:val="00164245"/>
    <w:rsid w:val="00164FB8"/>
    <w:rsid w:val="001662AD"/>
    <w:rsid w:val="00171AC7"/>
    <w:rsid w:val="00174E5B"/>
    <w:rsid w:val="00174EF1"/>
    <w:rsid w:val="001752A3"/>
    <w:rsid w:val="0018028C"/>
    <w:rsid w:val="00180911"/>
    <w:rsid w:val="00182218"/>
    <w:rsid w:val="001828EB"/>
    <w:rsid w:val="0019579C"/>
    <w:rsid w:val="001964FB"/>
    <w:rsid w:val="00197937"/>
    <w:rsid w:val="001A5A36"/>
    <w:rsid w:val="001C2898"/>
    <w:rsid w:val="001C6B27"/>
    <w:rsid w:val="001C6DC4"/>
    <w:rsid w:val="001E10E0"/>
    <w:rsid w:val="001F4725"/>
    <w:rsid w:val="00206444"/>
    <w:rsid w:val="002137E2"/>
    <w:rsid w:val="00223416"/>
    <w:rsid w:val="002264AA"/>
    <w:rsid w:val="00231698"/>
    <w:rsid w:val="00241ED6"/>
    <w:rsid w:val="00242AEF"/>
    <w:rsid w:val="00244464"/>
    <w:rsid w:val="00245D35"/>
    <w:rsid w:val="00246516"/>
    <w:rsid w:val="00256CBC"/>
    <w:rsid w:val="002628C2"/>
    <w:rsid w:val="002629C2"/>
    <w:rsid w:val="002633B7"/>
    <w:rsid w:val="00266B4D"/>
    <w:rsid w:val="00271274"/>
    <w:rsid w:val="002713D9"/>
    <w:rsid w:val="002726DF"/>
    <w:rsid w:val="002749ED"/>
    <w:rsid w:val="00281C82"/>
    <w:rsid w:val="00290376"/>
    <w:rsid w:val="002910E9"/>
    <w:rsid w:val="00292646"/>
    <w:rsid w:val="002932A1"/>
    <w:rsid w:val="00293E74"/>
    <w:rsid w:val="002941F4"/>
    <w:rsid w:val="002A5EDA"/>
    <w:rsid w:val="002B0986"/>
    <w:rsid w:val="002B0EC6"/>
    <w:rsid w:val="002B2BC2"/>
    <w:rsid w:val="002B7BC0"/>
    <w:rsid w:val="002C249C"/>
    <w:rsid w:val="002C2A88"/>
    <w:rsid w:val="002C654B"/>
    <w:rsid w:val="002D602B"/>
    <w:rsid w:val="002D60DE"/>
    <w:rsid w:val="002D7AAC"/>
    <w:rsid w:val="002E2D6C"/>
    <w:rsid w:val="003017A7"/>
    <w:rsid w:val="0030527A"/>
    <w:rsid w:val="0031160F"/>
    <w:rsid w:val="00312019"/>
    <w:rsid w:val="00316A4E"/>
    <w:rsid w:val="0031756E"/>
    <w:rsid w:val="003219A5"/>
    <w:rsid w:val="00322B99"/>
    <w:rsid w:val="0032623B"/>
    <w:rsid w:val="003267CF"/>
    <w:rsid w:val="0032749B"/>
    <w:rsid w:val="003338A1"/>
    <w:rsid w:val="00335037"/>
    <w:rsid w:val="00337232"/>
    <w:rsid w:val="00337761"/>
    <w:rsid w:val="00337DBF"/>
    <w:rsid w:val="0034225E"/>
    <w:rsid w:val="00350008"/>
    <w:rsid w:val="00350D24"/>
    <w:rsid w:val="003548C0"/>
    <w:rsid w:val="00354F44"/>
    <w:rsid w:val="00362810"/>
    <w:rsid w:val="00363A31"/>
    <w:rsid w:val="00364CA4"/>
    <w:rsid w:val="00366D14"/>
    <w:rsid w:val="00370EE6"/>
    <w:rsid w:val="003711B6"/>
    <w:rsid w:val="00385C78"/>
    <w:rsid w:val="00392310"/>
    <w:rsid w:val="003A0346"/>
    <w:rsid w:val="003A0A09"/>
    <w:rsid w:val="003A4BC5"/>
    <w:rsid w:val="003A6AD9"/>
    <w:rsid w:val="003B678A"/>
    <w:rsid w:val="003C23EA"/>
    <w:rsid w:val="003C4A03"/>
    <w:rsid w:val="003D0B0D"/>
    <w:rsid w:val="003E6CF9"/>
    <w:rsid w:val="003F018A"/>
    <w:rsid w:val="003F1AE1"/>
    <w:rsid w:val="004007B7"/>
    <w:rsid w:val="00402CC2"/>
    <w:rsid w:val="00407621"/>
    <w:rsid w:val="004104ED"/>
    <w:rsid w:val="00413163"/>
    <w:rsid w:val="004135E4"/>
    <w:rsid w:val="00415E89"/>
    <w:rsid w:val="00416724"/>
    <w:rsid w:val="00421CAC"/>
    <w:rsid w:val="00422D27"/>
    <w:rsid w:val="004401A3"/>
    <w:rsid w:val="004422C1"/>
    <w:rsid w:val="0044659F"/>
    <w:rsid w:val="0044774A"/>
    <w:rsid w:val="00450FAA"/>
    <w:rsid w:val="004511AD"/>
    <w:rsid w:val="004549D0"/>
    <w:rsid w:val="00455D77"/>
    <w:rsid w:val="00455F69"/>
    <w:rsid w:val="00456539"/>
    <w:rsid w:val="00456D1D"/>
    <w:rsid w:val="00460EFB"/>
    <w:rsid w:val="00462A84"/>
    <w:rsid w:val="0046364D"/>
    <w:rsid w:val="00474436"/>
    <w:rsid w:val="00474CEB"/>
    <w:rsid w:val="00474F28"/>
    <w:rsid w:val="004777AC"/>
    <w:rsid w:val="00493E50"/>
    <w:rsid w:val="004973D8"/>
    <w:rsid w:val="004A0EBC"/>
    <w:rsid w:val="004A7ECB"/>
    <w:rsid w:val="004C1E59"/>
    <w:rsid w:val="004C1E78"/>
    <w:rsid w:val="004C2DA2"/>
    <w:rsid w:val="004C4573"/>
    <w:rsid w:val="004C57EA"/>
    <w:rsid w:val="004C74C5"/>
    <w:rsid w:val="004D0004"/>
    <w:rsid w:val="004D2728"/>
    <w:rsid w:val="004D7CC8"/>
    <w:rsid w:val="004E073A"/>
    <w:rsid w:val="004F3751"/>
    <w:rsid w:val="004F605B"/>
    <w:rsid w:val="00502D46"/>
    <w:rsid w:val="00506085"/>
    <w:rsid w:val="00507B3C"/>
    <w:rsid w:val="00511DA7"/>
    <w:rsid w:val="00526844"/>
    <w:rsid w:val="0053174A"/>
    <w:rsid w:val="00532440"/>
    <w:rsid w:val="0053397E"/>
    <w:rsid w:val="005341CB"/>
    <w:rsid w:val="00543F76"/>
    <w:rsid w:val="00550615"/>
    <w:rsid w:val="0055128B"/>
    <w:rsid w:val="00551555"/>
    <w:rsid w:val="00560574"/>
    <w:rsid w:val="00563647"/>
    <w:rsid w:val="005715D1"/>
    <w:rsid w:val="00573AD1"/>
    <w:rsid w:val="005747C1"/>
    <w:rsid w:val="005764D3"/>
    <w:rsid w:val="005A171A"/>
    <w:rsid w:val="005A427A"/>
    <w:rsid w:val="005A4790"/>
    <w:rsid w:val="005B214F"/>
    <w:rsid w:val="005B5582"/>
    <w:rsid w:val="005B6EB0"/>
    <w:rsid w:val="005C1331"/>
    <w:rsid w:val="005C1B38"/>
    <w:rsid w:val="005C385B"/>
    <w:rsid w:val="005C7F55"/>
    <w:rsid w:val="005E11B8"/>
    <w:rsid w:val="005E5055"/>
    <w:rsid w:val="005F06D4"/>
    <w:rsid w:val="005F46D2"/>
    <w:rsid w:val="00601EB3"/>
    <w:rsid w:val="00606691"/>
    <w:rsid w:val="006222E6"/>
    <w:rsid w:val="00633E3A"/>
    <w:rsid w:val="00663B2C"/>
    <w:rsid w:val="00664FB0"/>
    <w:rsid w:val="00674522"/>
    <w:rsid w:val="00686773"/>
    <w:rsid w:val="00691AD0"/>
    <w:rsid w:val="006946AA"/>
    <w:rsid w:val="006A1665"/>
    <w:rsid w:val="006A21F4"/>
    <w:rsid w:val="006A4AF2"/>
    <w:rsid w:val="006A4C78"/>
    <w:rsid w:val="006A52E0"/>
    <w:rsid w:val="006A6F3C"/>
    <w:rsid w:val="006B12B3"/>
    <w:rsid w:val="006C21D6"/>
    <w:rsid w:val="006D42A9"/>
    <w:rsid w:val="006D59F1"/>
    <w:rsid w:val="006D6628"/>
    <w:rsid w:val="006E18AA"/>
    <w:rsid w:val="006E417F"/>
    <w:rsid w:val="006F05CE"/>
    <w:rsid w:val="006F3FA6"/>
    <w:rsid w:val="0070033E"/>
    <w:rsid w:val="00702A79"/>
    <w:rsid w:val="00704870"/>
    <w:rsid w:val="00705E75"/>
    <w:rsid w:val="007072C2"/>
    <w:rsid w:val="0070751F"/>
    <w:rsid w:val="00707D28"/>
    <w:rsid w:val="00717633"/>
    <w:rsid w:val="00722173"/>
    <w:rsid w:val="00727BEB"/>
    <w:rsid w:val="00727C04"/>
    <w:rsid w:val="00730C0E"/>
    <w:rsid w:val="0073572A"/>
    <w:rsid w:val="007403E6"/>
    <w:rsid w:val="00741124"/>
    <w:rsid w:val="00741968"/>
    <w:rsid w:val="007455B6"/>
    <w:rsid w:val="00746AA1"/>
    <w:rsid w:val="0076447D"/>
    <w:rsid w:val="0076582A"/>
    <w:rsid w:val="007743C4"/>
    <w:rsid w:val="0077741D"/>
    <w:rsid w:val="0078004C"/>
    <w:rsid w:val="007821B2"/>
    <w:rsid w:val="00792DD2"/>
    <w:rsid w:val="007933A1"/>
    <w:rsid w:val="007A5C4A"/>
    <w:rsid w:val="007B6540"/>
    <w:rsid w:val="007B76EC"/>
    <w:rsid w:val="007C56EE"/>
    <w:rsid w:val="007D4640"/>
    <w:rsid w:val="007D4C43"/>
    <w:rsid w:val="007E0E61"/>
    <w:rsid w:val="007E49F6"/>
    <w:rsid w:val="007E59EC"/>
    <w:rsid w:val="007E7623"/>
    <w:rsid w:val="007E7ECA"/>
    <w:rsid w:val="007F1797"/>
    <w:rsid w:val="007F6CCE"/>
    <w:rsid w:val="008034E4"/>
    <w:rsid w:val="00812B86"/>
    <w:rsid w:val="00814ED6"/>
    <w:rsid w:val="00815A2B"/>
    <w:rsid w:val="00816D5A"/>
    <w:rsid w:val="00820892"/>
    <w:rsid w:val="00822259"/>
    <w:rsid w:val="008233F5"/>
    <w:rsid w:val="00825D5E"/>
    <w:rsid w:val="00826D25"/>
    <w:rsid w:val="00835A7C"/>
    <w:rsid w:val="00836A1B"/>
    <w:rsid w:val="0084293A"/>
    <w:rsid w:val="00844EF8"/>
    <w:rsid w:val="00845C72"/>
    <w:rsid w:val="00847AFF"/>
    <w:rsid w:val="00847C3F"/>
    <w:rsid w:val="00852F8B"/>
    <w:rsid w:val="00871A26"/>
    <w:rsid w:val="00883D42"/>
    <w:rsid w:val="0088506B"/>
    <w:rsid w:val="00885673"/>
    <w:rsid w:val="008A13EF"/>
    <w:rsid w:val="008A2B24"/>
    <w:rsid w:val="008B17CB"/>
    <w:rsid w:val="008B460B"/>
    <w:rsid w:val="008B7AF0"/>
    <w:rsid w:val="008C175B"/>
    <w:rsid w:val="008C2CC0"/>
    <w:rsid w:val="008C6760"/>
    <w:rsid w:val="008E1538"/>
    <w:rsid w:val="008E246B"/>
    <w:rsid w:val="008E2BFB"/>
    <w:rsid w:val="008E6C37"/>
    <w:rsid w:val="008E76FF"/>
    <w:rsid w:val="008F3177"/>
    <w:rsid w:val="008F70F5"/>
    <w:rsid w:val="008F7B85"/>
    <w:rsid w:val="00900C17"/>
    <w:rsid w:val="009027A1"/>
    <w:rsid w:val="009027BF"/>
    <w:rsid w:val="00907CB2"/>
    <w:rsid w:val="00913C93"/>
    <w:rsid w:val="009204B8"/>
    <w:rsid w:val="00924D44"/>
    <w:rsid w:val="0092631A"/>
    <w:rsid w:val="00931F4C"/>
    <w:rsid w:val="00932A6C"/>
    <w:rsid w:val="009336DC"/>
    <w:rsid w:val="00933C3B"/>
    <w:rsid w:val="00941380"/>
    <w:rsid w:val="00943C49"/>
    <w:rsid w:val="00943D37"/>
    <w:rsid w:val="00943E94"/>
    <w:rsid w:val="0095733F"/>
    <w:rsid w:val="00957AB8"/>
    <w:rsid w:val="00960BBD"/>
    <w:rsid w:val="0096570B"/>
    <w:rsid w:val="0097008B"/>
    <w:rsid w:val="00971A60"/>
    <w:rsid w:val="0098523C"/>
    <w:rsid w:val="00986394"/>
    <w:rsid w:val="00990D6F"/>
    <w:rsid w:val="0099139F"/>
    <w:rsid w:val="00997C6B"/>
    <w:rsid w:val="009A2BDB"/>
    <w:rsid w:val="009A6271"/>
    <w:rsid w:val="009A64A5"/>
    <w:rsid w:val="009B1061"/>
    <w:rsid w:val="009B5973"/>
    <w:rsid w:val="009B7165"/>
    <w:rsid w:val="009C04F4"/>
    <w:rsid w:val="009C0B5A"/>
    <w:rsid w:val="009C1A3F"/>
    <w:rsid w:val="009C2425"/>
    <w:rsid w:val="009C50BB"/>
    <w:rsid w:val="009C5485"/>
    <w:rsid w:val="009D0B5E"/>
    <w:rsid w:val="009D11B8"/>
    <w:rsid w:val="009D2D7D"/>
    <w:rsid w:val="009D36B6"/>
    <w:rsid w:val="009D5F85"/>
    <w:rsid w:val="009E0AD4"/>
    <w:rsid w:val="009E1DF1"/>
    <w:rsid w:val="009E2DA5"/>
    <w:rsid w:val="009E52FD"/>
    <w:rsid w:val="009E5989"/>
    <w:rsid w:val="009E68F0"/>
    <w:rsid w:val="009F518A"/>
    <w:rsid w:val="009F68B1"/>
    <w:rsid w:val="00A02A37"/>
    <w:rsid w:val="00A02E16"/>
    <w:rsid w:val="00A0744B"/>
    <w:rsid w:val="00A113FC"/>
    <w:rsid w:val="00A11C23"/>
    <w:rsid w:val="00A2270E"/>
    <w:rsid w:val="00A30CC8"/>
    <w:rsid w:val="00A34FDF"/>
    <w:rsid w:val="00A422F1"/>
    <w:rsid w:val="00A57249"/>
    <w:rsid w:val="00A60105"/>
    <w:rsid w:val="00A62314"/>
    <w:rsid w:val="00A64ABE"/>
    <w:rsid w:val="00A7584E"/>
    <w:rsid w:val="00A8080D"/>
    <w:rsid w:val="00A85814"/>
    <w:rsid w:val="00A90311"/>
    <w:rsid w:val="00A92AD4"/>
    <w:rsid w:val="00A931C5"/>
    <w:rsid w:val="00AA0E54"/>
    <w:rsid w:val="00AA1E47"/>
    <w:rsid w:val="00AA5F3D"/>
    <w:rsid w:val="00AA7CF7"/>
    <w:rsid w:val="00AB383C"/>
    <w:rsid w:val="00AB6086"/>
    <w:rsid w:val="00AC09A1"/>
    <w:rsid w:val="00AC6C8C"/>
    <w:rsid w:val="00AD3B24"/>
    <w:rsid w:val="00AD4C75"/>
    <w:rsid w:val="00AD6000"/>
    <w:rsid w:val="00AD6B60"/>
    <w:rsid w:val="00AE22CC"/>
    <w:rsid w:val="00AE43FA"/>
    <w:rsid w:val="00AE7BA9"/>
    <w:rsid w:val="00AE7FF6"/>
    <w:rsid w:val="00AF3D92"/>
    <w:rsid w:val="00AF5ACA"/>
    <w:rsid w:val="00AF666E"/>
    <w:rsid w:val="00AF6F58"/>
    <w:rsid w:val="00B00CDE"/>
    <w:rsid w:val="00B11A28"/>
    <w:rsid w:val="00B11AD4"/>
    <w:rsid w:val="00B1421C"/>
    <w:rsid w:val="00B15BDE"/>
    <w:rsid w:val="00B22472"/>
    <w:rsid w:val="00B22933"/>
    <w:rsid w:val="00B246C1"/>
    <w:rsid w:val="00B260AC"/>
    <w:rsid w:val="00B32754"/>
    <w:rsid w:val="00B37BD0"/>
    <w:rsid w:val="00B37DDB"/>
    <w:rsid w:val="00B40F71"/>
    <w:rsid w:val="00B418F0"/>
    <w:rsid w:val="00B4310B"/>
    <w:rsid w:val="00B45FBA"/>
    <w:rsid w:val="00B529A8"/>
    <w:rsid w:val="00B52A9F"/>
    <w:rsid w:val="00B555E5"/>
    <w:rsid w:val="00B559A3"/>
    <w:rsid w:val="00B55C02"/>
    <w:rsid w:val="00B651B3"/>
    <w:rsid w:val="00B7797E"/>
    <w:rsid w:val="00B813B8"/>
    <w:rsid w:val="00B853DC"/>
    <w:rsid w:val="00B85DA8"/>
    <w:rsid w:val="00B869DE"/>
    <w:rsid w:val="00B87599"/>
    <w:rsid w:val="00B9062B"/>
    <w:rsid w:val="00B90BC3"/>
    <w:rsid w:val="00B949AE"/>
    <w:rsid w:val="00B9681C"/>
    <w:rsid w:val="00B97B4D"/>
    <w:rsid w:val="00BA3205"/>
    <w:rsid w:val="00BA73F6"/>
    <w:rsid w:val="00BB211E"/>
    <w:rsid w:val="00BB2769"/>
    <w:rsid w:val="00BB2DB5"/>
    <w:rsid w:val="00BB3B5B"/>
    <w:rsid w:val="00BB47EF"/>
    <w:rsid w:val="00BB5AD9"/>
    <w:rsid w:val="00BB7D88"/>
    <w:rsid w:val="00BC7406"/>
    <w:rsid w:val="00BC7B83"/>
    <w:rsid w:val="00BD0664"/>
    <w:rsid w:val="00BD3A3D"/>
    <w:rsid w:val="00BD6362"/>
    <w:rsid w:val="00BE1B08"/>
    <w:rsid w:val="00BE32E2"/>
    <w:rsid w:val="00BE4D98"/>
    <w:rsid w:val="00BF016A"/>
    <w:rsid w:val="00BF1090"/>
    <w:rsid w:val="00C04DF9"/>
    <w:rsid w:val="00C07198"/>
    <w:rsid w:val="00C10A1C"/>
    <w:rsid w:val="00C11C7A"/>
    <w:rsid w:val="00C16473"/>
    <w:rsid w:val="00C20F11"/>
    <w:rsid w:val="00C21412"/>
    <w:rsid w:val="00C225EA"/>
    <w:rsid w:val="00C24D7F"/>
    <w:rsid w:val="00C25D36"/>
    <w:rsid w:val="00C30B8F"/>
    <w:rsid w:val="00C320A4"/>
    <w:rsid w:val="00C35433"/>
    <w:rsid w:val="00C36D80"/>
    <w:rsid w:val="00C4136D"/>
    <w:rsid w:val="00C45E19"/>
    <w:rsid w:val="00C46AC7"/>
    <w:rsid w:val="00C534F0"/>
    <w:rsid w:val="00C64189"/>
    <w:rsid w:val="00C676E7"/>
    <w:rsid w:val="00C82970"/>
    <w:rsid w:val="00C840C7"/>
    <w:rsid w:val="00C842DA"/>
    <w:rsid w:val="00C91263"/>
    <w:rsid w:val="00C95694"/>
    <w:rsid w:val="00CA6204"/>
    <w:rsid w:val="00CA774D"/>
    <w:rsid w:val="00CB48B7"/>
    <w:rsid w:val="00CB6397"/>
    <w:rsid w:val="00CC352C"/>
    <w:rsid w:val="00CC5FE1"/>
    <w:rsid w:val="00CD03F9"/>
    <w:rsid w:val="00CD62EC"/>
    <w:rsid w:val="00CE1111"/>
    <w:rsid w:val="00CE3A25"/>
    <w:rsid w:val="00CE3BE3"/>
    <w:rsid w:val="00CE4B54"/>
    <w:rsid w:val="00CF4871"/>
    <w:rsid w:val="00CF4C2C"/>
    <w:rsid w:val="00CF6225"/>
    <w:rsid w:val="00D004CF"/>
    <w:rsid w:val="00D00C24"/>
    <w:rsid w:val="00D20834"/>
    <w:rsid w:val="00D21270"/>
    <w:rsid w:val="00D21866"/>
    <w:rsid w:val="00D22AC0"/>
    <w:rsid w:val="00D2384F"/>
    <w:rsid w:val="00D27407"/>
    <w:rsid w:val="00D305D4"/>
    <w:rsid w:val="00D310AF"/>
    <w:rsid w:val="00D3704D"/>
    <w:rsid w:val="00D37F0C"/>
    <w:rsid w:val="00D418DA"/>
    <w:rsid w:val="00D51919"/>
    <w:rsid w:val="00D5243A"/>
    <w:rsid w:val="00D54F98"/>
    <w:rsid w:val="00D57055"/>
    <w:rsid w:val="00D654EC"/>
    <w:rsid w:val="00D66C56"/>
    <w:rsid w:val="00D74783"/>
    <w:rsid w:val="00D75691"/>
    <w:rsid w:val="00D7611B"/>
    <w:rsid w:val="00D84CE9"/>
    <w:rsid w:val="00D86EA6"/>
    <w:rsid w:val="00D9280E"/>
    <w:rsid w:val="00D92AB4"/>
    <w:rsid w:val="00D934AE"/>
    <w:rsid w:val="00D94658"/>
    <w:rsid w:val="00D95CA3"/>
    <w:rsid w:val="00D964B3"/>
    <w:rsid w:val="00DA1279"/>
    <w:rsid w:val="00DA2DE9"/>
    <w:rsid w:val="00DA3D9B"/>
    <w:rsid w:val="00DA48B4"/>
    <w:rsid w:val="00DA6B6B"/>
    <w:rsid w:val="00DB0B87"/>
    <w:rsid w:val="00DC1EC0"/>
    <w:rsid w:val="00DC3E35"/>
    <w:rsid w:val="00DC6488"/>
    <w:rsid w:val="00DD3F2F"/>
    <w:rsid w:val="00DD5274"/>
    <w:rsid w:val="00DD553E"/>
    <w:rsid w:val="00DE1483"/>
    <w:rsid w:val="00DE56A1"/>
    <w:rsid w:val="00DF0E3E"/>
    <w:rsid w:val="00DF172E"/>
    <w:rsid w:val="00E05343"/>
    <w:rsid w:val="00E06E7D"/>
    <w:rsid w:val="00E17720"/>
    <w:rsid w:val="00E23AE5"/>
    <w:rsid w:val="00E26778"/>
    <w:rsid w:val="00E272B5"/>
    <w:rsid w:val="00E3771B"/>
    <w:rsid w:val="00E41DBA"/>
    <w:rsid w:val="00E425C7"/>
    <w:rsid w:val="00E512BE"/>
    <w:rsid w:val="00E542BE"/>
    <w:rsid w:val="00E559F7"/>
    <w:rsid w:val="00E573F5"/>
    <w:rsid w:val="00E62CC4"/>
    <w:rsid w:val="00E67912"/>
    <w:rsid w:val="00E73989"/>
    <w:rsid w:val="00E75137"/>
    <w:rsid w:val="00E772E3"/>
    <w:rsid w:val="00E80235"/>
    <w:rsid w:val="00E83A63"/>
    <w:rsid w:val="00E84CE9"/>
    <w:rsid w:val="00E8502A"/>
    <w:rsid w:val="00E96366"/>
    <w:rsid w:val="00E9753B"/>
    <w:rsid w:val="00E97CB9"/>
    <w:rsid w:val="00EA759E"/>
    <w:rsid w:val="00EA7DC4"/>
    <w:rsid w:val="00EB7D20"/>
    <w:rsid w:val="00EC1D56"/>
    <w:rsid w:val="00EC4BAE"/>
    <w:rsid w:val="00EE62D5"/>
    <w:rsid w:val="00EF3B7D"/>
    <w:rsid w:val="00F019FE"/>
    <w:rsid w:val="00F01A7F"/>
    <w:rsid w:val="00F02620"/>
    <w:rsid w:val="00F06CF7"/>
    <w:rsid w:val="00F06DA4"/>
    <w:rsid w:val="00F07361"/>
    <w:rsid w:val="00F10609"/>
    <w:rsid w:val="00F20482"/>
    <w:rsid w:val="00F22C6B"/>
    <w:rsid w:val="00F22E84"/>
    <w:rsid w:val="00F313A6"/>
    <w:rsid w:val="00F317EE"/>
    <w:rsid w:val="00F323D2"/>
    <w:rsid w:val="00F32670"/>
    <w:rsid w:val="00F34E07"/>
    <w:rsid w:val="00F355CA"/>
    <w:rsid w:val="00F37F6E"/>
    <w:rsid w:val="00F37FC8"/>
    <w:rsid w:val="00F439F1"/>
    <w:rsid w:val="00F56F9A"/>
    <w:rsid w:val="00F575CB"/>
    <w:rsid w:val="00F6410B"/>
    <w:rsid w:val="00F668D8"/>
    <w:rsid w:val="00F67693"/>
    <w:rsid w:val="00F8703D"/>
    <w:rsid w:val="00F91AFD"/>
    <w:rsid w:val="00F95DD9"/>
    <w:rsid w:val="00F97B2F"/>
    <w:rsid w:val="00FA21B0"/>
    <w:rsid w:val="00FA5F54"/>
    <w:rsid w:val="00FB0479"/>
    <w:rsid w:val="00FB2066"/>
    <w:rsid w:val="00FB20BD"/>
    <w:rsid w:val="00FB2E26"/>
    <w:rsid w:val="00FB739E"/>
    <w:rsid w:val="00FC0A2D"/>
    <w:rsid w:val="00FC27B1"/>
    <w:rsid w:val="00FD064F"/>
    <w:rsid w:val="00FD1CCC"/>
    <w:rsid w:val="00FD40F8"/>
    <w:rsid w:val="00FD7484"/>
    <w:rsid w:val="00FE33A7"/>
    <w:rsid w:val="00FE5F79"/>
    <w:rsid w:val="00FE669E"/>
    <w:rsid w:val="00FE75A7"/>
    <w:rsid w:val="00FF11B5"/>
    <w:rsid w:val="00FF30CB"/>
    <w:rsid w:val="00FF68D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B0A18"/>
  <w15:docId w15:val="{B072319A-D240-4674-A8B9-94414C5EC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87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704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D3704D"/>
    <w:rPr>
      <w:sz w:val="18"/>
      <w:szCs w:val="18"/>
    </w:rPr>
  </w:style>
  <w:style w:type="paragraph" w:styleId="a5">
    <w:name w:val="footer"/>
    <w:basedOn w:val="a"/>
    <w:link w:val="a6"/>
    <w:uiPriority w:val="99"/>
    <w:unhideWhenUsed/>
    <w:rsid w:val="00D3704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D3704D"/>
    <w:rPr>
      <w:sz w:val="18"/>
      <w:szCs w:val="18"/>
    </w:rPr>
  </w:style>
  <w:style w:type="paragraph" w:customStyle="1" w:styleId="Default">
    <w:name w:val="Default"/>
    <w:rsid w:val="00B246C1"/>
    <w:pPr>
      <w:widowControl w:val="0"/>
      <w:autoSpaceDE w:val="0"/>
      <w:autoSpaceDN w:val="0"/>
      <w:adjustRightInd w:val="0"/>
    </w:pPr>
    <w:rPr>
      <w:rFonts w:ascii="宋体" w:eastAsia="宋体" w:cs="宋体"/>
      <w:color w:val="000000"/>
      <w:kern w:val="0"/>
      <w:sz w:val="24"/>
      <w:szCs w:val="24"/>
    </w:rPr>
  </w:style>
  <w:style w:type="character" w:styleId="a7">
    <w:name w:val="annotation reference"/>
    <w:basedOn w:val="a0"/>
    <w:uiPriority w:val="99"/>
    <w:semiHidden/>
    <w:unhideWhenUsed/>
    <w:rsid w:val="00941380"/>
    <w:rPr>
      <w:sz w:val="21"/>
      <w:szCs w:val="21"/>
    </w:rPr>
  </w:style>
  <w:style w:type="paragraph" w:styleId="a8">
    <w:name w:val="annotation text"/>
    <w:basedOn w:val="a"/>
    <w:link w:val="a9"/>
    <w:uiPriority w:val="99"/>
    <w:semiHidden/>
    <w:unhideWhenUsed/>
    <w:rsid w:val="00941380"/>
    <w:pPr>
      <w:jc w:val="left"/>
    </w:pPr>
  </w:style>
  <w:style w:type="character" w:customStyle="1" w:styleId="a9">
    <w:name w:val="批注文字 字符"/>
    <w:basedOn w:val="a0"/>
    <w:link w:val="a8"/>
    <w:uiPriority w:val="99"/>
    <w:semiHidden/>
    <w:rsid w:val="00941380"/>
    <w:rPr>
      <w:rFonts w:ascii="Times New Roman" w:eastAsia="宋体" w:hAnsi="Times New Roman" w:cs="Times New Roman"/>
      <w:szCs w:val="20"/>
    </w:rPr>
  </w:style>
  <w:style w:type="paragraph" w:styleId="aa">
    <w:name w:val="annotation subject"/>
    <w:basedOn w:val="a8"/>
    <w:next w:val="a8"/>
    <w:link w:val="ab"/>
    <w:uiPriority w:val="99"/>
    <w:semiHidden/>
    <w:unhideWhenUsed/>
    <w:rsid w:val="00941380"/>
    <w:rPr>
      <w:b/>
      <w:bCs/>
    </w:rPr>
  </w:style>
  <w:style w:type="character" w:customStyle="1" w:styleId="ab">
    <w:name w:val="批注主题 字符"/>
    <w:basedOn w:val="a9"/>
    <w:link w:val="aa"/>
    <w:uiPriority w:val="99"/>
    <w:semiHidden/>
    <w:rsid w:val="00941380"/>
    <w:rPr>
      <w:rFonts w:ascii="Times New Roman" w:eastAsia="宋体" w:hAnsi="Times New Roman" w:cs="Times New Roman"/>
      <w:b/>
      <w:bCs/>
      <w:szCs w:val="20"/>
    </w:rPr>
  </w:style>
  <w:style w:type="paragraph" w:styleId="ac">
    <w:name w:val="Balloon Text"/>
    <w:basedOn w:val="a"/>
    <w:link w:val="ad"/>
    <w:uiPriority w:val="99"/>
    <w:semiHidden/>
    <w:unhideWhenUsed/>
    <w:rsid w:val="00941380"/>
    <w:rPr>
      <w:sz w:val="18"/>
      <w:szCs w:val="18"/>
    </w:rPr>
  </w:style>
  <w:style w:type="character" w:customStyle="1" w:styleId="ad">
    <w:name w:val="批注框文本 字符"/>
    <w:basedOn w:val="a0"/>
    <w:link w:val="ac"/>
    <w:uiPriority w:val="99"/>
    <w:semiHidden/>
    <w:rsid w:val="00941380"/>
    <w:rPr>
      <w:rFonts w:ascii="Times New Roman" w:eastAsia="宋体" w:hAnsi="Times New Roman" w:cs="Times New Roman"/>
      <w:sz w:val="18"/>
      <w:szCs w:val="18"/>
    </w:rPr>
  </w:style>
  <w:style w:type="character" w:customStyle="1" w:styleId="hrefstyle">
    <w:name w:val="hrefstyle"/>
    <w:basedOn w:val="a0"/>
    <w:rsid w:val="00A30CC8"/>
  </w:style>
  <w:style w:type="character" w:styleId="ae">
    <w:name w:val="Emphasis"/>
    <w:basedOn w:val="a0"/>
    <w:uiPriority w:val="20"/>
    <w:qFormat/>
    <w:rsid w:val="000A6856"/>
    <w:rPr>
      <w:i/>
      <w:iCs/>
    </w:rPr>
  </w:style>
  <w:style w:type="paragraph" w:styleId="af">
    <w:name w:val="Normal (Web)"/>
    <w:basedOn w:val="a"/>
    <w:uiPriority w:val="99"/>
    <w:unhideWhenUsed/>
    <w:rsid w:val="007933A1"/>
    <w:pPr>
      <w:widowControl/>
      <w:spacing w:before="100" w:beforeAutospacing="1" w:after="100" w:afterAutospacing="1"/>
      <w:jc w:val="left"/>
    </w:pPr>
    <w:rPr>
      <w:rFonts w:ascii="宋体" w:hAnsi="宋体" w:cs="宋体"/>
      <w:kern w:val="0"/>
      <w:sz w:val="24"/>
      <w:szCs w:val="24"/>
    </w:rPr>
  </w:style>
  <w:style w:type="paragraph" w:styleId="af0">
    <w:name w:val="List Paragraph"/>
    <w:basedOn w:val="a"/>
    <w:uiPriority w:val="34"/>
    <w:qFormat/>
    <w:rsid w:val="00134783"/>
    <w:pPr>
      <w:ind w:firstLineChars="200" w:firstLine="420"/>
    </w:pPr>
    <w:rPr>
      <w:rFonts w:asciiTheme="minorHAnsi" w:eastAsiaTheme="minorEastAsia" w:hAnsiTheme="minorHAnsi" w:cstheme="minorBidi"/>
      <w:szCs w:val="22"/>
    </w:rPr>
  </w:style>
  <w:style w:type="character" w:customStyle="1" w:styleId="highlight">
    <w:name w:val="highlight"/>
    <w:basedOn w:val="a0"/>
    <w:rsid w:val="008A2B24"/>
  </w:style>
  <w:style w:type="paragraph" w:customStyle="1" w:styleId="ds-markdown-paragraph">
    <w:name w:val="ds-markdown-paragraph"/>
    <w:basedOn w:val="a"/>
    <w:rsid w:val="00CF4871"/>
    <w:pPr>
      <w:widowControl/>
      <w:spacing w:before="100" w:beforeAutospacing="1" w:after="100" w:afterAutospacing="1"/>
      <w:jc w:val="left"/>
    </w:pPr>
    <w:rPr>
      <w:rFonts w:ascii="宋体" w:hAnsi="宋体" w:cs="宋体"/>
      <w:kern w:val="0"/>
      <w:sz w:val="24"/>
      <w:szCs w:val="24"/>
    </w:rPr>
  </w:style>
  <w:style w:type="character" w:styleId="af1">
    <w:name w:val="Strong"/>
    <w:basedOn w:val="a0"/>
    <w:uiPriority w:val="22"/>
    <w:qFormat/>
    <w:rsid w:val="00CF48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157925">
      <w:bodyDiv w:val="1"/>
      <w:marLeft w:val="0"/>
      <w:marRight w:val="0"/>
      <w:marTop w:val="0"/>
      <w:marBottom w:val="0"/>
      <w:divBdr>
        <w:top w:val="none" w:sz="0" w:space="0" w:color="auto"/>
        <w:left w:val="none" w:sz="0" w:space="0" w:color="auto"/>
        <w:bottom w:val="none" w:sz="0" w:space="0" w:color="auto"/>
        <w:right w:val="none" w:sz="0" w:space="0" w:color="auto"/>
      </w:divBdr>
    </w:div>
    <w:div w:id="957878180">
      <w:bodyDiv w:val="1"/>
      <w:marLeft w:val="0"/>
      <w:marRight w:val="0"/>
      <w:marTop w:val="0"/>
      <w:marBottom w:val="0"/>
      <w:divBdr>
        <w:top w:val="none" w:sz="0" w:space="0" w:color="auto"/>
        <w:left w:val="none" w:sz="0" w:space="0" w:color="auto"/>
        <w:bottom w:val="none" w:sz="0" w:space="0" w:color="auto"/>
        <w:right w:val="none" w:sz="0" w:space="0" w:color="auto"/>
      </w:divBdr>
    </w:div>
    <w:div w:id="1316764688">
      <w:bodyDiv w:val="1"/>
      <w:marLeft w:val="0"/>
      <w:marRight w:val="0"/>
      <w:marTop w:val="0"/>
      <w:marBottom w:val="0"/>
      <w:divBdr>
        <w:top w:val="none" w:sz="0" w:space="0" w:color="auto"/>
        <w:left w:val="none" w:sz="0" w:space="0" w:color="auto"/>
        <w:bottom w:val="none" w:sz="0" w:space="0" w:color="auto"/>
        <w:right w:val="none" w:sz="0" w:space="0" w:color="auto"/>
      </w:divBdr>
    </w:div>
    <w:div w:id="1557274453">
      <w:bodyDiv w:val="1"/>
      <w:marLeft w:val="0"/>
      <w:marRight w:val="0"/>
      <w:marTop w:val="0"/>
      <w:marBottom w:val="0"/>
      <w:divBdr>
        <w:top w:val="none" w:sz="0" w:space="0" w:color="auto"/>
        <w:left w:val="none" w:sz="0" w:space="0" w:color="auto"/>
        <w:bottom w:val="none" w:sz="0" w:space="0" w:color="auto"/>
        <w:right w:val="none" w:sz="0" w:space="0" w:color="auto"/>
      </w:divBdr>
    </w:div>
    <w:div w:id="1635869168">
      <w:bodyDiv w:val="1"/>
      <w:marLeft w:val="0"/>
      <w:marRight w:val="0"/>
      <w:marTop w:val="0"/>
      <w:marBottom w:val="0"/>
      <w:divBdr>
        <w:top w:val="none" w:sz="0" w:space="0" w:color="auto"/>
        <w:left w:val="none" w:sz="0" w:space="0" w:color="auto"/>
        <w:bottom w:val="none" w:sz="0" w:space="0" w:color="auto"/>
        <w:right w:val="none" w:sz="0" w:space="0" w:color="auto"/>
      </w:divBdr>
    </w:div>
    <w:div w:id="1639677147">
      <w:bodyDiv w:val="1"/>
      <w:marLeft w:val="0"/>
      <w:marRight w:val="0"/>
      <w:marTop w:val="0"/>
      <w:marBottom w:val="0"/>
      <w:divBdr>
        <w:top w:val="none" w:sz="0" w:space="0" w:color="auto"/>
        <w:left w:val="none" w:sz="0" w:space="0" w:color="auto"/>
        <w:bottom w:val="none" w:sz="0" w:space="0" w:color="auto"/>
        <w:right w:val="none" w:sz="0" w:space="0" w:color="auto"/>
      </w:divBdr>
    </w:div>
    <w:div w:id="1822116309">
      <w:bodyDiv w:val="1"/>
      <w:marLeft w:val="0"/>
      <w:marRight w:val="0"/>
      <w:marTop w:val="0"/>
      <w:marBottom w:val="0"/>
      <w:divBdr>
        <w:top w:val="none" w:sz="0" w:space="0" w:color="auto"/>
        <w:left w:val="none" w:sz="0" w:space="0" w:color="auto"/>
        <w:bottom w:val="none" w:sz="0" w:space="0" w:color="auto"/>
        <w:right w:val="none" w:sz="0" w:space="0" w:color="auto"/>
      </w:divBdr>
    </w:div>
    <w:div w:id="1875918309">
      <w:bodyDiv w:val="1"/>
      <w:marLeft w:val="0"/>
      <w:marRight w:val="0"/>
      <w:marTop w:val="0"/>
      <w:marBottom w:val="0"/>
      <w:divBdr>
        <w:top w:val="none" w:sz="0" w:space="0" w:color="auto"/>
        <w:left w:val="none" w:sz="0" w:space="0" w:color="auto"/>
        <w:bottom w:val="none" w:sz="0" w:space="0" w:color="auto"/>
        <w:right w:val="none" w:sz="0" w:space="0" w:color="auto"/>
      </w:divBdr>
    </w:div>
    <w:div w:id="1885673827">
      <w:bodyDiv w:val="1"/>
      <w:marLeft w:val="0"/>
      <w:marRight w:val="0"/>
      <w:marTop w:val="0"/>
      <w:marBottom w:val="0"/>
      <w:divBdr>
        <w:top w:val="none" w:sz="0" w:space="0" w:color="auto"/>
        <w:left w:val="none" w:sz="0" w:space="0" w:color="auto"/>
        <w:bottom w:val="none" w:sz="0" w:space="0" w:color="auto"/>
        <w:right w:val="none" w:sz="0" w:space="0" w:color="auto"/>
      </w:divBdr>
    </w:div>
    <w:div w:id="1913733952">
      <w:bodyDiv w:val="1"/>
      <w:marLeft w:val="0"/>
      <w:marRight w:val="0"/>
      <w:marTop w:val="0"/>
      <w:marBottom w:val="0"/>
      <w:divBdr>
        <w:top w:val="none" w:sz="0" w:space="0" w:color="auto"/>
        <w:left w:val="none" w:sz="0" w:space="0" w:color="auto"/>
        <w:bottom w:val="none" w:sz="0" w:space="0" w:color="auto"/>
        <w:right w:val="none" w:sz="0" w:space="0" w:color="auto"/>
      </w:divBdr>
    </w:div>
    <w:div w:id="2074422941">
      <w:bodyDiv w:val="1"/>
      <w:marLeft w:val="0"/>
      <w:marRight w:val="0"/>
      <w:marTop w:val="0"/>
      <w:marBottom w:val="0"/>
      <w:divBdr>
        <w:top w:val="none" w:sz="0" w:space="0" w:color="auto"/>
        <w:left w:val="none" w:sz="0" w:space="0" w:color="auto"/>
        <w:bottom w:val="none" w:sz="0" w:space="0" w:color="auto"/>
        <w:right w:val="none" w:sz="0" w:space="0" w:color="auto"/>
      </w:divBdr>
    </w:div>
    <w:div w:id="214626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3D1B1-A8F7-4003-8C87-9DCFF2EA6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4232</TotalTime>
  <Pages>4</Pages>
  <Words>469</Words>
  <Characters>2675</Characters>
  <Application>Microsoft Office Word</Application>
  <DocSecurity>0</DocSecurity>
  <Lines>22</Lines>
  <Paragraphs>6</Paragraphs>
  <ScaleCrop>false</ScaleCrop>
  <Company>Microsoft</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yuanyuzhu</dc:creator>
  <cp:lastModifiedBy>潘莱</cp:lastModifiedBy>
  <cp:revision>122</cp:revision>
  <cp:lastPrinted>2026-09-04T09:07:00Z</cp:lastPrinted>
  <dcterms:created xsi:type="dcterms:W3CDTF">2022-04-09T08:03:00Z</dcterms:created>
  <dcterms:modified xsi:type="dcterms:W3CDTF">2026-09-07T08:56:00Z</dcterms:modified>
</cp:coreProperties>
</file>