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24134" w14:textId="5B40A3B0" w:rsidR="00226B25" w:rsidRPr="00530441" w:rsidRDefault="00226B25" w:rsidP="009555DF">
      <w:pPr>
        <w:spacing w:after="0" w:line="240" w:lineRule="auto"/>
        <w:jc w:val="center"/>
        <w:rPr>
          <w:rFonts w:ascii="Times New Roman" w:eastAsia="楷体" w:hAnsi="Times New Roman" w:cs="Times New Roman"/>
          <w:b/>
          <w:sz w:val="28"/>
          <w:szCs w:val="28"/>
        </w:rPr>
      </w:pPr>
      <w:r w:rsidRPr="00530441">
        <w:rPr>
          <w:rFonts w:ascii="Times New Roman" w:eastAsia="楷体" w:hAnsi="Times New Roman" w:cs="Times New Roman"/>
          <w:b/>
          <w:sz w:val="28"/>
          <w:szCs w:val="28"/>
        </w:rPr>
        <w:t>蓝星安迪苏股份有限公司</w:t>
      </w:r>
    </w:p>
    <w:p w14:paraId="70AC398F" w14:textId="06A0914F" w:rsidR="00226B25" w:rsidRPr="00530441" w:rsidRDefault="008D533C" w:rsidP="009555DF">
      <w:pPr>
        <w:spacing w:after="0" w:line="240" w:lineRule="auto"/>
        <w:jc w:val="center"/>
        <w:rPr>
          <w:rFonts w:ascii="Times New Roman" w:eastAsia="楷体" w:hAnsi="Times New Roman" w:cs="Times New Roman"/>
          <w:b/>
          <w:sz w:val="28"/>
          <w:szCs w:val="28"/>
        </w:rPr>
      </w:pPr>
      <w:r w:rsidRPr="00530441">
        <w:rPr>
          <w:rFonts w:ascii="Times New Roman" w:eastAsia="楷体" w:hAnsi="Times New Roman" w:cs="Times New Roman"/>
          <w:b/>
          <w:bCs/>
          <w:sz w:val="28"/>
          <w:szCs w:val="28"/>
        </w:rPr>
        <w:t>202</w:t>
      </w:r>
      <w:r w:rsidR="2A57854F" w:rsidRPr="00530441">
        <w:rPr>
          <w:rFonts w:ascii="Times New Roman" w:eastAsia="楷体" w:hAnsi="Times New Roman" w:cs="Times New Roman"/>
          <w:b/>
          <w:bCs/>
          <w:sz w:val="28"/>
          <w:szCs w:val="28"/>
        </w:rPr>
        <w:t>6</w:t>
      </w:r>
      <w:r w:rsidRPr="00530441">
        <w:rPr>
          <w:rFonts w:ascii="Times New Roman" w:eastAsia="楷体" w:hAnsi="Times New Roman" w:cs="Times New Roman"/>
          <w:b/>
          <w:sz w:val="28"/>
          <w:szCs w:val="28"/>
        </w:rPr>
        <w:t>年</w:t>
      </w:r>
      <w:r w:rsidR="00834692" w:rsidRPr="00530441">
        <w:rPr>
          <w:rFonts w:ascii="Times New Roman" w:eastAsia="楷体" w:hAnsi="Times New Roman" w:cs="Times New Roman"/>
          <w:b/>
          <w:sz w:val="28"/>
          <w:szCs w:val="28"/>
        </w:rPr>
        <w:t>半年度</w:t>
      </w:r>
      <w:r w:rsidR="001B299F">
        <w:rPr>
          <w:rFonts w:ascii="Times New Roman" w:eastAsia="楷体" w:hAnsi="Times New Roman" w:cs="Times New Roman" w:hint="eastAsia"/>
          <w:b/>
          <w:sz w:val="28"/>
          <w:szCs w:val="28"/>
        </w:rPr>
        <w:t>报告</w:t>
      </w:r>
      <w:r w:rsidR="00E150C9" w:rsidRPr="00530441">
        <w:rPr>
          <w:rFonts w:ascii="Times New Roman" w:eastAsia="楷体" w:hAnsi="Times New Roman" w:cs="Times New Roman"/>
          <w:b/>
          <w:sz w:val="28"/>
          <w:szCs w:val="28"/>
        </w:rPr>
        <w:t>线上投资者沟通会</w:t>
      </w:r>
      <w:r w:rsidR="001B299F">
        <w:rPr>
          <w:rFonts w:ascii="Times New Roman" w:eastAsia="楷体" w:hAnsi="Times New Roman" w:cs="Times New Roman" w:hint="eastAsia"/>
          <w:b/>
          <w:sz w:val="28"/>
          <w:szCs w:val="28"/>
        </w:rPr>
        <w:t>及业绩说明会</w:t>
      </w:r>
      <w:r w:rsidR="00E150C9" w:rsidRPr="00530441">
        <w:rPr>
          <w:rFonts w:ascii="Times New Roman" w:eastAsia="楷体" w:hAnsi="Times New Roman" w:cs="Times New Roman"/>
          <w:b/>
          <w:sz w:val="28"/>
          <w:szCs w:val="28"/>
        </w:rPr>
        <w:t>会议记录</w:t>
      </w:r>
    </w:p>
    <w:p w14:paraId="1A2922B4" w14:textId="77777777" w:rsidR="009555DF" w:rsidRPr="003002A2" w:rsidRDefault="009555DF" w:rsidP="009555DF">
      <w:pPr>
        <w:spacing w:after="0" w:line="240" w:lineRule="auto"/>
        <w:jc w:val="center"/>
        <w:rPr>
          <w:rFonts w:ascii="Times New Roman" w:eastAsia="楷体" w:hAnsi="Times New Roman" w:cs="Times New Roman"/>
          <w:b/>
          <w:sz w:val="24"/>
          <w:szCs w:val="24"/>
        </w:rPr>
      </w:pPr>
    </w:p>
    <w:p w14:paraId="44CAD721" w14:textId="77777777" w:rsidR="00083BD2" w:rsidRPr="00530441" w:rsidRDefault="00722932" w:rsidP="00083BD2">
      <w:pPr>
        <w:pStyle w:val="a8"/>
        <w:numPr>
          <w:ilvl w:val="0"/>
          <w:numId w:val="1"/>
        </w:numPr>
        <w:ind w:firstLineChars="0"/>
        <w:rPr>
          <w:rFonts w:ascii="Times New Roman" w:eastAsia="楷体" w:hAnsi="Times New Roman"/>
          <w:sz w:val="24"/>
          <w:szCs w:val="24"/>
        </w:rPr>
      </w:pPr>
      <w:r w:rsidRPr="00530441">
        <w:rPr>
          <w:rFonts w:ascii="Times New Roman" w:eastAsia="楷体" w:hAnsi="Times New Roman"/>
          <w:sz w:val="24"/>
          <w:szCs w:val="24"/>
        </w:rPr>
        <w:t>会议</w:t>
      </w:r>
      <w:r w:rsidR="00226B25" w:rsidRPr="00530441">
        <w:rPr>
          <w:rFonts w:ascii="Times New Roman" w:eastAsia="楷体" w:hAnsi="Times New Roman"/>
          <w:sz w:val="24"/>
          <w:szCs w:val="24"/>
        </w:rPr>
        <w:t>时间</w:t>
      </w:r>
      <w:r w:rsidR="00083BD2" w:rsidRPr="00530441">
        <w:rPr>
          <w:rFonts w:ascii="Times New Roman" w:eastAsia="楷体" w:hAnsi="Times New Roman"/>
          <w:sz w:val="24"/>
          <w:szCs w:val="24"/>
        </w:rPr>
        <w:t xml:space="preserve"> </w:t>
      </w:r>
    </w:p>
    <w:p w14:paraId="5F8E76AF" w14:textId="35FD1D04" w:rsidR="00E150C9" w:rsidRPr="00530441" w:rsidRDefault="00E150C9" w:rsidP="00305D2B">
      <w:pPr>
        <w:pStyle w:val="a8"/>
        <w:ind w:leftChars="216" w:left="475" w:firstLineChars="0" w:firstLine="0"/>
        <w:rPr>
          <w:rFonts w:ascii="Times New Roman" w:eastAsia="楷体" w:hAnsi="Times New Roman"/>
          <w:sz w:val="24"/>
          <w:szCs w:val="24"/>
        </w:rPr>
      </w:pPr>
      <w:r w:rsidRPr="00530441">
        <w:rPr>
          <w:rFonts w:ascii="Times New Roman" w:eastAsia="楷体" w:hAnsi="Times New Roman"/>
          <w:sz w:val="24"/>
          <w:szCs w:val="24"/>
        </w:rPr>
        <w:t>公司</w:t>
      </w:r>
      <w:r w:rsidR="00442BDD">
        <w:rPr>
          <w:rFonts w:ascii="Times New Roman" w:eastAsia="楷体" w:hAnsi="Times New Roman" w:hint="eastAsia"/>
          <w:sz w:val="24"/>
          <w:szCs w:val="24"/>
        </w:rPr>
        <w:t>分别</w:t>
      </w:r>
      <w:r w:rsidRPr="00530441">
        <w:rPr>
          <w:rFonts w:ascii="Times New Roman" w:eastAsia="楷体" w:hAnsi="Times New Roman"/>
          <w:sz w:val="24"/>
          <w:szCs w:val="24"/>
        </w:rPr>
        <w:t>于</w:t>
      </w:r>
      <w:r w:rsidRPr="00530441">
        <w:rPr>
          <w:rFonts w:ascii="Times New Roman" w:eastAsia="楷体" w:hAnsi="Times New Roman"/>
          <w:sz w:val="24"/>
          <w:szCs w:val="24"/>
        </w:rPr>
        <w:t>202</w:t>
      </w:r>
      <w:r w:rsidR="00B83E4F" w:rsidRPr="00530441">
        <w:rPr>
          <w:rFonts w:ascii="Times New Roman" w:eastAsia="楷体" w:hAnsi="Times New Roman"/>
          <w:sz w:val="24"/>
          <w:szCs w:val="24"/>
        </w:rPr>
        <w:t>6</w:t>
      </w:r>
      <w:r w:rsidRPr="00530441">
        <w:rPr>
          <w:rFonts w:ascii="Times New Roman" w:eastAsia="楷体" w:hAnsi="Times New Roman"/>
          <w:sz w:val="24"/>
          <w:szCs w:val="24"/>
        </w:rPr>
        <w:t>年</w:t>
      </w:r>
      <w:r w:rsidR="00442BDD">
        <w:rPr>
          <w:rFonts w:ascii="Times New Roman" w:eastAsia="楷体" w:hAnsi="Times New Roman" w:hint="eastAsia"/>
          <w:sz w:val="24"/>
          <w:szCs w:val="24"/>
        </w:rPr>
        <w:t>9</w:t>
      </w:r>
      <w:r w:rsidRPr="00530441">
        <w:rPr>
          <w:rFonts w:ascii="Times New Roman" w:eastAsia="楷体" w:hAnsi="Times New Roman"/>
          <w:sz w:val="24"/>
          <w:szCs w:val="24"/>
        </w:rPr>
        <w:t>月</w:t>
      </w:r>
      <w:r w:rsidR="00442BDD">
        <w:rPr>
          <w:rFonts w:ascii="Times New Roman" w:eastAsia="楷体" w:hAnsi="Times New Roman" w:hint="eastAsia"/>
          <w:sz w:val="24"/>
          <w:szCs w:val="24"/>
        </w:rPr>
        <w:t>3</w:t>
      </w:r>
      <w:r w:rsidRPr="00530441">
        <w:rPr>
          <w:rFonts w:ascii="Times New Roman" w:eastAsia="楷体" w:hAnsi="Times New Roman"/>
          <w:sz w:val="24"/>
          <w:szCs w:val="24"/>
        </w:rPr>
        <w:t>日</w:t>
      </w:r>
      <w:r w:rsidR="00442BDD">
        <w:rPr>
          <w:rFonts w:ascii="Times New Roman" w:eastAsia="楷体" w:hAnsi="Times New Roman" w:hint="eastAsia"/>
          <w:sz w:val="24"/>
          <w:szCs w:val="24"/>
        </w:rPr>
        <w:t>、</w:t>
      </w:r>
      <w:r w:rsidR="00442BDD">
        <w:rPr>
          <w:rFonts w:ascii="Times New Roman" w:eastAsia="楷体" w:hAnsi="Times New Roman" w:hint="eastAsia"/>
          <w:sz w:val="24"/>
          <w:szCs w:val="24"/>
        </w:rPr>
        <w:t>9</w:t>
      </w:r>
      <w:r w:rsidR="00442BDD">
        <w:rPr>
          <w:rFonts w:ascii="Times New Roman" w:eastAsia="楷体" w:hAnsi="Times New Roman" w:hint="eastAsia"/>
          <w:sz w:val="24"/>
          <w:szCs w:val="24"/>
        </w:rPr>
        <w:t>月</w:t>
      </w:r>
      <w:r w:rsidR="00442BDD">
        <w:rPr>
          <w:rFonts w:ascii="Times New Roman" w:eastAsia="楷体" w:hAnsi="Times New Roman" w:hint="eastAsia"/>
          <w:sz w:val="24"/>
          <w:szCs w:val="24"/>
        </w:rPr>
        <w:t>7</w:t>
      </w:r>
      <w:r w:rsidR="00442BDD">
        <w:rPr>
          <w:rFonts w:ascii="Times New Roman" w:eastAsia="楷体" w:hAnsi="Times New Roman" w:hint="eastAsia"/>
          <w:sz w:val="24"/>
          <w:szCs w:val="24"/>
        </w:rPr>
        <w:t>日</w:t>
      </w:r>
      <w:r w:rsidRPr="00530441">
        <w:rPr>
          <w:rFonts w:ascii="Times New Roman" w:eastAsia="楷体" w:hAnsi="Times New Roman"/>
          <w:sz w:val="24"/>
          <w:szCs w:val="24"/>
        </w:rPr>
        <w:t>组织召开了</w:t>
      </w:r>
      <w:r w:rsidRPr="00530441">
        <w:rPr>
          <w:rFonts w:ascii="Times New Roman" w:eastAsia="楷体" w:hAnsi="Times New Roman"/>
          <w:sz w:val="24"/>
          <w:szCs w:val="24"/>
        </w:rPr>
        <w:t>202</w:t>
      </w:r>
      <w:r w:rsidR="009A3B33" w:rsidRPr="00530441">
        <w:rPr>
          <w:rFonts w:ascii="Times New Roman" w:eastAsia="楷体" w:hAnsi="Times New Roman"/>
          <w:sz w:val="24"/>
          <w:szCs w:val="24"/>
        </w:rPr>
        <w:t>6</w:t>
      </w:r>
      <w:r w:rsidRPr="00530441">
        <w:rPr>
          <w:rFonts w:ascii="Times New Roman" w:eastAsia="楷体" w:hAnsi="Times New Roman"/>
          <w:sz w:val="24"/>
          <w:szCs w:val="24"/>
        </w:rPr>
        <w:t>年</w:t>
      </w:r>
      <w:r w:rsidR="00834692" w:rsidRPr="00530441">
        <w:rPr>
          <w:rFonts w:ascii="Times New Roman" w:eastAsia="楷体" w:hAnsi="Times New Roman"/>
          <w:sz w:val="24"/>
          <w:szCs w:val="24"/>
        </w:rPr>
        <w:t>半年度</w:t>
      </w:r>
      <w:r w:rsidR="00442BDD">
        <w:rPr>
          <w:rFonts w:ascii="Times New Roman" w:eastAsia="楷体" w:hAnsi="Times New Roman" w:hint="eastAsia"/>
          <w:sz w:val="24"/>
          <w:szCs w:val="24"/>
        </w:rPr>
        <w:t>报告</w:t>
      </w:r>
      <w:r w:rsidRPr="00530441">
        <w:rPr>
          <w:rFonts w:ascii="Times New Roman" w:eastAsia="楷体" w:hAnsi="Times New Roman"/>
          <w:sz w:val="24"/>
          <w:szCs w:val="24"/>
        </w:rPr>
        <w:t>线上投资者沟通会</w:t>
      </w:r>
      <w:r w:rsidR="00442BDD">
        <w:rPr>
          <w:rFonts w:ascii="Times New Roman" w:eastAsia="楷体" w:hAnsi="Times New Roman" w:hint="eastAsia"/>
          <w:sz w:val="24"/>
          <w:szCs w:val="24"/>
        </w:rPr>
        <w:t>、业绩说明会</w:t>
      </w:r>
      <w:r w:rsidRPr="00530441">
        <w:rPr>
          <w:rFonts w:ascii="Times New Roman" w:eastAsia="楷体" w:hAnsi="Times New Roman"/>
          <w:sz w:val="24"/>
          <w:szCs w:val="24"/>
        </w:rPr>
        <w:t>。</w:t>
      </w:r>
    </w:p>
    <w:p w14:paraId="2412EC0A" w14:textId="77777777" w:rsidR="00FA3F64" w:rsidRPr="00530441" w:rsidRDefault="00F30264" w:rsidP="00030A0E">
      <w:pPr>
        <w:pStyle w:val="a8"/>
        <w:numPr>
          <w:ilvl w:val="0"/>
          <w:numId w:val="1"/>
        </w:numPr>
        <w:spacing w:before="100" w:beforeAutospacing="1"/>
        <w:ind w:firstLineChars="0"/>
        <w:rPr>
          <w:rFonts w:ascii="Times New Roman" w:eastAsia="楷体" w:hAnsi="Times New Roman"/>
          <w:sz w:val="24"/>
          <w:szCs w:val="24"/>
        </w:rPr>
      </w:pPr>
      <w:r w:rsidRPr="00530441">
        <w:rPr>
          <w:rFonts w:ascii="Times New Roman" w:eastAsia="楷体" w:hAnsi="Times New Roman"/>
          <w:sz w:val="24"/>
          <w:szCs w:val="24"/>
        </w:rPr>
        <w:t>参与单位名称及人员姓名</w:t>
      </w:r>
    </w:p>
    <w:p w14:paraId="04F5F688" w14:textId="77777777" w:rsidR="00C338D1" w:rsidRPr="00530441" w:rsidRDefault="00030A0E" w:rsidP="00030A0E">
      <w:pPr>
        <w:pStyle w:val="a8"/>
        <w:ind w:firstLine="480"/>
        <w:rPr>
          <w:rFonts w:ascii="Times New Roman" w:eastAsia="楷体" w:hAnsi="Times New Roman"/>
          <w:sz w:val="24"/>
          <w:szCs w:val="24"/>
        </w:rPr>
      </w:pPr>
      <w:r w:rsidRPr="00530441">
        <w:rPr>
          <w:rFonts w:ascii="Times New Roman" w:eastAsia="楷体" w:hAnsi="Times New Roman"/>
          <w:sz w:val="24"/>
          <w:szCs w:val="24"/>
        </w:rPr>
        <w:t>部分参会机构名单详见附件清单。</w:t>
      </w:r>
    </w:p>
    <w:p w14:paraId="6AFF6A0A" w14:textId="77777777" w:rsidR="00030A0E" w:rsidRPr="00530441" w:rsidRDefault="00FB4C84" w:rsidP="00574C82">
      <w:pPr>
        <w:pStyle w:val="a8"/>
        <w:ind w:leftChars="229" w:left="504" w:firstLineChars="0" w:firstLine="0"/>
        <w:rPr>
          <w:rFonts w:ascii="Times New Roman" w:eastAsia="楷体" w:hAnsi="Times New Roman"/>
          <w:sz w:val="24"/>
          <w:szCs w:val="24"/>
        </w:rPr>
      </w:pPr>
      <w:r w:rsidRPr="00530441">
        <w:rPr>
          <w:rFonts w:ascii="Times New Roman" w:eastAsia="楷体" w:hAnsi="Times New Roman"/>
          <w:sz w:val="24"/>
          <w:szCs w:val="24"/>
        </w:rPr>
        <w:t>重要提示：参会机构名单由组织机构提供并经整理后展示。公司无法保证参会机构单位名称的完整性、准确性，敬请投资者注意。</w:t>
      </w:r>
    </w:p>
    <w:p w14:paraId="6393E908" w14:textId="77777777" w:rsidR="001947D3" w:rsidRPr="00530441" w:rsidRDefault="001947D3" w:rsidP="001947D3">
      <w:pPr>
        <w:pStyle w:val="a8"/>
        <w:ind w:firstLine="480"/>
        <w:rPr>
          <w:rFonts w:ascii="Times New Roman" w:eastAsia="楷体" w:hAnsi="Times New Roman"/>
          <w:sz w:val="24"/>
          <w:szCs w:val="24"/>
        </w:rPr>
      </w:pPr>
    </w:p>
    <w:p w14:paraId="3C5FCB39" w14:textId="77777777" w:rsidR="008A7352" w:rsidRPr="00530441" w:rsidRDefault="00F30264" w:rsidP="00E810C3">
      <w:pPr>
        <w:pStyle w:val="a8"/>
        <w:numPr>
          <w:ilvl w:val="0"/>
          <w:numId w:val="1"/>
        </w:numPr>
        <w:ind w:left="0" w:firstLineChars="0" w:firstLine="0"/>
        <w:rPr>
          <w:rFonts w:ascii="Times New Roman" w:eastAsia="楷体" w:hAnsi="Times New Roman"/>
          <w:sz w:val="24"/>
          <w:szCs w:val="24"/>
        </w:rPr>
      </w:pPr>
      <w:r w:rsidRPr="00530441">
        <w:rPr>
          <w:rFonts w:ascii="Times New Roman" w:eastAsia="楷体" w:hAnsi="Times New Roman"/>
          <w:sz w:val="24"/>
          <w:szCs w:val="24"/>
        </w:rPr>
        <w:t>公司接待人员</w:t>
      </w:r>
    </w:p>
    <w:p w14:paraId="40BD68DE" w14:textId="77777777" w:rsidR="00E150C9" w:rsidRDefault="008A7352" w:rsidP="00E150C9">
      <w:pPr>
        <w:spacing w:after="0"/>
        <w:ind w:firstLineChars="192" w:firstLine="461"/>
        <w:rPr>
          <w:rFonts w:ascii="Times New Roman" w:eastAsia="楷体" w:hAnsi="Times New Roman" w:cs="Times New Roman"/>
          <w:sz w:val="24"/>
          <w:szCs w:val="24"/>
        </w:rPr>
      </w:pPr>
      <w:r w:rsidRPr="00530441">
        <w:rPr>
          <w:rFonts w:ascii="Times New Roman" w:eastAsia="楷体" w:hAnsi="Times New Roman" w:cs="Times New Roman"/>
          <w:sz w:val="24"/>
          <w:szCs w:val="24"/>
        </w:rPr>
        <w:t>董事长</w:t>
      </w:r>
      <w:r w:rsidR="004462EB" w:rsidRPr="00530441">
        <w:rPr>
          <w:rFonts w:ascii="Times New Roman" w:eastAsia="楷体" w:hAnsi="Times New Roman" w:cs="Times New Roman"/>
          <w:sz w:val="24"/>
          <w:szCs w:val="24"/>
        </w:rPr>
        <w:t>兼总经理</w:t>
      </w:r>
      <w:r w:rsidR="00E60BD8" w:rsidRPr="00530441">
        <w:rPr>
          <w:rFonts w:ascii="Times New Roman" w:eastAsia="楷体" w:hAnsi="Times New Roman" w:cs="Times New Roman"/>
          <w:sz w:val="24"/>
          <w:szCs w:val="24"/>
        </w:rPr>
        <w:t>（</w:t>
      </w:r>
      <w:r w:rsidR="00E60BD8" w:rsidRPr="00530441">
        <w:rPr>
          <w:rFonts w:ascii="Times New Roman" w:eastAsia="楷体" w:hAnsi="Times New Roman" w:cs="Times New Roman"/>
          <w:sz w:val="24"/>
          <w:szCs w:val="24"/>
        </w:rPr>
        <w:t>CEO</w:t>
      </w:r>
      <w:r w:rsidR="00E60BD8" w:rsidRPr="00530441">
        <w:rPr>
          <w:rFonts w:ascii="Times New Roman" w:eastAsia="楷体" w:hAnsi="Times New Roman" w:cs="Times New Roman"/>
          <w:sz w:val="24"/>
          <w:szCs w:val="24"/>
        </w:rPr>
        <w:t>）</w:t>
      </w:r>
      <w:r w:rsidRPr="00530441">
        <w:rPr>
          <w:rFonts w:ascii="Times New Roman" w:eastAsia="楷体" w:hAnsi="Times New Roman" w:cs="Times New Roman"/>
          <w:sz w:val="24"/>
          <w:szCs w:val="24"/>
        </w:rPr>
        <w:t>：郝志刚先生</w:t>
      </w:r>
    </w:p>
    <w:p w14:paraId="17741CC4" w14:textId="7FB96804" w:rsidR="008D6C4C" w:rsidRPr="00530441" w:rsidRDefault="008D6C4C" w:rsidP="00E150C9">
      <w:pPr>
        <w:spacing w:after="0"/>
        <w:ind w:firstLineChars="192" w:firstLine="461"/>
        <w:rPr>
          <w:rFonts w:ascii="Times New Roman" w:eastAsia="楷体" w:hAnsi="Times New Roman" w:cs="Times New Roman"/>
          <w:sz w:val="24"/>
          <w:szCs w:val="24"/>
        </w:rPr>
      </w:pPr>
      <w:r>
        <w:rPr>
          <w:rFonts w:ascii="Times New Roman" w:eastAsia="楷体" w:hAnsi="Times New Roman" w:cs="Times New Roman" w:hint="eastAsia"/>
          <w:sz w:val="24"/>
          <w:szCs w:val="24"/>
        </w:rPr>
        <w:t>独立董事：刘昕先生</w:t>
      </w:r>
    </w:p>
    <w:p w14:paraId="3136C1AA" w14:textId="77777777" w:rsidR="008A7352" w:rsidRPr="00530441" w:rsidRDefault="008A7352" w:rsidP="008A7352">
      <w:pPr>
        <w:spacing w:after="0"/>
        <w:ind w:firstLineChars="192" w:firstLine="461"/>
        <w:rPr>
          <w:rFonts w:ascii="Times New Roman" w:eastAsia="楷体" w:hAnsi="Times New Roman" w:cs="Times New Roman"/>
          <w:sz w:val="24"/>
          <w:szCs w:val="24"/>
        </w:rPr>
      </w:pPr>
      <w:r w:rsidRPr="00530441">
        <w:rPr>
          <w:rFonts w:ascii="Times New Roman" w:eastAsia="楷体" w:hAnsi="Times New Roman" w:cs="Times New Roman"/>
          <w:sz w:val="24"/>
          <w:szCs w:val="24"/>
        </w:rPr>
        <w:t>首席运营官</w:t>
      </w:r>
      <w:r w:rsidR="006E6E1C" w:rsidRPr="00530441">
        <w:rPr>
          <w:rFonts w:ascii="Times New Roman" w:eastAsia="楷体" w:hAnsi="Times New Roman" w:cs="Times New Roman"/>
          <w:sz w:val="24"/>
          <w:szCs w:val="24"/>
        </w:rPr>
        <w:t>兼副总经理</w:t>
      </w:r>
      <w:r w:rsidRPr="00530441">
        <w:rPr>
          <w:rFonts w:ascii="Times New Roman" w:eastAsia="楷体" w:hAnsi="Times New Roman" w:cs="Times New Roman"/>
          <w:sz w:val="24"/>
          <w:szCs w:val="24"/>
        </w:rPr>
        <w:t>：</w:t>
      </w:r>
      <w:r w:rsidRPr="00530441">
        <w:rPr>
          <w:rFonts w:ascii="Times New Roman" w:eastAsia="楷体" w:hAnsi="Times New Roman" w:cs="Times New Roman"/>
          <w:sz w:val="24"/>
          <w:szCs w:val="24"/>
        </w:rPr>
        <w:t>Frederic Jacquin</w:t>
      </w:r>
      <w:r w:rsidRPr="00530441">
        <w:rPr>
          <w:rFonts w:ascii="Times New Roman" w:eastAsia="楷体" w:hAnsi="Times New Roman" w:cs="Times New Roman"/>
          <w:sz w:val="24"/>
          <w:szCs w:val="24"/>
        </w:rPr>
        <w:t>先生</w:t>
      </w:r>
    </w:p>
    <w:p w14:paraId="1CB07146" w14:textId="0028E777" w:rsidR="004462EB" w:rsidRPr="00530441" w:rsidRDefault="008A7352" w:rsidP="008A7352">
      <w:pPr>
        <w:spacing w:after="0"/>
        <w:ind w:firstLineChars="192" w:firstLine="461"/>
        <w:rPr>
          <w:rFonts w:ascii="Times New Roman" w:eastAsia="楷体" w:hAnsi="Times New Roman" w:cs="Times New Roman"/>
          <w:sz w:val="24"/>
          <w:szCs w:val="24"/>
        </w:rPr>
      </w:pPr>
      <w:r w:rsidRPr="00530441">
        <w:rPr>
          <w:rFonts w:ascii="Times New Roman" w:eastAsia="楷体" w:hAnsi="Times New Roman" w:cs="Times New Roman"/>
          <w:sz w:val="24"/>
          <w:szCs w:val="24"/>
        </w:rPr>
        <w:t>首席财务官：</w:t>
      </w:r>
      <w:r w:rsidR="00CB0892" w:rsidRPr="00530441">
        <w:rPr>
          <w:rFonts w:ascii="Times New Roman" w:eastAsia="楷体" w:hAnsi="Times New Roman" w:cs="Times New Roman"/>
          <w:sz w:val="24"/>
          <w:szCs w:val="24"/>
        </w:rPr>
        <w:t>程亚娟</w:t>
      </w:r>
      <w:r w:rsidRPr="00530441">
        <w:rPr>
          <w:rFonts w:ascii="Times New Roman" w:eastAsia="楷体" w:hAnsi="Times New Roman" w:cs="Times New Roman"/>
          <w:sz w:val="24"/>
          <w:szCs w:val="24"/>
        </w:rPr>
        <w:t>女士</w:t>
      </w:r>
    </w:p>
    <w:p w14:paraId="37F64E17" w14:textId="77777777" w:rsidR="008A7352" w:rsidRPr="00530441" w:rsidRDefault="004462EB" w:rsidP="008A7352">
      <w:pPr>
        <w:spacing w:after="0"/>
        <w:ind w:firstLineChars="192" w:firstLine="461"/>
        <w:rPr>
          <w:rFonts w:ascii="Times New Roman" w:eastAsia="楷体" w:hAnsi="Times New Roman" w:cs="Times New Roman"/>
          <w:sz w:val="24"/>
          <w:szCs w:val="24"/>
        </w:rPr>
      </w:pPr>
      <w:r w:rsidRPr="00530441">
        <w:rPr>
          <w:rFonts w:ascii="Times New Roman" w:eastAsia="楷体" w:hAnsi="Times New Roman" w:cs="Times New Roman"/>
          <w:sz w:val="24"/>
          <w:szCs w:val="24"/>
        </w:rPr>
        <w:t>董事会秘书</w:t>
      </w:r>
      <w:r w:rsidR="008A7352" w:rsidRPr="00530441">
        <w:rPr>
          <w:rFonts w:ascii="Times New Roman" w:eastAsia="楷体" w:hAnsi="Times New Roman" w:cs="Times New Roman"/>
          <w:sz w:val="24"/>
          <w:szCs w:val="24"/>
        </w:rPr>
        <w:t>：蔡昀女士</w:t>
      </w:r>
    </w:p>
    <w:p w14:paraId="7F1EA304" w14:textId="77777777" w:rsidR="009555DF" w:rsidRPr="00530441" w:rsidRDefault="00722932" w:rsidP="00854A00">
      <w:pPr>
        <w:pStyle w:val="a8"/>
        <w:numPr>
          <w:ilvl w:val="0"/>
          <w:numId w:val="1"/>
        </w:numPr>
        <w:spacing w:before="100" w:beforeAutospacing="1"/>
        <w:ind w:left="0" w:firstLineChars="0" w:firstLine="0"/>
        <w:rPr>
          <w:rFonts w:ascii="Times New Roman" w:eastAsia="楷体" w:hAnsi="Times New Roman"/>
          <w:sz w:val="24"/>
          <w:szCs w:val="24"/>
        </w:rPr>
      </w:pPr>
      <w:r w:rsidRPr="00530441">
        <w:rPr>
          <w:rFonts w:ascii="Times New Roman" w:eastAsia="楷体" w:hAnsi="Times New Roman"/>
          <w:sz w:val="24"/>
          <w:szCs w:val="24"/>
        </w:rPr>
        <w:t>会议</w:t>
      </w:r>
      <w:r w:rsidR="003A15CB" w:rsidRPr="00530441">
        <w:rPr>
          <w:rFonts w:ascii="Times New Roman" w:eastAsia="楷体" w:hAnsi="Times New Roman"/>
          <w:sz w:val="24"/>
          <w:szCs w:val="24"/>
        </w:rPr>
        <w:t>地点</w:t>
      </w:r>
    </w:p>
    <w:p w14:paraId="5560C86A" w14:textId="0E7425EF" w:rsidR="009555DF" w:rsidRPr="00530441" w:rsidRDefault="00B83E4F" w:rsidP="00854A00">
      <w:pPr>
        <w:pStyle w:val="a8"/>
        <w:ind w:leftChars="216" w:left="475" w:firstLineChars="0" w:firstLine="0"/>
        <w:rPr>
          <w:rFonts w:ascii="Times New Roman" w:eastAsia="楷体" w:hAnsi="Times New Roman"/>
          <w:sz w:val="24"/>
          <w:szCs w:val="24"/>
        </w:rPr>
      </w:pPr>
      <w:r w:rsidRPr="00530441">
        <w:rPr>
          <w:rFonts w:ascii="Times New Roman" w:eastAsia="楷体" w:hAnsi="Times New Roman"/>
          <w:sz w:val="24"/>
          <w:szCs w:val="24"/>
        </w:rPr>
        <w:t>Teams</w:t>
      </w:r>
      <w:r w:rsidRPr="00530441">
        <w:rPr>
          <w:rFonts w:ascii="Times New Roman" w:eastAsia="楷体" w:hAnsi="Times New Roman"/>
          <w:sz w:val="24"/>
          <w:szCs w:val="24"/>
        </w:rPr>
        <w:t>线上会议</w:t>
      </w:r>
      <w:r w:rsidR="00734146">
        <w:rPr>
          <w:rFonts w:ascii="Times New Roman" w:eastAsia="楷体" w:hAnsi="Times New Roman" w:hint="eastAsia"/>
          <w:sz w:val="24"/>
          <w:szCs w:val="24"/>
        </w:rPr>
        <w:t>、</w:t>
      </w:r>
      <w:r w:rsidR="00734146" w:rsidRPr="00734146">
        <w:rPr>
          <w:rFonts w:ascii="Times New Roman" w:eastAsia="楷体" w:hAnsi="Times New Roman"/>
          <w:sz w:val="24"/>
          <w:szCs w:val="24"/>
        </w:rPr>
        <w:t>上海证券交易所上证路演中心（网址：</w:t>
      </w:r>
      <w:r w:rsidR="00734146" w:rsidRPr="00734146">
        <w:rPr>
          <w:rFonts w:ascii="Times New Roman" w:eastAsia="楷体" w:hAnsi="Times New Roman"/>
          <w:sz w:val="24"/>
          <w:szCs w:val="24"/>
        </w:rPr>
        <w:t>http://roadshow.sseinfo.com/</w:t>
      </w:r>
      <w:r w:rsidR="00734146" w:rsidRPr="00734146">
        <w:rPr>
          <w:rFonts w:ascii="Times New Roman" w:eastAsia="楷体" w:hAnsi="Times New Roman"/>
          <w:sz w:val="24"/>
          <w:szCs w:val="24"/>
        </w:rPr>
        <w:t>）</w:t>
      </w:r>
    </w:p>
    <w:p w14:paraId="7CF55D00" w14:textId="77777777" w:rsidR="00CF7F64" w:rsidRPr="00530441" w:rsidRDefault="00CE7A04" w:rsidP="00D32ABB">
      <w:pPr>
        <w:pStyle w:val="a8"/>
        <w:numPr>
          <w:ilvl w:val="0"/>
          <w:numId w:val="2"/>
        </w:numPr>
        <w:snapToGrid w:val="0"/>
        <w:spacing w:before="100" w:beforeAutospacing="1"/>
        <w:ind w:firstLineChars="0"/>
        <w:rPr>
          <w:rFonts w:ascii="Times New Roman" w:eastAsia="楷体" w:hAnsi="Times New Roman"/>
          <w:sz w:val="24"/>
          <w:szCs w:val="24"/>
        </w:rPr>
      </w:pPr>
      <w:r w:rsidRPr="00530441">
        <w:rPr>
          <w:rFonts w:ascii="Times New Roman" w:eastAsia="楷体" w:hAnsi="Times New Roman"/>
          <w:sz w:val="24"/>
          <w:szCs w:val="24"/>
        </w:rPr>
        <w:t>主要</w:t>
      </w:r>
      <w:r w:rsidR="00226B25" w:rsidRPr="00530441">
        <w:rPr>
          <w:rFonts w:ascii="Times New Roman" w:eastAsia="楷体" w:hAnsi="Times New Roman"/>
          <w:sz w:val="24"/>
          <w:szCs w:val="24"/>
        </w:rPr>
        <w:t>内容</w:t>
      </w:r>
    </w:p>
    <w:p w14:paraId="4EC9A9B0" w14:textId="10AF341F" w:rsidR="00A044E5" w:rsidRDefault="00A04B74" w:rsidP="009F6893">
      <w:pPr>
        <w:pStyle w:val="a8"/>
        <w:ind w:left="480" w:firstLineChars="0" w:firstLine="0"/>
        <w:rPr>
          <w:rFonts w:ascii="Times New Roman" w:eastAsia="楷体" w:hAnsi="Times New Roman"/>
          <w:sz w:val="24"/>
          <w:szCs w:val="24"/>
        </w:rPr>
      </w:pPr>
      <w:r w:rsidRPr="00A04B74">
        <w:rPr>
          <w:rFonts w:ascii="Times New Roman" w:eastAsia="楷体" w:hAnsi="Times New Roman"/>
          <w:sz w:val="24"/>
          <w:szCs w:val="24"/>
        </w:rPr>
        <w:t>本次投资者关注的核心聚焦于公司经营韧性、产能布局及财务策略。关于莱茵河水位波动，公司研判其对维生素</w:t>
      </w:r>
      <w:r w:rsidRPr="00A04B74">
        <w:rPr>
          <w:rFonts w:ascii="Times New Roman" w:eastAsia="楷体" w:hAnsi="Times New Roman"/>
          <w:sz w:val="24"/>
          <w:szCs w:val="24"/>
        </w:rPr>
        <w:t>A</w:t>
      </w:r>
      <w:r w:rsidRPr="00A04B74">
        <w:rPr>
          <w:rFonts w:ascii="Times New Roman" w:eastAsia="楷体" w:hAnsi="Times New Roman"/>
          <w:sz w:val="24"/>
          <w:szCs w:val="24"/>
        </w:rPr>
        <w:t>供需格局影响有限，尚不足以驱动价格趋势性反转。核心竞争力方面，泉州固体蛋氨酸项目依托集团产业协同与技术工艺优势，将显著提升成本竞争力；蛋氨酸业务坚定</w:t>
      </w:r>
      <w:r w:rsidRPr="00A04B74">
        <w:rPr>
          <w:rFonts w:ascii="Times New Roman" w:eastAsia="楷体" w:hAnsi="Times New Roman"/>
          <w:sz w:val="24"/>
          <w:szCs w:val="24"/>
        </w:rPr>
        <w:t>“</w:t>
      </w:r>
      <w:r w:rsidRPr="00A04B74">
        <w:rPr>
          <w:rFonts w:ascii="Times New Roman" w:eastAsia="楷体" w:hAnsi="Times New Roman"/>
          <w:sz w:val="24"/>
          <w:szCs w:val="24"/>
        </w:rPr>
        <w:t>全球化运营壁垒</w:t>
      </w:r>
      <w:r w:rsidRPr="00A04B74">
        <w:rPr>
          <w:rFonts w:ascii="Times New Roman" w:eastAsia="楷体" w:hAnsi="Times New Roman"/>
          <w:sz w:val="24"/>
          <w:szCs w:val="24"/>
        </w:rPr>
        <w:t>+</w:t>
      </w:r>
      <w:r w:rsidRPr="00A04B74">
        <w:rPr>
          <w:rFonts w:ascii="Times New Roman" w:eastAsia="楷体" w:hAnsi="Times New Roman"/>
          <w:sz w:val="24"/>
          <w:szCs w:val="24"/>
        </w:rPr>
        <w:t>成本领先</w:t>
      </w:r>
      <w:r w:rsidRPr="00A04B74">
        <w:rPr>
          <w:rFonts w:ascii="Times New Roman" w:eastAsia="楷体" w:hAnsi="Times New Roman"/>
          <w:sz w:val="24"/>
          <w:szCs w:val="24"/>
        </w:rPr>
        <w:t>”</w:t>
      </w:r>
      <w:r w:rsidRPr="00A04B74">
        <w:rPr>
          <w:rFonts w:ascii="Times New Roman" w:eastAsia="楷体" w:hAnsi="Times New Roman"/>
          <w:sz w:val="24"/>
          <w:szCs w:val="24"/>
        </w:rPr>
        <w:t>战略，短期价格虽受季节性因素波动，但对四季度持审慎乐观态度。财务端，公司坚持</w:t>
      </w:r>
      <w:r w:rsidRPr="00A04B74">
        <w:rPr>
          <w:rFonts w:ascii="Times New Roman" w:eastAsia="楷体" w:hAnsi="Times New Roman"/>
          <w:sz w:val="24"/>
          <w:szCs w:val="24"/>
        </w:rPr>
        <w:t>“</w:t>
      </w:r>
      <w:r w:rsidRPr="00A04B74">
        <w:rPr>
          <w:rFonts w:ascii="Times New Roman" w:eastAsia="楷体" w:hAnsi="Times New Roman"/>
          <w:sz w:val="24"/>
          <w:szCs w:val="24"/>
        </w:rPr>
        <w:t>资金安全与成本最优</w:t>
      </w:r>
      <w:r w:rsidRPr="00A04B74">
        <w:rPr>
          <w:rFonts w:ascii="Times New Roman" w:eastAsia="楷体" w:hAnsi="Times New Roman"/>
          <w:sz w:val="24"/>
          <w:szCs w:val="24"/>
        </w:rPr>
        <w:t>”</w:t>
      </w:r>
      <w:r w:rsidRPr="00A04B74">
        <w:rPr>
          <w:rFonts w:ascii="Times New Roman" w:eastAsia="楷体" w:hAnsi="Times New Roman"/>
          <w:sz w:val="24"/>
          <w:szCs w:val="24"/>
        </w:rPr>
        <w:t>的平衡策略，在资金充裕背景下引入低成本债务，确保募投项目高效推进。此外，特种品业务凭借海外市场高景气度及南京</w:t>
      </w:r>
      <w:r w:rsidR="000A4B52">
        <w:rPr>
          <w:rFonts w:ascii="Times New Roman" w:eastAsia="楷体" w:hAnsi="Times New Roman" w:hint="eastAsia"/>
          <w:sz w:val="24"/>
          <w:szCs w:val="24"/>
        </w:rPr>
        <w:t>特种品</w:t>
      </w:r>
      <w:r w:rsidRPr="00A04B74">
        <w:rPr>
          <w:rFonts w:ascii="Times New Roman" w:eastAsia="楷体" w:hAnsi="Times New Roman"/>
          <w:sz w:val="24"/>
          <w:szCs w:val="24"/>
        </w:rPr>
        <w:t>工厂产能释放，增长动能强劲。公司将通过技术创新与绿色转型，持续推动高质量发展。</w:t>
      </w:r>
      <w:r w:rsidR="000F3956">
        <w:rPr>
          <w:rFonts w:ascii="Times New Roman" w:eastAsia="楷体" w:hAnsi="Times New Roman" w:hint="eastAsia"/>
          <w:sz w:val="24"/>
          <w:szCs w:val="24"/>
        </w:rPr>
        <w:t>具体</w:t>
      </w:r>
      <w:r w:rsidR="000130C0" w:rsidRPr="00530441">
        <w:rPr>
          <w:rFonts w:ascii="Times New Roman" w:eastAsia="楷体" w:hAnsi="Times New Roman"/>
          <w:sz w:val="24"/>
          <w:szCs w:val="24"/>
        </w:rPr>
        <w:t>如下：</w:t>
      </w:r>
    </w:p>
    <w:p w14:paraId="3D6AF029" w14:textId="77777777" w:rsidR="009F6893" w:rsidRPr="00530441" w:rsidRDefault="009F6893" w:rsidP="009F6893">
      <w:pPr>
        <w:pStyle w:val="a8"/>
        <w:ind w:left="480" w:firstLineChars="0" w:firstLine="0"/>
        <w:rPr>
          <w:rFonts w:ascii="Times New Roman" w:eastAsia="楷体" w:hAnsi="Times New Roman"/>
          <w:sz w:val="24"/>
          <w:szCs w:val="24"/>
        </w:rPr>
      </w:pPr>
    </w:p>
    <w:p w14:paraId="50ABE67A" w14:textId="66E855F4" w:rsidR="00F1113F" w:rsidRPr="003002A2" w:rsidRDefault="00B9422B"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莱茵河水位变化对维生素</w:t>
      </w:r>
      <w:r w:rsidRPr="003002A2">
        <w:rPr>
          <w:rFonts w:ascii="Times New Roman" w:eastAsia="楷体" w:hAnsi="Times New Roman"/>
          <w:sz w:val="24"/>
          <w:szCs w:val="24"/>
        </w:rPr>
        <w:t>A</w:t>
      </w:r>
      <w:r w:rsidRPr="003002A2">
        <w:rPr>
          <w:rFonts w:ascii="Times New Roman" w:eastAsia="楷体" w:hAnsi="Times New Roman"/>
          <w:sz w:val="24"/>
          <w:szCs w:val="24"/>
        </w:rPr>
        <w:t>价格的</w:t>
      </w:r>
      <w:proofErr w:type="gramStart"/>
      <w:r w:rsidRPr="003002A2">
        <w:rPr>
          <w:rFonts w:ascii="Times New Roman" w:eastAsia="楷体" w:hAnsi="Times New Roman"/>
          <w:sz w:val="24"/>
          <w:szCs w:val="24"/>
        </w:rPr>
        <w:t>影响</w:t>
      </w:r>
      <w:r w:rsidRPr="003002A2">
        <w:rPr>
          <w:rFonts w:ascii="Times New Roman" w:eastAsia="楷体" w:hAnsi="Times New Roman" w:hint="eastAsia"/>
          <w:sz w:val="24"/>
          <w:szCs w:val="24"/>
        </w:rPr>
        <w:t>?</w:t>
      </w:r>
      <w:proofErr w:type="gramEnd"/>
    </w:p>
    <w:p w14:paraId="3F928C7A" w14:textId="45F2285F" w:rsidR="00B9422B" w:rsidRPr="003E1B30" w:rsidRDefault="00B9422B" w:rsidP="003E1B30">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B9422B">
        <w:rPr>
          <w:rFonts w:ascii="Times New Roman" w:eastAsia="楷体" w:hAnsi="Times New Roman"/>
          <w:color w:val="5B9BD5" w:themeColor="accent1"/>
          <w:sz w:val="24"/>
          <w:szCs w:val="24"/>
        </w:rPr>
        <w:t>尽管受水位影响，结合当前的市场研判，</w:t>
      </w:r>
      <w:r w:rsidR="0036284A">
        <w:rPr>
          <w:rFonts w:ascii="Times New Roman" w:eastAsia="楷体" w:hAnsi="Times New Roman" w:hint="eastAsia"/>
          <w:color w:val="5B9BD5" w:themeColor="accent1"/>
          <w:sz w:val="24"/>
          <w:szCs w:val="24"/>
        </w:rPr>
        <w:t>公司</w:t>
      </w:r>
      <w:r w:rsidRPr="00B9422B">
        <w:rPr>
          <w:rFonts w:ascii="Times New Roman" w:eastAsia="楷体" w:hAnsi="Times New Roman"/>
          <w:color w:val="5B9BD5" w:themeColor="accent1"/>
          <w:sz w:val="24"/>
          <w:szCs w:val="24"/>
        </w:rPr>
        <w:t>认为该因素对</w:t>
      </w:r>
      <w:r w:rsidR="0036284A">
        <w:rPr>
          <w:rFonts w:ascii="Times New Roman" w:eastAsia="楷体" w:hAnsi="Times New Roman" w:hint="eastAsia"/>
          <w:color w:val="5B9BD5" w:themeColor="accent1"/>
          <w:sz w:val="24"/>
          <w:szCs w:val="24"/>
        </w:rPr>
        <w:t>维生素</w:t>
      </w:r>
      <w:r w:rsidR="0036284A">
        <w:rPr>
          <w:rFonts w:ascii="Times New Roman" w:eastAsia="楷体" w:hAnsi="Times New Roman" w:hint="eastAsia"/>
          <w:color w:val="5B9BD5" w:themeColor="accent1"/>
          <w:sz w:val="24"/>
          <w:szCs w:val="24"/>
        </w:rPr>
        <w:t>A</w:t>
      </w:r>
      <w:r w:rsidR="0036284A">
        <w:rPr>
          <w:rFonts w:ascii="Times New Roman" w:eastAsia="楷体" w:hAnsi="Times New Roman" w:hint="eastAsia"/>
          <w:color w:val="5B9BD5" w:themeColor="accent1"/>
          <w:sz w:val="24"/>
          <w:szCs w:val="24"/>
        </w:rPr>
        <w:t>产品市场整体</w:t>
      </w:r>
      <w:r w:rsidRPr="00B9422B">
        <w:rPr>
          <w:rFonts w:ascii="Times New Roman" w:eastAsia="楷体" w:hAnsi="Times New Roman"/>
          <w:color w:val="5B9BD5" w:themeColor="accent1"/>
          <w:sz w:val="24"/>
          <w:szCs w:val="24"/>
        </w:rPr>
        <w:t>供应</w:t>
      </w:r>
      <w:r w:rsidR="0036284A">
        <w:rPr>
          <w:rFonts w:ascii="Times New Roman" w:eastAsia="楷体" w:hAnsi="Times New Roman" w:hint="eastAsia"/>
          <w:color w:val="5B9BD5" w:themeColor="accent1"/>
          <w:sz w:val="24"/>
          <w:szCs w:val="24"/>
        </w:rPr>
        <w:t>情况</w:t>
      </w:r>
      <w:r w:rsidR="007E2EF9">
        <w:rPr>
          <w:rFonts w:ascii="Times New Roman" w:eastAsia="楷体" w:hAnsi="Times New Roman" w:hint="eastAsia"/>
          <w:color w:val="5B9BD5" w:themeColor="accent1"/>
          <w:sz w:val="24"/>
          <w:szCs w:val="24"/>
        </w:rPr>
        <w:t>影响</w:t>
      </w:r>
      <w:r w:rsidRPr="00B9422B">
        <w:rPr>
          <w:rFonts w:ascii="Times New Roman" w:eastAsia="楷体" w:hAnsi="Times New Roman"/>
          <w:color w:val="5B9BD5" w:themeColor="accent1"/>
          <w:sz w:val="24"/>
          <w:szCs w:val="24"/>
        </w:rPr>
        <w:t>有限。全球维生素</w:t>
      </w:r>
      <w:r w:rsidRPr="00B9422B">
        <w:rPr>
          <w:rFonts w:ascii="Times New Roman" w:eastAsia="楷体" w:hAnsi="Times New Roman"/>
          <w:color w:val="5B9BD5" w:themeColor="accent1"/>
          <w:sz w:val="24"/>
          <w:szCs w:val="24"/>
        </w:rPr>
        <w:t>A</w:t>
      </w:r>
      <w:r w:rsidRPr="00B9422B">
        <w:rPr>
          <w:rFonts w:ascii="Times New Roman" w:eastAsia="楷体" w:hAnsi="Times New Roman"/>
          <w:color w:val="5B9BD5" w:themeColor="accent1"/>
          <w:sz w:val="24"/>
          <w:szCs w:val="24"/>
        </w:rPr>
        <w:t>的供需格局并未发生根本性逆转。因此，从现有情况来看，</w:t>
      </w:r>
      <w:r w:rsidR="00C82042">
        <w:rPr>
          <w:rFonts w:ascii="Times New Roman" w:eastAsia="楷体" w:hAnsi="Times New Roman" w:hint="eastAsia"/>
          <w:color w:val="5B9BD5" w:themeColor="accent1"/>
          <w:sz w:val="24"/>
          <w:szCs w:val="24"/>
        </w:rPr>
        <w:t>该因素</w:t>
      </w:r>
      <w:r w:rsidRPr="00B9422B">
        <w:rPr>
          <w:rFonts w:ascii="Times New Roman" w:eastAsia="楷体" w:hAnsi="Times New Roman"/>
          <w:color w:val="5B9BD5" w:themeColor="accent1"/>
          <w:sz w:val="24"/>
          <w:szCs w:val="24"/>
        </w:rPr>
        <w:t>尚不具备支撑价格发生趋势性反转的核心驱动因素。</w:t>
      </w:r>
    </w:p>
    <w:p w14:paraId="246FB5D8" w14:textId="77777777" w:rsidR="00B9422B" w:rsidRDefault="00B9422B" w:rsidP="00B9422B">
      <w:pPr>
        <w:pStyle w:val="a8"/>
        <w:ind w:left="434" w:firstLineChars="0" w:firstLine="0"/>
        <w:rPr>
          <w:rFonts w:ascii="Times New Roman" w:eastAsia="楷体" w:hAnsi="Times New Roman"/>
          <w:sz w:val="24"/>
          <w:szCs w:val="24"/>
        </w:rPr>
      </w:pPr>
    </w:p>
    <w:p w14:paraId="72EA76F1" w14:textId="7D77F1C4" w:rsidR="003E1B30" w:rsidRPr="003002A2" w:rsidRDefault="003E1B30"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泉州</w:t>
      </w:r>
      <w:r w:rsidRPr="003002A2">
        <w:rPr>
          <w:rFonts w:ascii="Times New Roman" w:eastAsia="楷体" w:hAnsi="Times New Roman" w:hint="eastAsia"/>
          <w:sz w:val="24"/>
          <w:szCs w:val="24"/>
        </w:rPr>
        <w:t>固体蛋氨酸</w:t>
      </w:r>
      <w:r w:rsidRPr="003002A2">
        <w:rPr>
          <w:rFonts w:ascii="Times New Roman" w:eastAsia="楷体" w:hAnsi="Times New Roman"/>
          <w:sz w:val="24"/>
          <w:szCs w:val="24"/>
        </w:rPr>
        <w:t>项目的成本竞争力</w:t>
      </w:r>
      <w:r w:rsidRPr="003002A2">
        <w:rPr>
          <w:rFonts w:ascii="Times New Roman" w:eastAsia="楷体" w:hAnsi="Times New Roman" w:hint="eastAsia"/>
          <w:sz w:val="24"/>
          <w:szCs w:val="24"/>
        </w:rPr>
        <w:t>？</w:t>
      </w:r>
    </w:p>
    <w:p w14:paraId="474A9B70" w14:textId="5786A5FD" w:rsidR="003E1B30" w:rsidRPr="00D41F0F" w:rsidRDefault="00C02165" w:rsidP="00D41F0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D41F0F">
        <w:rPr>
          <w:rFonts w:ascii="Times New Roman" w:eastAsia="楷体" w:hAnsi="Times New Roman" w:hint="eastAsia"/>
          <w:color w:val="5B9BD5" w:themeColor="accent1"/>
          <w:sz w:val="24"/>
          <w:szCs w:val="24"/>
        </w:rPr>
        <w:t>安迪苏固体蛋氨酸项目</w:t>
      </w:r>
      <w:r w:rsidR="003E1B30" w:rsidRPr="00D41F0F">
        <w:rPr>
          <w:rFonts w:ascii="Times New Roman" w:eastAsia="楷体" w:hAnsi="Times New Roman" w:hint="eastAsia"/>
          <w:color w:val="5B9BD5" w:themeColor="accent1"/>
          <w:sz w:val="24"/>
          <w:szCs w:val="24"/>
        </w:rPr>
        <w:t>的成本竞争力</w:t>
      </w:r>
      <w:r w:rsidR="00BD5598" w:rsidRPr="00D41F0F">
        <w:rPr>
          <w:rFonts w:ascii="Times New Roman" w:eastAsia="楷体" w:hAnsi="Times New Roman"/>
          <w:color w:val="5B9BD5" w:themeColor="accent1"/>
          <w:sz w:val="24"/>
          <w:szCs w:val="24"/>
        </w:rPr>
        <w:t>，主要建立在资源协同与技术领先</w:t>
      </w:r>
      <w:r w:rsidR="00BD5598" w:rsidRPr="00D41F0F">
        <w:rPr>
          <w:rFonts w:ascii="Times New Roman" w:eastAsia="楷体" w:hAnsi="Times New Roman"/>
          <w:color w:val="5B9BD5" w:themeColor="accent1"/>
          <w:sz w:val="24"/>
          <w:szCs w:val="24"/>
        </w:rPr>
        <w:lastRenderedPageBreak/>
        <w:t>的双重优势之上</w:t>
      </w:r>
      <w:r w:rsidR="003E1B30" w:rsidRPr="00D41F0F">
        <w:rPr>
          <w:rFonts w:ascii="Times New Roman" w:eastAsia="楷体" w:hAnsi="Times New Roman" w:hint="eastAsia"/>
          <w:color w:val="5B9BD5" w:themeColor="accent1"/>
          <w:sz w:val="24"/>
          <w:szCs w:val="24"/>
        </w:rPr>
        <w:t>：</w:t>
      </w:r>
    </w:p>
    <w:p w14:paraId="0E977259" w14:textId="59D99DF0" w:rsidR="003E1B30" w:rsidRPr="00D41F0F" w:rsidRDefault="003E1B30" w:rsidP="00D41F0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D41F0F">
        <w:rPr>
          <w:rFonts w:ascii="Times New Roman" w:eastAsia="楷体" w:hAnsi="Times New Roman" w:hint="eastAsia"/>
          <w:color w:val="5B9BD5" w:themeColor="accent1"/>
          <w:sz w:val="24"/>
          <w:szCs w:val="24"/>
        </w:rPr>
        <w:t>一是</w:t>
      </w:r>
      <w:r w:rsidR="003075A2" w:rsidRPr="003075A2">
        <w:rPr>
          <w:rFonts w:ascii="Times New Roman" w:eastAsia="楷体" w:hAnsi="Times New Roman"/>
          <w:color w:val="5B9BD5" w:themeColor="accent1"/>
          <w:sz w:val="24"/>
          <w:szCs w:val="24"/>
        </w:rPr>
        <w:t>深化产业链协同，锁定</w:t>
      </w:r>
      <w:r w:rsidR="00240BA1">
        <w:rPr>
          <w:rFonts w:ascii="Times New Roman" w:eastAsia="楷体" w:hAnsi="Times New Roman" w:hint="eastAsia"/>
          <w:color w:val="5B9BD5" w:themeColor="accent1"/>
          <w:sz w:val="24"/>
          <w:szCs w:val="24"/>
        </w:rPr>
        <w:t>原材料供应</w:t>
      </w:r>
      <w:r w:rsidR="003075A2" w:rsidRPr="003075A2">
        <w:rPr>
          <w:rFonts w:ascii="Times New Roman" w:eastAsia="楷体" w:hAnsi="Times New Roman"/>
          <w:color w:val="5B9BD5" w:themeColor="accent1"/>
          <w:sz w:val="24"/>
          <w:szCs w:val="24"/>
        </w:rPr>
        <w:t>优势</w:t>
      </w:r>
      <w:r w:rsidRPr="00D41F0F">
        <w:rPr>
          <w:rFonts w:ascii="Times New Roman" w:eastAsia="楷体" w:hAnsi="Times New Roman" w:hint="eastAsia"/>
          <w:color w:val="5B9BD5" w:themeColor="accent1"/>
          <w:sz w:val="24"/>
          <w:szCs w:val="24"/>
        </w:rPr>
        <w:t>。</w:t>
      </w:r>
      <w:r w:rsidRPr="00D41F0F">
        <w:rPr>
          <w:rFonts w:ascii="Times New Roman" w:eastAsia="楷体" w:hAnsi="Times New Roman" w:hint="eastAsia"/>
          <w:color w:val="5B9BD5" w:themeColor="accent1"/>
          <w:sz w:val="24"/>
          <w:szCs w:val="24"/>
        </w:rPr>
        <w:t xml:space="preserve"> </w:t>
      </w:r>
      <w:r w:rsidR="000C4A3A" w:rsidRPr="00D41F0F">
        <w:rPr>
          <w:rFonts w:ascii="Times New Roman" w:eastAsia="楷体" w:hAnsi="Times New Roman" w:hint="eastAsia"/>
          <w:color w:val="5B9BD5" w:themeColor="accent1"/>
          <w:sz w:val="24"/>
          <w:szCs w:val="24"/>
        </w:rPr>
        <w:t>泉州工厂选址毗邻中化泉州石化有限公司</w:t>
      </w:r>
      <w:r w:rsidRPr="00D41F0F">
        <w:rPr>
          <w:rFonts w:ascii="Times New Roman" w:eastAsia="楷体" w:hAnsi="Times New Roman" w:hint="eastAsia"/>
          <w:color w:val="5B9BD5" w:themeColor="accent1"/>
          <w:sz w:val="24"/>
          <w:szCs w:val="24"/>
        </w:rPr>
        <w:t>，</w:t>
      </w:r>
      <w:r w:rsidR="00D77877">
        <w:rPr>
          <w:rFonts w:ascii="Times New Roman" w:eastAsia="楷体" w:hAnsi="Times New Roman" w:hint="eastAsia"/>
          <w:color w:val="5B9BD5" w:themeColor="accent1"/>
          <w:sz w:val="24"/>
          <w:szCs w:val="24"/>
        </w:rPr>
        <w:t>充分</w:t>
      </w:r>
      <w:r w:rsidR="0026221D" w:rsidRPr="00D41F0F">
        <w:rPr>
          <w:rFonts w:ascii="Times New Roman" w:eastAsia="楷体" w:hAnsi="Times New Roman" w:hint="eastAsia"/>
          <w:color w:val="5B9BD5" w:themeColor="accent1"/>
          <w:sz w:val="24"/>
          <w:szCs w:val="24"/>
        </w:rPr>
        <w:t>发挥</w:t>
      </w:r>
      <w:r w:rsidR="00812833" w:rsidRPr="00812833">
        <w:rPr>
          <w:rFonts w:ascii="Times New Roman" w:eastAsia="楷体" w:hAnsi="Times New Roman"/>
          <w:color w:val="5B9BD5" w:themeColor="accent1"/>
          <w:sz w:val="24"/>
          <w:szCs w:val="24"/>
        </w:rPr>
        <w:t>集团内部的产业协同效应</w:t>
      </w:r>
      <w:r w:rsidR="0026221D" w:rsidRPr="00D41F0F">
        <w:rPr>
          <w:rFonts w:ascii="Times New Roman" w:eastAsia="楷体" w:hAnsi="Times New Roman" w:hint="eastAsia"/>
          <w:color w:val="5B9BD5" w:themeColor="accent1"/>
          <w:sz w:val="24"/>
          <w:szCs w:val="24"/>
        </w:rPr>
        <w:t>，</w:t>
      </w:r>
      <w:r w:rsidR="00812833" w:rsidRPr="00812833">
        <w:rPr>
          <w:rFonts w:ascii="Times New Roman" w:eastAsia="楷体" w:hAnsi="Times New Roman"/>
          <w:color w:val="5B9BD5" w:themeColor="accent1"/>
          <w:sz w:val="24"/>
          <w:szCs w:val="24"/>
        </w:rPr>
        <w:t>实现了</w:t>
      </w:r>
      <w:r w:rsidR="00FB5EF7">
        <w:rPr>
          <w:rFonts w:ascii="Times New Roman" w:eastAsia="楷体" w:hAnsi="Times New Roman" w:hint="eastAsia"/>
          <w:color w:val="5B9BD5" w:themeColor="accent1"/>
          <w:sz w:val="24"/>
          <w:szCs w:val="24"/>
        </w:rPr>
        <w:t>园区</w:t>
      </w:r>
      <w:r w:rsidR="00812833" w:rsidRPr="00812833">
        <w:rPr>
          <w:rFonts w:ascii="Times New Roman" w:eastAsia="楷体" w:hAnsi="Times New Roman"/>
          <w:color w:val="5B9BD5" w:themeColor="accent1"/>
          <w:sz w:val="24"/>
          <w:szCs w:val="24"/>
        </w:rPr>
        <w:t>原材料</w:t>
      </w:r>
      <w:r w:rsidR="00FB5EF7">
        <w:rPr>
          <w:rFonts w:ascii="Times New Roman" w:eastAsia="楷体" w:hAnsi="Times New Roman" w:hint="eastAsia"/>
          <w:color w:val="5B9BD5" w:themeColor="accent1"/>
          <w:sz w:val="24"/>
          <w:szCs w:val="24"/>
        </w:rPr>
        <w:t>、</w:t>
      </w:r>
      <w:r w:rsidR="00812833" w:rsidRPr="00812833">
        <w:rPr>
          <w:rFonts w:ascii="Times New Roman" w:eastAsia="楷体" w:hAnsi="Times New Roman"/>
          <w:color w:val="5B9BD5" w:themeColor="accent1"/>
          <w:sz w:val="24"/>
          <w:szCs w:val="24"/>
        </w:rPr>
        <w:t>能源</w:t>
      </w:r>
      <w:r w:rsidR="00FB5EF7">
        <w:rPr>
          <w:rFonts w:ascii="Times New Roman" w:eastAsia="楷体" w:hAnsi="Times New Roman" w:hint="eastAsia"/>
          <w:color w:val="5B9BD5" w:themeColor="accent1"/>
          <w:sz w:val="24"/>
          <w:szCs w:val="24"/>
        </w:rPr>
        <w:t>低成本、稳定</w:t>
      </w:r>
      <w:r w:rsidR="00812833" w:rsidRPr="00812833">
        <w:rPr>
          <w:rFonts w:ascii="Times New Roman" w:eastAsia="楷体" w:hAnsi="Times New Roman"/>
          <w:color w:val="5B9BD5" w:themeColor="accent1"/>
          <w:sz w:val="24"/>
          <w:szCs w:val="24"/>
        </w:rPr>
        <w:t>供应</w:t>
      </w:r>
      <w:r w:rsidRPr="00D41F0F">
        <w:rPr>
          <w:rFonts w:ascii="Times New Roman" w:eastAsia="楷体" w:hAnsi="Times New Roman" w:hint="eastAsia"/>
          <w:color w:val="5B9BD5" w:themeColor="accent1"/>
          <w:sz w:val="24"/>
          <w:szCs w:val="24"/>
        </w:rPr>
        <w:t>。正如</w:t>
      </w:r>
      <w:r w:rsidR="00D35FDB" w:rsidRPr="00D41F0F">
        <w:rPr>
          <w:rFonts w:ascii="Times New Roman" w:eastAsia="楷体" w:hAnsi="Times New Roman" w:hint="eastAsia"/>
          <w:color w:val="5B9BD5" w:themeColor="accent1"/>
          <w:sz w:val="24"/>
          <w:szCs w:val="24"/>
        </w:rPr>
        <w:t>公司近期</w:t>
      </w:r>
      <w:r w:rsidRPr="00D41F0F">
        <w:rPr>
          <w:rFonts w:ascii="Times New Roman" w:eastAsia="楷体" w:hAnsi="Times New Roman" w:hint="eastAsia"/>
          <w:color w:val="5B9BD5" w:themeColor="accent1"/>
          <w:sz w:val="24"/>
          <w:szCs w:val="24"/>
        </w:rPr>
        <w:t>披露的股东会材料所示，关键原材料采购框架合同</w:t>
      </w:r>
      <w:r w:rsidR="00565F14">
        <w:rPr>
          <w:rFonts w:ascii="Times New Roman" w:eastAsia="楷体" w:hAnsi="Times New Roman" w:hint="eastAsia"/>
          <w:color w:val="5B9BD5" w:themeColor="accent1"/>
          <w:sz w:val="24"/>
          <w:szCs w:val="24"/>
        </w:rPr>
        <w:t>的签署</w:t>
      </w:r>
      <w:r w:rsidRPr="00D41F0F">
        <w:rPr>
          <w:rFonts w:ascii="Times New Roman" w:eastAsia="楷体" w:hAnsi="Times New Roman" w:hint="eastAsia"/>
          <w:color w:val="5B9BD5" w:themeColor="accent1"/>
          <w:sz w:val="24"/>
          <w:szCs w:val="24"/>
        </w:rPr>
        <w:t>，不仅保障了</w:t>
      </w:r>
      <w:r w:rsidR="00565F14">
        <w:rPr>
          <w:rFonts w:ascii="Times New Roman" w:eastAsia="楷体" w:hAnsi="Times New Roman" w:hint="eastAsia"/>
          <w:color w:val="5B9BD5" w:themeColor="accent1"/>
          <w:sz w:val="24"/>
          <w:szCs w:val="24"/>
        </w:rPr>
        <w:t>原材料</w:t>
      </w:r>
      <w:r w:rsidRPr="00D41F0F">
        <w:rPr>
          <w:rFonts w:ascii="Times New Roman" w:eastAsia="楷体" w:hAnsi="Times New Roman" w:hint="eastAsia"/>
          <w:color w:val="5B9BD5" w:themeColor="accent1"/>
          <w:sz w:val="24"/>
          <w:szCs w:val="24"/>
        </w:rPr>
        <w:t>供应</w:t>
      </w:r>
      <w:r w:rsidR="00565F14">
        <w:rPr>
          <w:rFonts w:ascii="Times New Roman" w:eastAsia="楷体" w:hAnsi="Times New Roman" w:hint="eastAsia"/>
          <w:color w:val="5B9BD5" w:themeColor="accent1"/>
          <w:sz w:val="24"/>
          <w:szCs w:val="24"/>
        </w:rPr>
        <w:t>的</w:t>
      </w:r>
      <w:r w:rsidRPr="00D41F0F">
        <w:rPr>
          <w:rFonts w:ascii="Times New Roman" w:eastAsia="楷体" w:hAnsi="Times New Roman" w:hint="eastAsia"/>
          <w:color w:val="5B9BD5" w:themeColor="accent1"/>
          <w:sz w:val="24"/>
          <w:szCs w:val="24"/>
        </w:rPr>
        <w:t>稳定性，更在源头端确立了成本</w:t>
      </w:r>
      <w:r w:rsidR="00DC190E">
        <w:rPr>
          <w:rFonts w:ascii="Times New Roman" w:eastAsia="楷体" w:hAnsi="Times New Roman" w:hint="eastAsia"/>
          <w:color w:val="5B9BD5" w:themeColor="accent1"/>
          <w:sz w:val="24"/>
          <w:szCs w:val="24"/>
        </w:rPr>
        <w:t>控制</w:t>
      </w:r>
      <w:r w:rsidRPr="00D41F0F">
        <w:rPr>
          <w:rFonts w:ascii="Times New Roman" w:eastAsia="楷体" w:hAnsi="Times New Roman" w:hint="eastAsia"/>
          <w:color w:val="5B9BD5" w:themeColor="accent1"/>
          <w:sz w:val="24"/>
          <w:szCs w:val="24"/>
        </w:rPr>
        <w:t>优势。</w:t>
      </w:r>
    </w:p>
    <w:p w14:paraId="040E27E6" w14:textId="171410B1" w:rsidR="006D49DD" w:rsidRPr="00D41F0F" w:rsidRDefault="003E1B30" w:rsidP="00D41F0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D41F0F">
        <w:rPr>
          <w:rFonts w:ascii="Times New Roman" w:eastAsia="楷体" w:hAnsi="Times New Roman" w:hint="eastAsia"/>
          <w:color w:val="5B9BD5" w:themeColor="accent1"/>
          <w:sz w:val="24"/>
          <w:szCs w:val="24"/>
        </w:rPr>
        <w:t>二是领先的技术</w:t>
      </w:r>
      <w:r w:rsidR="00EE55F3">
        <w:rPr>
          <w:rFonts w:ascii="Times New Roman" w:eastAsia="楷体" w:hAnsi="Times New Roman" w:hint="eastAsia"/>
          <w:color w:val="5B9BD5" w:themeColor="accent1"/>
          <w:sz w:val="24"/>
          <w:szCs w:val="24"/>
        </w:rPr>
        <w:t>工艺</w:t>
      </w:r>
      <w:r w:rsidRPr="00D41F0F">
        <w:rPr>
          <w:rFonts w:ascii="Times New Roman" w:eastAsia="楷体" w:hAnsi="Times New Roman" w:hint="eastAsia"/>
          <w:color w:val="5B9BD5" w:themeColor="accent1"/>
          <w:sz w:val="24"/>
          <w:szCs w:val="24"/>
        </w:rPr>
        <w:t>与一体化布局。</w:t>
      </w:r>
      <w:r w:rsidRPr="00D41F0F">
        <w:rPr>
          <w:rFonts w:ascii="Times New Roman" w:eastAsia="楷体" w:hAnsi="Times New Roman" w:hint="eastAsia"/>
          <w:color w:val="5B9BD5" w:themeColor="accent1"/>
          <w:sz w:val="24"/>
          <w:szCs w:val="24"/>
        </w:rPr>
        <w:t xml:space="preserve"> </w:t>
      </w:r>
      <w:r w:rsidRPr="00D41F0F">
        <w:rPr>
          <w:rFonts w:ascii="Times New Roman" w:eastAsia="楷体" w:hAnsi="Times New Roman" w:hint="eastAsia"/>
          <w:color w:val="5B9BD5" w:themeColor="accent1"/>
          <w:sz w:val="24"/>
          <w:szCs w:val="24"/>
        </w:rPr>
        <w:t>泉州工厂</w:t>
      </w:r>
      <w:r w:rsidR="00FA64DF" w:rsidRPr="00FA64DF">
        <w:rPr>
          <w:rFonts w:ascii="Times New Roman" w:eastAsia="楷体" w:hAnsi="Times New Roman"/>
          <w:color w:val="5B9BD5" w:themeColor="accent1"/>
          <w:sz w:val="24"/>
          <w:szCs w:val="24"/>
        </w:rPr>
        <w:t>应用了当前业内先进的固体蛋氨酸生产</w:t>
      </w:r>
      <w:r w:rsidR="00EE55F3">
        <w:rPr>
          <w:rFonts w:ascii="Times New Roman" w:eastAsia="楷体" w:hAnsi="Times New Roman" w:hint="eastAsia"/>
          <w:color w:val="5B9BD5" w:themeColor="accent1"/>
          <w:sz w:val="24"/>
          <w:szCs w:val="24"/>
        </w:rPr>
        <w:t>工艺</w:t>
      </w:r>
      <w:r w:rsidRPr="00D41F0F">
        <w:rPr>
          <w:rFonts w:ascii="Times New Roman" w:eastAsia="楷体" w:hAnsi="Times New Roman" w:hint="eastAsia"/>
          <w:color w:val="5B9BD5" w:themeColor="accent1"/>
          <w:sz w:val="24"/>
          <w:szCs w:val="24"/>
        </w:rPr>
        <w:t>，</w:t>
      </w:r>
      <w:r w:rsidR="00FA64DF">
        <w:rPr>
          <w:rFonts w:ascii="Times New Roman" w:eastAsia="楷体" w:hAnsi="Times New Roman" w:hint="eastAsia"/>
          <w:color w:val="5B9BD5" w:themeColor="accent1"/>
          <w:sz w:val="24"/>
          <w:szCs w:val="24"/>
        </w:rPr>
        <w:t>并构建了</w:t>
      </w:r>
      <w:r w:rsidR="00EF09E4" w:rsidRPr="00EF09E4">
        <w:rPr>
          <w:rFonts w:ascii="Times New Roman" w:eastAsia="楷体" w:hAnsi="Times New Roman"/>
          <w:color w:val="5B9BD5" w:themeColor="accent1"/>
          <w:sz w:val="24"/>
          <w:szCs w:val="24"/>
        </w:rPr>
        <w:t>上下游一体化的</w:t>
      </w:r>
      <w:r w:rsidR="00EE55F3">
        <w:rPr>
          <w:rFonts w:ascii="Times New Roman" w:eastAsia="楷体" w:hAnsi="Times New Roman" w:hint="eastAsia"/>
          <w:color w:val="5B9BD5" w:themeColor="accent1"/>
          <w:sz w:val="24"/>
          <w:szCs w:val="24"/>
        </w:rPr>
        <w:t>生产</w:t>
      </w:r>
      <w:r w:rsidR="00EF09E4" w:rsidRPr="00EF09E4">
        <w:rPr>
          <w:rFonts w:ascii="Times New Roman" w:eastAsia="楷体" w:hAnsi="Times New Roman"/>
          <w:color w:val="5B9BD5" w:themeColor="accent1"/>
          <w:sz w:val="24"/>
          <w:szCs w:val="24"/>
        </w:rPr>
        <w:t>运营体系</w:t>
      </w:r>
      <w:r w:rsidRPr="00D41F0F">
        <w:rPr>
          <w:rFonts w:ascii="Times New Roman" w:eastAsia="楷体" w:hAnsi="Times New Roman" w:hint="eastAsia"/>
          <w:color w:val="5B9BD5" w:themeColor="accent1"/>
          <w:sz w:val="24"/>
          <w:szCs w:val="24"/>
        </w:rPr>
        <w:t>。</w:t>
      </w:r>
      <w:r w:rsidR="006D49DD" w:rsidRPr="00D41F0F">
        <w:rPr>
          <w:rFonts w:ascii="Times New Roman" w:eastAsia="楷体" w:hAnsi="Times New Roman" w:hint="eastAsia"/>
          <w:color w:val="5B9BD5" w:themeColor="accent1"/>
          <w:sz w:val="24"/>
          <w:szCs w:val="24"/>
        </w:rPr>
        <w:t>同时，充分</w:t>
      </w:r>
      <w:r w:rsidR="00B014BF">
        <w:rPr>
          <w:rFonts w:ascii="Times New Roman" w:eastAsia="楷体" w:hAnsi="Times New Roman" w:hint="eastAsia"/>
          <w:color w:val="5B9BD5" w:themeColor="accent1"/>
          <w:sz w:val="24"/>
          <w:szCs w:val="24"/>
        </w:rPr>
        <w:t>借鉴</w:t>
      </w:r>
      <w:r w:rsidR="006D49DD" w:rsidRPr="00D41F0F">
        <w:rPr>
          <w:rFonts w:ascii="Times New Roman" w:eastAsia="楷体" w:hAnsi="Times New Roman" w:hint="eastAsia"/>
          <w:color w:val="5B9BD5" w:themeColor="accent1"/>
          <w:sz w:val="24"/>
          <w:szCs w:val="24"/>
        </w:rPr>
        <w:t>南京生产平台的建设</w:t>
      </w:r>
      <w:r w:rsidR="00A6030B">
        <w:rPr>
          <w:rFonts w:ascii="Times New Roman" w:eastAsia="楷体" w:hAnsi="Times New Roman" w:hint="eastAsia"/>
          <w:color w:val="5B9BD5" w:themeColor="accent1"/>
          <w:sz w:val="24"/>
          <w:szCs w:val="24"/>
        </w:rPr>
        <w:t>与</w:t>
      </w:r>
      <w:r w:rsidR="006D49DD" w:rsidRPr="00D41F0F">
        <w:rPr>
          <w:rFonts w:ascii="Times New Roman" w:eastAsia="楷体" w:hAnsi="Times New Roman" w:hint="eastAsia"/>
          <w:color w:val="5B9BD5" w:themeColor="accent1"/>
          <w:sz w:val="24"/>
          <w:szCs w:val="24"/>
        </w:rPr>
        <w:t>运营经验</w:t>
      </w:r>
      <w:r w:rsidRPr="00D41F0F">
        <w:rPr>
          <w:rFonts w:ascii="Times New Roman" w:eastAsia="楷体" w:hAnsi="Times New Roman" w:hint="eastAsia"/>
          <w:color w:val="5B9BD5" w:themeColor="accent1"/>
          <w:sz w:val="24"/>
          <w:szCs w:val="24"/>
        </w:rPr>
        <w:t>，</w:t>
      </w:r>
      <w:r w:rsidR="00EF09E4" w:rsidRPr="00EF09E4">
        <w:rPr>
          <w:rFonts w:ascii="Times New Roman" w:eastAsia="楷体" w:hAnsi="Times New Roman"/>
          <w:color w:val="5B9BD5" w:themeColor="accent1"/>
          <w:sz w:val="24"/>
          <w:szCs w:val="24"/>
        </w:rPr>
        <w:t>实现整体效能的最大化</w:t>
      </w:r>
      <w:r w:rsidRPr="00D41F0F">
        <w:rPr>
          <w:rFonts w:ascii="Times New Roman" w:eastAsia="楷体" w:hAnsi="Times New Roman" w:hint="eastAsia"/>
          <w:color w:val="5B9BD5" w:themeColor="accent1"/>
          <w:sz w:val="24"/>
          <w:szCs w:val="24"/>
        </w:rPr>
        <w:t>。</w:t>
      </w:r>
    </w:p>
    <w:p w14:paraId="64217F2D" w14:textId="203755EA" w:rsidR="003E1B30" w:rsidRPr="00D41F0F" w:rsidRDefault="003E1B30" w:rsidP="00D41F0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D41F0F">
        <w:rPr>
          <w:rFonts w:ascii="Times New Roman" w:eastAsia="楷体" w:hAnsi="Times New Roman" w:hint="eastAsia"/>
          <w:color w:val="5B9BD5" w:themeColor="accent1"/>
          <w:sz w:val="24"/>
          <w:szCs w:val="24"/>
        </w:rPr>
        <w:t>综合来看，凭借原材料供应的协同保障、技术</w:t>
      </w:r>
      <w:r w:rsidR="000545A7">
        <w:rPr>
          <w:rFonts w:ascii="Times New Roman" w:eastAsia="楷体" w:hAnsi="Times New Roman" w:hint="eastAsia"/>
          <w:color w:val="5B9BD5" w:themeColor="accent1"/>
          <w:sz w:val="24"/>
          <w:szCs w:val="24"/>
        </w:rPr>
        <w:t>工艺</w:t>
      </w:r>
      <w:r w:rsidRPr="00D41F0F">
        <w:rPr>
          <w:rFonts w:ascii="Times New Roman" w:eastAsia="楷体" w:hAnsi="Times New Roman" w:hint="eastAsia"/>
          <w:color w:val="5B9BD5" w:themeColor="accent1"/>
          <w:sz w:val="24"/>
          <w:szCs w:val="24"/>
        </w:rPr>
        <w:t>先进性以及一体化带来的效率，我们有信心认为，泉州工厂投产后，</w:t>
      </w:r>
      <w:r w:rsidR="005732EC">
        <w:rPr>
          <w:rFonts w:ascii="Times New Roman" w:eastAsia="楷体" w:hAnsi="Times New Roman" w:hint="eastAsia"/>
          <w:color w:val="5B9BD5" w:themeColor="accent1"/>
          <w:sz w:val="24"/>
          <w:szCs w:val="24"/>
        </w:rPr>
        <w:t>安迪苏固体蛋氨酸</w:t>
      </w:r>
      <w:r w:rsidRPr="00D41F0F">
        <w:rPr>
          <w:rFonts w:ascii="Times New Roman" w:eastAsia="楷体" w:hAnsi="Times New Roman" w:hint="eastAsia"/>
          <w:color w:val="5B9BD5" w:themeColor="accent1"/>
          <w:sz w:val="24"/>
          <w:szCs w:val="24"/>
        </w:rPr>
        <w:t>成本竞争力将</w:t>
      </w:r>
      <w:r w:rsidR="005732EC">
        <w:rPr>
          <w:rFonts w:ascii="Times New Roman" w:eastAsia="楷体" w:hAnsi="Times New Roman" w:hint="eastAsia"/>
          <w:color w:val="5B9BD5" w:themeColor="accent1"/>
          <w:sz w:val="24"/>
          <w:szCs w:val="24"/>
        </w:rPr>
        <w:t>明显提升</w:t>
      </w:r>
      <w:r w:rsidRPr="00D41F0F">
        <w:rPr>
          <w:rFonts w:ascii="Times New Roman" w:eastAsia="楷体" w:hAnsi="Times New Roman" w:hint="eastAsia"/>
          <w:color w:val="5B9BD5" w:themeColor="accent1"/>
          <w:sz w:val="24"/>
          <w:szCs w:val="24"/>
        </w:rPr>
        <w:t>。</w:t>
      </w:r>
    </w:p>
    <w:p w14:paraId="5BF8D7F8" w14:textId="77777777" w:rsidR="006D49DD" w:rsidRPr="006D49DD" w:rsidRDefault="006D49DD" w:rsidP="006D49DD">
      <w:pPr>
        <w:pStyle w:val="a8"/>
        <w:ind w:left="434" w:firstLine="480"/>
        <w:rPr>
          <w:rFonts w:ascii="Times New Roman" w:eastAsia="楷体" w:hAnsi="Times New Roman"/>
          <w:sz w:val="24"/>
          <w:szCs w:val="24"/>
        </w:rPr>
      </w:pPr>
    </w:p>
    <w:p w14:paraId="7CDFDB86" w14:textId="7A1A6743" w:rsidR="009F6893" w:rsidRPr="003002A2" w:rsidRDefault="009F6893"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蛋氨酸</w:t>
      </w:r>
      <w:r w:rsidR="007E2FCE" w:rsidRPr="003002A2">
        <w:rPr>
          <w:rFonts w:ascii="Times New Roman" w:eastAsia="楷体" w:hAnsi="Times New Roman"/>
          <w:sz w:val="24"/>
          <w:szCs w:val="24"/>
        </w:rPr>
        <w:t>的</w:t>
      </w:r>
      <w:r w:rsidRPr="003002A2">
        <w:rPr>
          <w:rFonts w:ascii="Times New Roman" w:eastAsia="楷体" w:hAnsi="Times New Roman"/>
          <w:sz w:val="24"/>
          <w:szCs w:val="24"/>
        </w:rPr>
        <w:t>价格</w:t>
      </w:r>
      <w:r w:rsidR="007E2FCE" w:rsidRPr="003002A2">
        <w:rPr>
          <w:rFonts w:ascii="Times New Roman" w:eastAsia="楷体" w:hAnsi="Times New Roman"/>
          <w:sz w:val="24"/>
          <w:szCs w:val="24"/>
        </w:rPr>
        <w:t>趋势</w:t>
      </w:r>
      <w:r w:rsidR="005B2B29" w:rsidRPr="003002A2">
        <w:rPr>
          <w:rFonts w:ascii="Times New Roman" w:eastAsia="楷体" w:hAnsi="Times New Roman" w:hint="eastAsia"/>
          <w:sz w:val="24"/>
          <w:szCs w:val="24"/>
        </w:rPr>
        <w:t>（尤其是今年第四季度）</w:t>
      </w:r>
      <w:r w:rsidRPr="003002A2">
        <w:rPr>
          <w:rFonts w:ascii="Times New Roman" w:eastAsia="楷体" w:hAnsi="Times New Roman"/>
          <w:sz w:val="24"/>
          <w:szCs w:val="24"/>
        </w:rPr>
        <w:t>？</w:t>
      </w:r>
    </w:p>
    <w:p w14:paraId="4C0DD638" w14:textId="05339739" w:rsidR="00134261" w:rsidRPr="00134261" w:rsidRDefault="00134261" w:rsidP="00134261">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134261">
        <w:rPr>
          <w:rFonts w:ascii="Times New Roman" w:eastAsia="楷体" w:hAnsi="Times New Roman" w:hint="eastAsia"/>
          <w:color w:val="5B9BD5" w:themeColor="accent1"/>
          <w:sz w:val="24"/>
          <w:szCs w:val="24"/>
        </w:rPr>
        <w:t>关于第四季度蛋氨酸价格展望，我们</w:t>
      </w:r>
      <w:r>
        <w:rPr>
          <w:rFonts w:ascii="Times New Roman" w:eastAsia="楷体" w:hAnsi="Times New Roman" w:hint="eastAsia"/>
          <w:color w:val="5B9BD5" w:themeColor="accent1"/>
          <w:sz w:val="24"/>
          <w:szCs w:val="24"/>
        </w:rPr>
        <w:t>认为</w:t>
      </w:r>
      <w:r w:rsidRPr="00134261">
        <w:rPr>
          <w:rFonts w:ascii="Times New Roman" w:eastAsia="楷体" w:hAnsi="Times New Roman" w:hint="eastAsia"/>
          <w:color w:val="5B9BD5" w:themeColor="accent1"/>
          <w:sz w:val="24"/>
          <w:szCs w:val="24"/>
        </w:rPr>
        <w:t>市场虽面临短期调整，但核心支撑面依然稳固：</w:t>
      </w:r>
    </w:p>
    <w:p w14:paraId="3184011E" w14:textId="77DBF7EF" w:rsidR="00134261" w:rsidRPr="00134261" w:rsidRDefault="008018C4" w:rsidP="00134261">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Pr>
          <w:rFonts w:ascii="Times New Roman" w:eastAsia="楷体" w:hAnsi="Times New Roman" w:hint="eastAsia"/>
          <w:color w:val="5B9BD5" w:themeColor="accent1"/>
          <w:sz w:val="24"/>
          <w:szCs w:val="24"/>
        </w:rPr>
        <w:t>短期来</w:t>
      </w:r>
      <w:r w:rsidR="00134261" w:rsidRPr="00134261">
        <w:rPr>
          <w:rFonts w:ascii="Times New Roman" w:eastAsia="楷体" w:hAnsi="Times New Roman" w:hint="eastAsia"/>
          <w:color w:val="5B9BD5" w:themeColor="accent1"/>
          <w:sz w:val="24"/>
          <w:szCs w:val="24"/>
        </w:rPr>
        <w:t>看，近期价格的波动</w:t>
      </w:r>
      <w:r w:rsidR="00200134">
        <w:rPr>
          <w:rFonts w:ascii="Times New Roman" w:eastAsia="楷体" w:hAnsi="Times New Roman" w:hint="eastAsia"/>
          <w:color w:val="5B9BD5" w:themeColor="accent1"/>
          <w:sz w:val="24"/>
          <w:szCs w:val="24"/>
        </w:rPr>
        <w:t>（尤其是国内市场）</w:t>
      </w:r>
      <w:r w:rsidR="00134261" w:rsidRPr="00134261">
        <w:rPr>
          <w:rFonts w:ascii="Times New Roman" w:eastAsia="楷体" w:hAnsi="Times New Roman" w:hint="eastAsia"/>
          <w:color w:val="5B9BD5" w:themeColor="accent1"/>
          <w:sz w:val="24"/>
          <w:szCs w:val="24"/>
        </w:rPr>
        <w:t>主要受两方面阶段性因素影响：一是国内供应端正处于阶段性的库存消化期；二是受夏季高温影响，养殖端需求出现暂时性承压。两者叠加，导致了</w:t>
      </w:r>
      <w:r w:rsidR="00200134">
        <w:rPr>
          <w:rFonts w:ascii="Times New Roman" w:eastAsia="楷体" w:hAnsi="Times New Roman" w:hint="eastAsia"/>
          <w:color w:val="5B9BD5" w:themeColor="accent1"/>
          <w:sz w:val="24"/>
          <w:szCs w:val="24"/>
        </w:rPr>
        <w:t>蛋氨酸</w:t>
      </w:r>
      <w:r w:rsidR="00134261" w:rsidRPr="00134261">
        <w:rPr>
          <w:rFonts w:ascii="Times New Roman" w:eastAsia="楷体" w:hAnsi="Times New Roman" w:hint="eastAsia"/>
          <w:color w:val="5B9BD5" w:themeColor="accent1"/>
          <w:sz w:val="24"/>
          <w:szCs w:val="24"/>
        </w:rPr>
        <w:t>价格的短期回调。</w:t>
      </w:r>
    </w:p>
    <w:p w14:paraId="3D2A0A69" w14:textId="279B3FFB" w:rsidR="00134261" w:rsidRPr="00E31963" w:rsidRDefault="00134261" w:rsidP="00134261">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134261">
        <w:rPr>
          <w:rFonts w:ascii="Times New Roman" w:eastAsia="楷体" w:hAnsi="Times New Roman" w:hint="eastAsia"/>
          <w:color w:val="5B9BD5" w:themeColor="accent1"/>
          <w:sz w:val="24"/>
          <w:szCs w:val="24"/>
        </w:rPr>
        <w:t>展望第四季度，支撑价格反弹的积极变量正在回归：随着季节性</w:t>
      </w:r>
      <w:r w:rsidR="005E4761">
        <w:rPr>
          <w:rFonts w:ascii="Times New Roman" w:eastAsia="楷体" w:hAnsi="Times New Roman" w:hint="eastAsia"/>
          <w:color w:val="5B9BD5" w:themeColor="accent1"/>
          <w:sz w:val="24"/>
          <w:szCs w:val="24"/>
        </w:rPr>
        <w:t>气候</w:t>
      </w:r>
      <w:r w:rsidRPr="00134261">
        <w:rPr>
          <w:rFonts w:ascii="Times New Roman" w:eastAsia="楷体" w:hAnsi="Times New Roman" w:hint="eastAsia"/>
          <w:color w:val="5B9BD5" w:themeColor="accent1"/>
          <w:sz w:val="24"/>
          <w:szCs w:val="24"/>
        </w:rPr>
        <w:t>制约因素消退，养殖需求将逐步恢复，蛋氨酸价格具备</w:t>
      </w:r>
      <w:r w:rsidR="00E11D7B">
        <w:rPr>
          <w:rFonts w:ascii="Times New Roman" w:eastAsia="楷体" w:hAnsi="Times New Roman" w:hint="eastAsia"/>
          <w:color w:val="5B9BD5" w:themeColor="accent1"/>
          <w:sz w:val="24"/>
          <w:szCs w:val="24"/>
        </w:rPr>
        <w:t>较强的</w:t>
      </w:r>
      <w:r w:rsidRPr="00134261">
        <w:rPr>
          <w:rFonts w:ascii="Times New Roman" w:eastAsia="楷体" w:hAnsi="Times New Roman" w:hint="eastAsia"/>
          <w:color w:val="5B9BD5" w:themeColor="accent1"/>
          <w:sz w:val="24"/>
          <w:szCs w:val="24"/>
        </w:rPr>
        <w:t>韧性。总体而言，我们对第四季度价格持审慎乐观态度，这基于我们对需求韧性及市场供需</w:t>
      </w:r>
      <w:r w:rsidR="00A83FA5">
        <w:rPr>
          <w:rFonts w:ascii="Times New Roman" w:eastAsia="楷体" w:hAnsi="Times New Roman" w:hint="eastAsia"/>
          <w:color w:val="5B9BD5" w:themeColor="accent1"/>
          <w:sz w:val="24"/>
          <w:szCs w:val="24"/>
        </w:rPr>
        <w:t>格局未发生剧烈变化的观察</w:t>
      </w:r>
      <w:r w:rsidRPr="00134261">
        <w:rPr>
          <w:rFonts w:ascii="Times New Roman" w:eastAsia="楷体" w:hAnsi="Times New Roman" w:hint="eastAsia"/>
          <w:color w:val="5B9BD5" w:themeColor="accent1"/>
          <w:sz w:val="24"/>
          <w:szCs w:val="24"/>
        </w:rPr>
        <w:t>。</w:t>
      </w:r>
    </w:p>
    <w:p w14:paraId="093BAED0" w14:textId="51AE2419" w:rsidR="00E31963" w:rsidRPr="00530441" w:rsidRDefault="00E31963" w:rsidP="00DF7475">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0441">
        <w:rPr>
          <w:rFonts w:ascii="Times New Roman" w:eastAsia="楷体" w:hAnsi="Times New Roman"/>
          <w:color w:val="5B9BD5" w:themeColor="accent1"/>
          <w:sz w:val="24"/>
          <w:szCs w:val="24"/>
        </w:rPr>
        <w:t>公司将持续密切关注市场环境的动态变化，持续依托全球化布局与卓越运营能力，通过动态定价机制和区域资源协同，在保障客户稳定供应的同时实现价值最大化。</w:t>
      </w:r>
    </w:p>
    <w:p w14:paraId="07EE059E" w14:textId="77777777" w:rsidR="009A3B33" w:rsidRPr="00530441" w:rsidRDefault="009A3B33" w:rsidP="009A3B33">
      <w:pPr>
        <w:pStyle w:val="a8"/>
        <w:spacing w:after="160" w:line="278" w:lineRule="auto"/>
        <w:ind w:left="800" w:firstLineChars="0" w:firstLine="0"/>
        <w:contextualSpacing/>
        <w:rPr>
          <w:rFonts w:ascii="Times New Roman" w:eastAsia="楷体" w:hAnsi="Times New Roman"/>
          <w:color w:val="5B9BD5" w:themeColor="accent1"/>
          <w:sz w:val="24"/>
          <w:szCs w:val="24"/>
        </w:rPr>
      </w:pPr>
    </w:p>
    <w:p w14:paraId="349DDE31" w14:textId="4F976C8B" w:rsidR="00223E59" w:rsidRPr="003002A2" w:rsidRDefault="00C80E6B"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hint="eastAsia"/>
          <w:sz w:val="24"/>
          <w:szCs w:val="24"/>
        </w:rPr>
        <w:t>公司蛋氨酸业务的战略定位</w:t>
      </w:r>
      <w:r w:rsidR="00440772" w:rsidRPr="003002A2">
        <w:rPr>
          <w:rFonts w:ascii="Times New Roman" w:eastAsia="楷体" w:hAnsi="Times New Roman" w:hint="eastAsia"/>
          <w:sz w:val="24"/>
          <w:szCs w:val="24"/>
        </w:rPr>
        <w:t>？</w:t>
      </w:r>
    </w:p>
    <w:p w14:paraId="4DCDD605" w14:textId="637C5B1D" w:rsidR="00457577" w:rsidRPr="00457577" w:rsidRDefault="00457577" w:rsidP="00457577">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457577">
        <w:rPr>
          <w:rFonts w:ascii="Times New Roman" w:eastAsia="楷体" w:hAnsi="Times New Roman" w:hint="eastAsia"/>
          <w:color w:val="5B9BD5" w:themeColor="accent1"/>
          <w:sz w:val="24"/>
          <w:szCs w:val="24"/>
        </w:rPr>
        <w:t>关于蛋氨酸业务的战略定位，公司致力于通过构建“全球化运营壁垒”与“成本优势”的双重核心竞争力，持续巩固行业龙头地位。具体如下：</w:t>
      </w:r>
    </w:p>
    <w:p w14:paraId="2BC67570" w14:textId="2E841333" w:rsidR="00457577" w:rsidRPr="00457577" w:rsidRDefault="00457577" w:rsidP="00457577">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457577">
        <w:rPr>
          <w:rFonts w:ascii="Times New Roman" w:eastAsia="楷体" w:hAnsi="Times New Roman" w:hint="eastAsia"/>
          <w:color w:val="5B9BD5" w:themeColor="accent1"/>
          <w:sz w:val="24"/>
          <w:szCs w:val="24"/>
        </w:rPr>
        <w:t>第一，</w:t>
      </w:r>
      <w:r w:rsidR="000C6910">
        <w:rPr>
          <w:rFonts w:ascii="Times New Roman" w:eastAsia="楷体" w:hAnsi="Times New Roman" w:hint="eastAsia"/>
          <w:color w:val="5B9BD5" w:themeColor="accent1"/>
          <w:sz w:val="24"/>
          <w:szCs w:val="24"/>
        </w:rPr>
        <w:t>依托</w:t>
      </w:r>
      <w:r w:rsidRPr="00457577">
        <w:rPr>
          <w:rFonts w:ascii="Times New Roman" w:eastAsia="楷体" w:hAnsi="Times New Roman" w:hint="eastAsia"/>
          <w:color w:val="5B9BD5" w:themeColor="accent1"/>
          <w:sz w:val="24"/>
          <w:szCs w:val="24"/>
        </w:rPr>
        <w:t>全球化布局，打造差异化的服务壁垒。</w:t>
      </w:r>
      <w:r w:rsidRPr="00457577">
        <w:rPr>
          <w:rFonts w:ascii="Times New Roman" w:eastAsia="楷体" w:hAnsi="Times New Roman" w:hint="eastAsia"/>
          <w:color w:val="5B9BD5" w:themeColor="accent1"/>
          <w:sz w:val="24"/>
          <w:szCs w:val="24"/>
        </w:rPr>
        <w:t xml:space="preserve"> </w:t>
      </w:r>
      <w:r w:rsidRPr="00457577">
        <w:rPr>
          <w:rFonts w:ascii="Times New Roman" w:eastAsia="楷体" w:hAnsi="Times New Roman" w:hint="eastAsia"/>
          <w:color w:val="5B9BD5" w:themeColor="accent1"/>
          <w:sz w:val="24"/>
          <w:szCs w:val="24"/>
        </w:rPr>
        <w:t>安迪苏的核心竞争力</w:t>
      </w:r>
      <w:r w:rsidR="000C4259">
        <w:rPr>
          <w:rFonts w:ascii="Times New Roman" w:eastAsia="楷体" w:hAnsi="Times New Roman" w:hint="eastAsia"/>
          <w:color w:val="5B9BD5" w:themeColor="accent1"/>
          <w:sz w:val="24"/>
          <w:szCs w:val="24"/>
        </w:rPr>
        <w:t>在</w:t>
      </w:r>
      <w:r w:rsidRPr="00457577">
        <w:rPr>
          <w:rFonts w:ascii="Times New Roman" w:eastAsia="楷体" w:hAnsi="Times New Roman" w:hint="eastAsia"/>
          <w:color w:val="5B9BD5" w:themeColor="accent1"/>
          <w:sz w:val="24"/>
          <w:szCs w:val="24"/>
        </w:rPr>
        <w:t>于</w:t>
      </w:r>
      <w:r w:rsidR="000C4259">
        <w:rPr>
          <w:rFonts w:ascii="Times New Roman" w:eastAsia="楷体" w:hAnsi="Times New Roman" w:hint="eastAsia"/>
          <w:color w:val="5B9BD5" w:themeColor="accent1"/>
          <w:sz w:val="24"/>
          <w:szCs w:val="24"/>
        </w:rPr>
        <w:t>其</w:t>
      </w:r>
      <w:r w:rsidRPr="00457577">
        <w:rPr>
          <w:rFonts w:ascii="Times New Roman" w:eastAsia="楷体" w:hAnsi="Times New Roman" w:hint="eastAsia"/>
          <w:color w:val="5B9BD5" w:themeColor="accent1"/>
          <w:sz w:val="24"/>
          <w:szCs w:val="24"/>
        </w:rPr>
        <w:t>高度国际化的运营体系。我们在全球六大核心区域建立了销售与技术服务网络，这一全球化布局构筑了深厚的竞争门槛。在此基础上，</w:t>
      </w:r>
      <w:r w:rsidR="00DA4E33" w:rsidRPr="00DA4E33">
        <w:rPr>
          <w:rFonts w:ascii="Times New Roman" w:eastAsia="楷体" w:hAnsi="Times New Roman"/>
          <w:color w:val="5B9BD5" w:themeColor="accent1"/>
          <w:sz w:val="24"/>
          <w:szCs w:val="24"/>
        </w:rPr>
        <w:t>安迪苏为市场带来了全方位的产品和服务</w:t>
      </w:r>
      <w:r w:rsidRPr="00457577">
        <w:rPr>
          <w:rFonts w:ascii="Times New Roman" w:eastAsia="楷体" w:hAnsi="Times New Roman" w:hint="eastAsia"/>
          <w:color w:val="5B9BD5" w:themeColor="accent1"/>
          <w:sz w:val="24"/>
          <w:szCs w:val="24"/>
        </w:rPr>
        <w:t>，凭借液体蛋氨酸专业现场技术支持，确立了“产品</w:t>
      </w:r>
      <w:r w:rsidRPr="00457577">
        <w:rPr>
          <w:rFonts w:ascii="Times New Roman" w:eastAsia="楷体" w:hAnsi="Times New Roman" w:hint="eastAsia"/>
          <w:color w:val="5B9BD5" w:themeColor="accent1"/>
          <w:sz w:val="24"/>
          <w:szCs w:val="24"/>
        </w:rPr>
        <w:t>+</w:t>
      </w:r>
      <w:r w:rsidRPr="00457577">
        <w:rPr>
          <w:rFonts w:ascii="Times New Roman" w:eastAsia="楷体" w:hAnsi="Times New Roman" w:hint="eastAsia"/>
          <w:color w:val="5B9BD5" w:themeColor="accent1"/>
          <w:sz w:val="24"/>
          <w:szCs w:val="24"/>
        </w:rPr>
        <w:t>服务”的一体化解决方案能力，</w:t>
      </w:r>
      <w:r w:rsidR="0078183D" w:rsidRPr="0078183D">
        <w:rPr>
          <w:rFonts w:ascii="Times New Roman" w:eastAsia="楷体" w:hAnsi="Times New Roman"/>
          <w:color w:val="5B9BD5" w:themeColor="accent1"/>
          <w:sz w:val="24"/>
          <w:szCs w:val="24"/>
        </w:rPr>
        <w:t>我们不仅是供应商，更是客户信赖的技术伙伴，这是我们区别于竞争对手的关键</w:t>
      </w:r>
      <w:r w:rsidRPr="00457577">
        <w:rPr>
          <w:rFonts w:ascii="Times New Roman" w:eastAsia="楷体" w:hAnsi="Times New Roman" w:hint="eastAsia"/>
          <w:color w:val="5B9BD5" w:themeColor="accent1"/>
          <w:sz w:val="24"/>
          <w:szCs w:val="24"/>
        </w:rPr>
        <w:t>。</w:t>
      </w:r>
    </w:p>
    <w:p w14:paraId="05F36872" w14:textId="601EEAE0" w:rsidR="00457577" w:rsidRPr="001613FA" w:rsidRDefault="00457577" w:rsidP="001613FA">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457577">
        <w:rPr>
          <w:rFonts w:ascii="Times New Roman" w:eastAsia="楷体" w:hAnsi="Times New Roman" w:hint="eastAsia"/>
          <w:color w:val="5B9BD5" w:themeColor="accent1"/>
          <w:sz w:val="24"/>
          <w:szCs w:val="24"/>
        </w:rPr>
        <w:t>第二，坚持创新驱动与协同发展，</w:t>
      </w:r>
      <w:r w:rsidR="00DA4E33">
        <w:rPr>
          <w:rFonts w:ascii="Times New Roman" w:eastAsia="楷体" w:hAnsi="Times New Roman" w:hint="eastAsia"/>
          <w:color w:val="5B9BD5" w:themeColor="accent1"/>
          <w:sz w:val="24"/>
          <w:szCs w:val="24"/>
        </w:rPr>
        <w:t>强化</w:t>
      </w:r>
      <w:r w:rsidRPr="00457577">
        <w:rPr>
          <w:rFonts w:ascii="Times New Roman" w:eastAsia="楷体" w:hAnsi="Times New Roman" w:hint="eastAsia"/>
          <w:color w:val="5B9BD5" w:themeColor="accent1"/>
          <w:sz w:val="24"/>
          <w:szCs w:val="24"/>
        </w:rPr>
        <w:t>成本领先优势。</w:t>
      </w:r>
      <w:r w:rsidRPr="00457577">
        <w:rPr>
          <w:rFonts w:ascii="Times New Roman" w:eastAsia="楷体" w:hAnsi="Times New Roman" w:hint="eastAsia"/>
          <w:color w:val="5B9BD5" w:themeColor="accent1"/>
          <w:sz w:val="24"/>
          <w:szCs w:val="24"/>
        </w:rPr>
        <w:t xml:space="preserve"> </w:t>
      </w:r>
      <w:r w:rsidRPr="00457577">
        <w:rPr>
          <w:rFonts w:ascii="Times New Roman" w:eastAsia="楷体" w:hAnsi="Times New Roman" w:hint="eastAsia"/>
          <w:color w:val="5B9BD5" w:themeColor="accent1"/>
          <w:sz w:val="24"/>
          <w:szCs w:val="24"/>
        </w:rPr>
        <w:t>成本竞争力是业务可持续发展的核心保障。公司将持续加大蛋氨酸核心工艺的研发投入，</w:t>
      </w:r>
      <w:r w:rsidRPr="00457577">
        <w:rPr>
          <w:rFonts w:ascii="Times New Roman" w:eastAsia="楷体" w:hAnsi="Times New Roman" w:hint="eastAsia"/>
          <w:color w:val="5B9BD5" w:themeColor="accent1"/>
          <w:sz w:val="24"/>
          <w:szCs w:val="24"/>
        </w:rPr>
        <w:lastRenderedPageBreak/>
        <w:t>通过技术创新驱动</w:t>
      </w:r>
      <w:r w:rsidR="00DE17D8">
        <w:rPr>
          <w:rFonts w:ascii="Times New Roman" w:eastAsia="楷体" w:hAnsi="Times New Roman" w:hint="eastAsia"/>
          <w:color w:val="5B9BD5" w:themeColor="accent1"/>
          <w:sz w:val="24"/>
          <w:szCs w:val="24"/>
        </w:rPr>
        <w:t>优化</w:t>
      </w:r>
      <w:r w:rsidRPr="00457577">
        <w:rPr>
          <w:rFonts w:ascii="Times New Roman" w:eastAsia="楷体" w:hAnsi="Times New Roman" w:hint="eastAsia"/>
          <w:color w:val="5B9BD5" w:themeColor="accent1"/>
          <w:sz w:val="24"/>
          <w:szCs w:val="24"/>
        </w:rPr>
        <w:t>成本；同时，深度挖掘集团产业链协同潜力，通过全方位的提质增效，实现供应链至生产端的全链条成本优化。通过“科技创新、精益管理与协同效应”的有机结合，</w:t>
      </w:r>
      <w:r w:rsidR="00176404" w:rsidRPr="00176404">
        <w:rPr>
          <w:rFonts w:ascii="Times New Roman" w:eastAsia="楷体" w:hAnsi="Times New Roman"/>
          <w:color w:val="5B9BD5" w:themeColor="accent1"/>
          <w:sz w:val="24"/>
          <w:szCs w:val="24"/>
        </w:rPr>
        <w:t>不断提升成本竞争优势</w:t>
      </w:r>
      <w:r w:rsidR="001613FA">
        <w:rPr>
          <w:rFonts w:ascii="Times New Roman" w:eastAsia="楷体" w:hAnsi="Times New Roman" w:hint="eastAsia"/>
          <w:color w:val="5B9BD5" w:themeColor="accent1"/>
          <w:sz w:val="24"/>
          <w:szCs w:val="24"/>
        </w:rPr>
        <w:t>，</w:t>
      </w:r>
      <w:r w:rsidR="001613FA" w:rsidRPr="001613FA">
        <w:rPr>
          <w:rFonts w:ascii="Times New Roman" w:eastAsia="楷体" w:hAnsi="Times New Roman" w:hint="eastAsia"/>
          <w:color w:val="5B9BD5" w:themeColor="accent1"/>
          <w:sz w:val="24"/>
          <w:szCs w:val="24"/>
        </w:rPr>
        <w:t>从而进一步增强了安迪苏的竞争实力和市场领先地位。</w:t>
      </w:r>
    </w:p>
    <w:p w14:paraId="6C6337AA" w14:textId="4F0587B6" w:rsidR="00440772" w:rsidRPr="00457577" w:rsidRDefault="004B0586" w:rsidP="004B0586">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Pr>
          <w:rFonts w:ascii="Times New Roman" w:eastAsia="楷体" w:hAnsi="Times New Roman" w:hint="eastAsia"/>
          <w:color w:val="5B9BD5" w:themeColor="accent1"/>
          <w:sz w:val="24"/>
          <w:szCs w:val="24"/>
        </w:rPr>
        <w:t>公司将始终</w:t>
      </w:r>
      <w:r w:rsidR="00457577" w:rsidRPr="00457577">
        <w:rPr>
          <w:rFonts w:ascii="Times New Roman" w:eastAsia="楷体" w:hAnsi="Times New Roman" w:hint="eastAsia"/>
          <w:color w:val="5B9BD5" w:themeColor="accent1"/>
          <w:sz w:val="24"/>
          <w:szCs w:val="24"/>
        </w:rPr>
        <w:t>坚定</w:t>
      </w:r>
      <w:r w:rsidR="00E76F4A" w:rsidRPr="00E76F4A">
        <w:rPr>
          <w:rFonts w:ascii="Times New Roman" w:eastAsia="楷体" w:hAnsi="Times New Roman"/>
          <w:color w:val="5B9BD5" w:themeColor="accent1"/>
          <w:sz w:val="24"/>
          <w:szCs w:val="24"/>
        </w:rPr>
        <w:t>蛋氨酸行业全球领导者</w:t>
      </w:r>
      <w:r w:rsidR="00E76F4A">
        <w:rPr>
          <w:rFonts w:ascii="Times New Roman" w:eastAsia="楷体" w:hAnsi="Times New Roman" w:hint="eastAsia"/>
          <w:color w:val="5B9BD5" w:themeColor="accent1"/>
          <w:sz w:val="24"/>
          <w:szCs w:val="24"/>
        </w:rPr>
        <w:t>战略</w:t>
      </w:r>
      <w:proofErr w:type="gramStart"/>
      <w:r w:rsidR="00457577" w:rsidRPr="00457577">
        <w:rPr>
          <w:rFonts w:ascii="Times New Roman" w:eastAsia="楷体" w:hAnsi="Times New Roman" w:hint="eastAsia"/>
          <w:color w:val="5B9BD5" w:themeColor="accent1"/>
          <w:sz w:val="24"/>
          <w:szCs w:val="24"/>
        </w:rPr>
        <w:t>，</w:t>
      </w:r>
      <w:r w:rsidR="00457577" w:rsidRPr="00457577">
        <w:rPr>
          <w:rFonts w:ascii="Times New Roman" w:eastAsia="楷体" w:hAnsi="Times New Roman" w:hint="eastAsia"/>
          <w:color w:val="5B9BD5" w:themeColor="accent1"/>
          <w:sz w:val="24"/>
          <w:szCs w:val="24"/>
        </w:rPr>
        <w:t xml:space="preserve"> </w:t>
      </w:r>
      <w:r w:rsidR="00457577" w:rsidRPr="00457577">
        <w:rPr>
          <w:rFonts w:ascii="Times New Roman" w:eastAsia="楷体" w:hAnsi="Times New Roman" w:hint="eastAsia"/>
          <w:color w:val="5B9BD5" w:themeColor="accent1"/>
          <w:sz w:val="24"/>
          <w:szCs w:val="24"/>
        </w:rPr>
        <w:t>基于</w:t>
      </w:r>
      <w:proofErr w:type="gramEnd"/>
      <w:r w:rsidR="00457577" w:rsidRPr="00457577">
        <w:rPr>
          <w:rFonts w:ascii="Times New Roman" w:eastAsia="楷体" w:hAnsi="Times New Roman" w:hint="eastAsia"/>
          <w:color w:val="5B9BD5" w:themeColor="accent1"/>
          <w:sz w:val="24"/>
          <w:szCs w:val="24"/>
        </w:rPr>
        <w:t>全球化的服务能力与卓越的成本控制体系，致力于实现市场份额与盈利能力的长期稳健，为股东提供可持续的回报。</w:t>
      </w:r>
    </w:p>
    <w:p w14:paraId="650D65D8" w14:textId="77777777" w:rsidR="00C80E6B" w:rsidRDefault="00C80E6B" w:rsidP="00C80E6B">
      <w:pPr>
        <w:pStyle w:val="a8"/>
        <w:ind w:left="434" w:firstLineChars="0" w:firstLine="0"/>
        <w:rPr>
          <w:rFonts w:ascii="Times New Roman" w:eastAsia="楷体" w:hAnsi="Times New Roman"/>
          <w:sz w:val="24"/>
          <w:szCs w:val="24"/>
        </w:rPr>
      </w:pPr>
    </w:p>
    <w:p w14:paraId="116DEFB0" w14:textId="3CE507EB" w:rsidR="00A806C6" w:rsidRPr="003002A2" w:rsidRDefault="00A806C6"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hint="eastAsia"/>
          <w:sz w:val="24"/>
          <w:szCs w:val="24"/>
        </w:rPr>
        <w:t>蛋氨酸原材料目前</w:t>
      </w:r>
      <w:r w:rsidR="000E295A" w:rsidRPr="003002A2">
        <w:rPr>
          <w:rFonts w:ascii="Times New Roman" w:eastAsia="楷体" w:hAnsi="Times New Roman" w:hint="eastAsia"/>
          <w:sz w:val="24"/>
          <w:szCs w:val="24"/>
        </w:rPr>
        <w:t>的供应情况？</w:t>
      </w:r>
    </w:p>
    <w:p w14:paraId="012C2F87" w14:textId="44C5BD2B" w:rsidR="000E295A" w:rsidRPr="00E2047B" w:rsidRDefault="00A6016F" w:rsidP="00A6016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E2047B">
        <w:rPr>
          <w:rFonts w:ascii="Times New Roman" w:eastAsia="楷体" w:hAnsi="Times New Roman"/>
          <w:color w:val="5B9BD5" w:themeColor="accent1"/>
          <w:sz w:val="24"/>
          <w:szCs w:val="24"/>
        </w:rPr>
        <w:t>就蛋氨酸核心原材料的供应现状来看，目前主要原材料的成本仍处于相对高位；从供应保障维度，</w:t>
      </w:r>
      <w:r w:rsidRPr="00E2047B">
        <w:rPr>
          <w:rFonts w:ascii="Times New Roman" w:eastAsia="楷体" w:hAnsi="Times New Roman" w:hint="eastAsia"/>
          <w:color w:val="5B9BD5" w:themeColor="accent1"/>
          <w:sz w:val="24"/>
          <w:szCs w:val="24"/>
        </w:rPr>
        <w:t>目前</w:t>
      </w:r>
      <w:r w:rsidRPr="00E2047B">
        <w:rPr>
          <w:rFonts w:ascii="Times New Roman" w:eastAsia="楷体" w:hAnsi="Times New Roman"/>
          <w:color w:val="5B9BD5" w:themeColor="accent1"/>
          <w:sz w:val="24"/>
          <w:szCs w:val="24"/>
        </w:rPr>
        <w:t>公司关键原材料的供应态势整体稳健</w:t>
      </w:r>
      <w:r w:rsidRPr="00E2047B">
        <w:rPr>
          <w:rFonts w:ascii="Times New Roman" w:eastAsia="楷体" w:hAnsi="Times New Roman" w:hint="eastAsia"/>
          <w:color w:val="5B9BD5" w:themeColor="accent1"/>
          <w:sz w:val="24"/>
          <w:szCs w:val="24"/>
        </w:rPr>
        <w:t>。</w:t>
      </w:r>
      <w:r w:rsidR="00E2047B" w:rsidRPr="00E2047B">
        <w:rPr>
          <w:rFonts w:ascii="Times New Roman" w:eastAsia="楷体" w:hAnsi="Times New Roman" w:hint="eastAsia"/>
          <w:color w:val="5B9BD5" w:themeColor="accent1"/>
          <w:sz w:val="24"/>
          <w:szCs w:val="24"/>
        </w:rPr>
        <w:t>如前面提到的，公司将继续</w:t>
      </w:r>
      <w:r w:rsidR="00E2047B" w:rsidRPr="00457577">
        <w:rPr>
          <w:rFonts w:ascii="Times New Roman" w:eastAsia="楷体" w:hAnsi="Times New Roman" w:hint="eastAsia"/>
          <w:color w:val="5B9BD5" w:themeColor="accent1"/>
          <w:sz w:val="24"/>
          <w:szCs w:val="24"/>
        </w:rPr>
        <w:t>深度挖掘集团产业链协同潜力，通过全方位的提质增效，实现</w:t>
      </w:r>
      <w:r w:rsidR="00084F4A">
        <w:rPr>
          <w:rFonts w:ascii="Times New Roman" w:eastAsia="楷体" w:hAnsi="Times New Roman" w:hint="eastAsia"/>
          <w:color w:val="5B9BD5" w:themeColor="accent1"/>
          <w:sz w:val="24"/>
          <w:szCs w:val="24"/>
        </w:rPr>
        <w:t>“采、供、产、销”</w:t>
      </w:r>
      <w:r w:rsidR="00E2047B" w:rsidRPr="00457577">
        <w:rPr>
          <w:rFonts w:ascii="Times New Roman" w:eastAsia="楷体" w:hAnsi="Times New Roman" w:hint="eastAsia"/>
          <w:color w:val="5B9BD5" w:themeColor="accent1"/>
          <w:sz w:val="24"/>
          <w:szCs w:val="24"/>
        </w:rPr>
        <w:t>全链条成本优化</w:t>
      </w:r>
      <w:r w:rsidR="00E2047B">
        <w:rPr>
          <w:rFonts w:ascii="Times New Roman" w:eastAsia="楷体" w:hAnsi="Times New Roman" w:hint="eastAsia"/>
          <w:color w:val="5B9BD5" w:themeColor="accent1"/>
          <w:sz w:val="24"/>
          <w:szCs w:val="24"/>
        </w:rPr>
        <w:t>，从而</w:t>
      </w:r>
      <w:r w:rsidR="00E2047B" w:rsidRPr="001613FA">
        <w:rPr>
          <w:rFonts w:ascii="Times New Roman" w:eastAsia="楷体" w:hAnsi="Times New Roman" w:hint="eastAsia"/>
          <w:color w:val="5B9BD5" w:themeColor="accent1"/>
          <w:sz w:val="24"/>
          <w:szCs w:val="24"/>
        </w:rPr>
        <w:t>增强了安迪苏的竞争实力和市场领先地位。</w:t>
      </w:r>
    </w:p>
    <w:p w14:paraId="58D4BB96" w14:textId="77777777" w:rsidR="00E2047B" w:rsidRDefault="00E2047B" w:rsidP="00E2047B">
      <w:pPr>
        <w:pStyle w:val="a8"/>
        <w:spacing w:line="278" w:lineRule="auto"/>
        <w:ind w:left="800" w:firstLineChars="0" w:firstLine="0"/>
        <w:contextualSpacing/>
        <w:rPr>
          <w:rFonts w:ascii="Times New Roman" w:eastAsia="楷体" w:hAnsi="Times New Roman"/>
          <w:sz w:val="24"/>
          <w:szCs w:val="24"/>
        </w:rPr>
      </w:pPr>
    </w:p>
    <w:p w14:paraId="74032C8B" w14:textId="7D7DDFD1" w:rsidR="00A407DD" w:rsidRPr="003002A2" w:rsidRDefault="00A407DD"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hint="eastAsia"/>
          <w:sz w:val="24"/>
          <w:szCs w:val="24"/>
        </w:rPr>
        <w:t>公司特种品增速预期？</w:t>
      </w:r>
    </w:p>
    <w:p w14:paraId="707C4A3E" w14:textId="725E8A05" w:rsidR="00995CEF" w:rsidRPr="00995CEF" w:rsidRDefault="00995CEF" w:rsidP="00995CE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995CEF">
        <w:rPr>
          <w:rFonts w:ascii="Times New Roman" w:eastAsia="楷体" w:hAnsi="Times New Roman" w:hint="eastAsia"/>
          <w:color w:val="5B9BD5" w:themeColor="accent1"/>
          <w:sz w:val="24"/>
          <w:szCs w:val="24"/>
        </w:rPr>
        <w:t>关于公司特种品业务的增速预期，我们基于当前的市场环境与产能布局，对</w:t>
      </w:r>
      <w:r w:rsidRPr="00995CEF">
        <w:rPr>
          <w:rFonts w:ascii="Times New Roman" w:eastAsia="楷体" w:hAnsi="Times New Roman" w:hint="eastAsia"/>
          <w:color w:val="5B9BD5" w:themeColor="accent1"/>
          <w:sz w:val="24"/>
          <w:szCs w:val="24"/>
        </w:rPr>
        <w:t>2026</w:t>
      </w:r>
      <w:r w:rsidRPr="00995CEF">
        <w:rPr>
          <w:rFonts w:ascii="Times New Roman" w:eastAsia="楷体" w:hAnsi="Times New Roman" w:hint="eastAsia"/>
          <w:color w:val="5B9BD5" w:themeColor="accent1"/>
          <w:sz w:val="24"/>
          <w:szCs w:val="24"/>
        </w:rPr>
        <w:t>年下半年的业务表现充满信心，并看好中长期的持续增长潜力。具体来看：</w:t>
      </w:r>
    </w:p>
    <w:p w14:paraId="09CF2042" w14:textId="70F701DF" w:rsidR="00995CEF" w:rsidRPr="00995CEF" w:rsidRDefault="00995CEF" w:rsidP="00995CE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995CEF">
        <w:rPr>
          <w:rFonts w:ascii="Times New Roman" w:eastAsia="楷体" w:hAnsi="Times New Roman" w:hint="eastAsia"/>
          <w:color w:val="5B9BD5" w:themeColor="accent1"/>
          <w:sz w:val="24"/>
          <w:szCs w:val="24"/>
        </w:rPr>
        <w:t>第一，海外市场具备坚实的</w:t>
      </w:r>
      <w:r w:rsidR="008D3B48">
        <w:rPr>
          <w:rFonts w:ascii="Times New Roman" w:eastAsia="楷体" w:hAnsi="Times New Roman" w:hint="eastAsia"/>
          <w:color w:val="5B9BD5" w:themeColor="accent1"/>
          <w:sz w:val="24"/>
          <w:szCs w:val="24"/>
        </w:rPr>
        <w:t>市场环境</w:t>
      </w:r>
      <w:r w:rsidRPr="00995CEF">
        <w:rPr>
          <w:rFonts w:ascii="Times New Roman" w:eastAsia="楷体" w:hAnsi="Times New Roman" w:hint="eastAsia"/>
          <w:color w:val="5B9BD5" w:themeColor="accent1"/>
          <w:sz w:val="24"/>
          <w:szCs w:val="24"/>
        </w:rPr>
        <w:t>支撑，驱动短期业绩增长。</w:t>
      </w:r>
      <w:r w:rsidR="004D00B8">
        <w:rPr>
          <w:rFonts w:ascii="Times New Roman" w:eastAsia="楷体" w:hAnsi="Times New Roman" w:hint="eastAsia"/>
          <w:color w:val="5B9BD5" w:themeColor="accent1"/>
          <w:sz w:val="24"/>
          <w:szCs w:val="24"/>
        </w:rPr>
        <w:t>目</w:t>
      </w:r>
      <w:r w:rsidRPr="00995CEF">
        <w:rPr>
          <w:rFonts w:ascii="Times New Roman" w:eastAsia="楷体" w:hAnsi="Times New Roman" w:hint="eastAsia"/>
          <w:color w:val="5B9BD5" w:themeColor="accent1"/>
          <w:sz w:val="24"/>
          <w:szCs w:val="24"/>
        </w:rPr>
        <w:t>前，海外主要区域肉蛋奶价格维持高位，而农产品原料成本相对合理，这种高盈利环境促使养殖户更有动力通过特种品提升养殖效率与动物健康水平。特别是近期北美地区牛奶价格的回升，为反刍动物业务创造了良好的市场环境。因此，我们</w:t>
      </w:r>
      <w:r w:rsidR="00A2435E">
        <w:rPr>
          <w:rFonts w:ascii="Times New Roman" w:eastAsia="楷体" w:hAnsi="Times New Roman" w:hint="eastAsia"/>
          <w:color w:val="5B9BD5" w:themeColor="accent1"/>
          <w:sz w:val="24"/>
          <w:szCs w:val="24"/>
        </w:rPr>
        <w:t>对</w:t>
      </w:r>
      <w:r w:rsidRPr="00995CEF">
        <w:rPr>
          <w:rFonts w:ascii="Times New Roman" w:eastAsia="楷体" w:hAnsi="Times New Roman" w:hint="eastAsia"/>
          <w:color w:val="5B9BD5" w:themeColor="accent1"/>
          <w:sz w:val="24"/>
          <w:szCs w:val="24"/>
        </w:rPr>
        <w:t>下半年特种品业务延续当前的增长势头</w:t>
      </w:r>
      <w:r w:rsidR="00A2435E">
        <w:rPr>
          <w:rFonts w:ascii="Times New Roman" w:eastAsia="楷体" w:hAnsi="Times New Roman" w:hint="eastAsia"/>
          <w:color w:val="5B9BD5" w:themeColor="accent1"/>
          <w:sz w:val="24"/>
          <w:szCs w:val="24"/>
        </w:rPr>
        <w:t>保持信心</w:t>
      </w:r>
      <w:r w:rsidRPr="00995CEF">
        <w:rPr>
          <w:rFonts w:ascii="Times New Roman" w:eastAsia="楷体" w:hAnsi="Times New Roman" w:hint="eastAsia"/>
          <w:color w:val="5B9BD5" w:themeColor="accent1"/>
          <w:sz w:val="24"/>
          <w:szCs w:val="24"/>
        </w:rPr>
        <w:t>。</w:t>
      </w:r>
    </w:p>
    <w:p w14:paraId="49BB3D4C" w14:textId="0E8406B5" w:rsidR="00995CEF" w:rsidRPr="00995CEF" w:rsidRDefault="00995CEF" w:rsidP="00995CEF">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995CEF">
        <w:rPr>
          <w:rFonts w:ascii="Times New Roman" w:eastAsia="楷体" w:hAnsi="Times New Roman" w:hint="eastAsia"/>
          <w:color w:val="5B9BD5" w:themeColor="accent1"/>
          <w:sz w:val="24"/>
          <w:szCs w:val="24"/>
        </w:rPr>
        <w:t>第二，南京</w:t>
      </w:r>
      <w:r w:rsidR="00F309E2">
        <w:rPr>
          <w:rFonts w:ascii="Times New Roman" w:eastAsia="楷体" w:hAnsi="Times New Roman" w:hint="eastAsia"/>
          <w:color w:val="5B9BD5" w:themeColor="accent1"/>
          <w:sz w:val="24"/>
          <w:szCs w:val="24"/>
        </w:rPr>
        <w:t>特种品</w:t>
      </w:r>
      <w:r w:rsidRPr="00995CEF">
        <w:rPr>
          <w:rFonts w:ascii="Times New Roman" w:eastAsia="楷体" w:hAnsi="Times New Roman" w:hint="eastAsia"/>
          <w:color w:val="5B9BD5" w:themeColor="accent1"/>
          <w:sz w:val="24"/>
          <w:szCs w:val="24"/>
        </w:rPr>
        <w:t>工厂</w:t>
      </w:r>
      <w:r w:rsidR="005B59FF">
        <w:rPr>
          <w:rFonts w:ascii="Times New Roman" w:eastAsia="楷体" w:hAnsi="Times New Roman" w:hint="eastAsia"/>
          <w:color w:val="5B9BD5" w:themeColor="accent1"/>
          <w:sz w:val="24"/>
          <w:szCs w:val="24"/>
        </w:rPr>
        <w:t>多产线</w:t>
      </w:r>
      <w:r w:rsidR="008739DA">
        <w:rPr>
          <w:rFonts w:ascii="Times New Roman" w:eastAsia="楷体" w:hAnsi="Times New Roman" w:hint="eastAsia"/>
          <w:color w:val="5B9BD5" w:themeColor="accent1"/>
          <w:sz w:val="24"/>
          <w:szCs w:val="24"/>
        </w:rPr>
        <w:t>可靠</w:t>
      </w:r>
      <w:r w:rsidR="005B59FF">
        <w:rPr>
          <w:rFonts w:ascii="Times New Roman" w:eastAsia="楷体" w:hAnsi="Times New Roman" w:hint="eastAsia"/>
          <w:color w:val="5B9BD5" w:themeColor="accent1"/>
          <w:sz w:val="24"/>
          <w:szCs w:val="24"/>
        </w:rPr>
        <w:t>运行</w:t>
      </w:r>
      <w:r w:rsidRPr="00995CEF">
        <w:rPr>
          <w:rFonts w:ascii="Times New Roman" w:eastAsia="楷体" w:hAnsi="Times New Roman" w:hint="eastAsia"/>
          <w:color w:val="5B9BD5" w:themeColor="accent1"/>
          <w:sz w:val="24"/>
          <w:szCs w:val="24"/>
        </w:rPr>
        <w:t>，为中国市场</w:t>
      </w:r>
      <w:r w:rsidR="008739DA">
        <w:rPr>
          <w:rFonts w:ascii="Times New Roman" w:eastAsia="楷体" w:hAnsi="Times New Roman" w:hint="eastAsia"/>
          <w:color w:val="5B9BD5" w:themeColor="accent1"/>
          <w:sz w:val="24"/>
          <w:szCs w:val="24"/>
        </w:rPr>
        <w:t>开拓</w:t>
      </w:r>
      <w:r w:rsidRPr="00995CEF">
        <w:rPr>
          <w:rFonts w:ascii="Times New Roman" w:eastAsia="楷体" w:hAnsi="Times New Roman" w:hint="eastAsia"/>
          <w:color w:val="5B9BD5" w:themeColor="accent1"/>
          <w:sz w:val="24"/>
          <w:szCs w:val="24"/>
        </w:rPr>
        <w:t>注入强劲动能。</w:t>
      </w:r>
      <w:r w:rsidRPr="00995CEF">
        <w:rPr>
          <w:rFonts w:ascii="Times New Roman" w:eastAsia="楷体" w:hAnsi="Times New Roman" w:hint="eastAsia"/>
          <w:color w:val="5B9BD5" w:themeColor="accent1"/>
          <w:sz w:val="24"/>
          <w:szCs w:val="24"/>
        </w:rPr>
        <w:t xml:space="preserve"> </w:t>
      </w:r>
      <w:r w:rsidRPr="00995CEF">
        <w:rPr>
          <w:rFonts w:ascii="Times New Roman" w:eastAsia="楷体" w:hAnsi="Times New Roman" w:hint="eastAsia"/>
          <w:color w:val="5B9BD5" w:themeColor="accent1"/>
          <w:sz w:val="24"/>
          <w:szCs w:val="24"/>
        </w:rPr>
        <w:t>南京特种产品加工厂已于</w:t>
      </w:r>
      <w:r w:rsidRPr="00995CEF">
        <w:rPr>
          <w:rFonts w:ascii="Times New Roman" w:eastAsia="楷体" w:hAnsi="Times New Roman" w:hint="eastAsia"/>
          <w:color w:val="5B9BD5" w:themeColor="accent1"/>
          <w:sz w:val="24"/>
          <w:szCs w:val="24"/>
        </w:rPr>
        <w:t>2024</w:t>
      </w:r>
      <w:r w:rsidRPr="00995CEF">
        <w:rPr>
          <w:rFonts w:ascii="Times New Roman" w:eastAsia="楷体" w:hAnsi="Times New Roman" w:hint="eastAsia"/>
          <w:color w:val="5B9BD5" w:themeColor="accent1"/>
          <w:sz w:val="24"/>
          <w:szCs w:val="24"/>
        </w:rPr>
        <w:t>年底建设完成，</w:t>
      </w:r>
      <w:r w:rsidR="008739DA">
        <w:rPr>
          <w:rFonts w:ascii="Times New Roman" w:eastAsia="楷体" w:hAnsi="Times New Roman" w:hint="eastAsia"/>
          <w:color w:val="5B9BD5" w:themeColor="accent1"/>
          <w:sz w:val="24"/>
          <w:szCs w:val="24"/>
        </w:rPr>
        <w:t>并持续提升产线运行可靠性</w:t>
      </w:r>
      <w:r w:rsidR="00E640B2">
        <w:rPr>
          <w:rFonts w:ascii="Times New Roman" w:eastAsia="楷体" w:hAnsi="Times New Roman" w:hint="eastAsia"/>
          <w:color w:val="5B9BD5" w:themeColor="accent1"/>
          <w:sz w:val="24"/>
          <w:szCs w:val="24"/>
        </w:rPr>
        <w:t>、降低生产成本，</w:t>
      </w:r>
      <w:r w:rsidRPr="00995CEF">
        <w:rPr>
          <w:rFonts w:ascii="Times New Roman" w:eastAsia="楷体" w:hAnsi="Times New Roman" w:hint="eastAsia"/>
          <w:color w:val="5B9BD5" w:themeColor="accent1"/>
          <w:sz w:val="24"/>
          <w:szCs w:val="24"/>
        </w:rPr>
        <w:t>这不仅标志着我们在本土特种品生产布局的完善，</w:t>
      </w:r>
      <w:r w:rsidR="00934235">
        <w:rPr>
          <w:rFonts w:ascii="Times New Roman" w:eastAsia="楷体" w:hAnsi="Times New Roman" w:hint="eastAsia"/>
          <w:color w:val="5B9BD5" w:themeColor="accent1"/>
          <w:sz w:val="24"/>
          <w:szCs w:val="24"/>
        </w:rPr>
        <w:t>也提升了本土化</w:t>
      </w:r>
      <w:r w:rsidR="007B50EC">
        <w:rPr>
          <w:rFonts w:ascii="Times New Roman" w:eastAsia="楷体" w:hAnsi="Times New Roman" w:hint="eastAsia"/>
          <w:color w:val="5B9BD5" w:themeColor="accent1"/>
          <w:sz w:val="24"/>
          <w:szCs w:val="24"/>
        </w:rPr>
        <w:t>客户服务质量，大幅提升客户需求响应速度，</w:t>
      </w:r>
      <w:r w:rsidR="00CE31EF">
        <w:rPr>
          <w:rFonts w:ascii="Times New Roman" w:eastAsia="楷体" w:hAnsi="Times New Roman" w:hint="eastAsia"/>
          <w:color w:val="5B9BD5" w:themeColor="accent1"/>
          <w:sz w:val="24"/>
          <w:szCs w:val="24"/>
        </w:rPr>
        <w:t>驱动</w:t>
      </w:r>
      <w:r w:rsidR="00BB5182">
        <w:rPr>
          <w:rFonts w:ascii="Times New Roman" w:eastAsia="楷体" w:hAnsi="Times New Roman" w:hint="eastAsia"/>
          <w:color w:val="5B9BD5" w:themeColor="accent1"/>
          <w:sz w:val="24"/>
          <w:szCs w:val="24"/>
        </w:rPr>
        <w:t>公司</w:t>
      </w:r>
      <w:r w:rsidRPr="00995CEF">
        <w:rPr>
          <w:rFonts w:ascii="Times New Roman" w:eastAsia="楷体" w:hAnsi="Times New Roman" w:hint="eastAsia"/>
          <w:color w:val="5B9BD5" w:themeColor="accent1"/>
          <w:sz w:val="24"/>
          <w:szCs w:val="24"/>
        </w:rPr>
        <w:t>中国特种品业务增长</w:t>
      </w:r>
      <w:r w:rsidR="00CE31EF">
        <w:rPr>
          <w:rFonts w:ascii="Times New Roman" w:eastAsia="楷体" w:hAnsi="Times New Roman" w:hint="eastAsia"/>
          <w:color w:val="5B9BD5" w:themeColor="accent1"/>
          <w:sz w:val="24"/>
          <w:szCs w:val="24"/>
        </w:rPr>
        <w:t>和中国区一体化战略落地。</w:t>
      </w:r>
    </w:p>
    <w:p w14:paraId="0113DE4A" w14:textId="2C9F7DB4" w:rsidR="005405E7" w:rsidRDefault="00995CEF" w:rsidP="007C4F6A">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995CEF">
        <w:rPr>
          <w:rFonts w:ascii="Times New Roman" w:eastAsia="楷体" w:hAnsi="Times New Roman" w:hint="eastAsia"/>
          <w:color w:val="5B9BD5" w:themeColor="accent1"/>
          <w:sz w:val="24"/>
          <w:szCs w:val="24"/>
        </w:rPr>
        <w:t>展望</w:t>
      </w:r>
      <w:r w:rsidRPr="00995CEF">
        <w:rPr>
          <w:rFonts w:ascii="Times New Roman" w:eastAsia="楷体" w:hAnsi="Times New Roman" w:hint="eastAsia"/>
          <w:color w:val="5B9BD5" w:themeColor="accent1"/>
          <w:sz w:val="24"/>
          <w:szCs w:val="24"/>
        </w:rPr>
        <w:t>202</w:t>
      </w:r>
      <w:r w:rsidR="00452EF1">
        <w:rPr>
          <w:rFonts w:ascii="Times New Roman" w:eastAsia="楷体" w:hAnsi="Times New Roman" w:hint="eastAsia"/>
          <w:color w:val="5B9BD5" w:themeColor="accent1"/>
          <w:sz w:val="24"/>
          <w:szCs w:val="24"/>
        </w:rPr>
        <w:t>7</w:t>
      </w:r>
      <w:r w:rsidR="00452EF1">
        <w:rPr>
          <w:rFonts w:ascii="Times New Roman" w:eastAsia="楷体" w:hAnsi="Times New Roman" w:hint="eastAsia"/>
          <w:color w:val="5B9BD5" w:themeColor="accent1"/>
          <w:sz w:val="24"/>
          <w:szCs w:val="24"/>
        </w:rPr>
        <w:t>年</w:t>
      </w:r>
      <w:r w:rsidRPr="00995CEF">
        <w:rPr>
          <w:rFonts w:ascii="Times New Roman" w:eastAsia="楷体" w:hAnsi="Times New Roman" w:hint="eastAsia"/>
          <w:color w:val="5B9BD5" w:themeColor="accent1"/>
          <w:sz w:val="24"/>
          <w:szCs w:val="24"/>
        </w:rPr>
        <w:t>，</w:t>
      </w:r>
      <w:r w:rsidR="00D95BA9" w:rsidRPr="00D95BA9">
        <w:rPr>
          <w:rFonts w:ascii="Times New Roman" w:eastAsia="楷体" w:hAnsi="Times New Roman" w:hint="eastAsia"/>
          <w:color w:val="5B9BD5" w:themeColor="accent1"/>
          <w:sz w:val="24"/>
          <w:szCs w:val="24"/>
        </w:rPr>
        <w:t>公司将持续密切关注市场环境的动态变化，</w:t>
      </w:r>
      <w:r w:rsidR="00465440" w:rsidRPr="00465440">
        <w:rPr>
          <w:rFonts w:ascii="Times New Roman" w:eastAsia="楷体" w:hAnsi="Times New Roman"/>
          <w:color w:val="5B9BD5" w:themeColor="accent1"/>
          <w:sz w:val="24"/>
          <w:szCs w:val="24"/>
        </w:rPr>
        <w:t>凭借深厚的动物营养行业经验、全球化布局及研发创新实力，精准捕捉特种品市场机遇，</w:t>
      </w:r>
      <w:r w:rsidR="002F0603" w:rsidRPr="002F0603">
        <w:rPr>
          <w:rFonts w:ascii="Times New Roman" w:eastAsia="楷体" w:hAnsi="Times New Roman"/>
          <w:color w:val="5B9BD5" w:themeColor="accent1"/>
          <w:sz w:val="24"/>
          <w:szCs w:val="24"/>
        </w:rPr>
        <w:t>全力推动特种品业务实现高质量的有机增长。</w:t>
      </w:r>
    </w:p>
    <w:p w14:paraId="5890231A" w14:textId="77777777" w:rsidR="002F0603" w:rsidRDefault="002F0603" w:rsidP="002F0603">
      <w:pPr>
        <w:pStyle w:val="a8"/>
        <w:spacing w:line="278" w:lineRule="auto"/>
        <w:ind w:left="800" w:firstLineChars="0" w:firstLine="0"/>
        <w:contextualSpacing/>
        <w:rPr>
          <w:rFonts w:ascii="Times New Roman" w:eastAsia="楷体" w:hAnsi="Times New Roman"/>
          <w:color w:val="5B9BD5" w:themeColor="accent1"/>
          <w:sz w:val="24"/>
          <w:szCs w:val="24"/>
        </w:rPr>
      </w:pPr>
    </w:p>
    <w:p w14:paraId="3769E1DD" w14:textId="5B0D23DA" w:rsidR="00E374BB" w:rsidRPr="003002A2" w:rsidRDefault="00D2526C"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公司</w:t>
      </w:r>
      <w:r w:rsidRPr="003002A2">
        <w:rPr>
          <w:rFonts w:ascii="Times New Roman" w:eastAsia="楷体" w:hAnsi="Times New Roman"/>
          <w:sz w:val="24"/>
          <w:szCs w:val="24"/>
        </w:rPr>
        <w:t>2026</w:t>
      </w:r>
      <w:r w:rsidRPr="003002A2">
        <w:rPr>
          <w:rFonts w:ascii="Times New Roman" w:eastAsia="楷体" w:hAnsi="Times New Roman"/>
          <w:sz w:val="24"/>
          <w:szCs w:val="24"/>
        </w:rPr>
        <w:t>年原预计日常关联交易</w:t>
      </w:r>
      <w:r w:rsidRPr="003002A2">
        <w:rPr>
          <w:rFonts w:ascii="Times New Roman" w:eastAsia="楷体" w:hAnsi="Times New Roman"/>
          <w:sz w:val="24"/>
          <w:szCs w:val="24"/>
        </w:rPr>
        <w:t>6.15</w:t>
      </w:r>
      <w:r w:rsidRPr="003002A2">
        <w:rPr>
          <w:rFonts w:ascii="Times New Roman" w:eastAsia="楷体" w:hAnsi="Times New Roman"/>
          <w:sz w:val="24"/>
          <w:szCs w:val="24"/>
        </w:rPr>
        <w:t>亿元，</w:t>
      </w:r>
      <w:r w:rsidRPr="003002A2">
        <w:rPr>
          <w:rFonts w:ascii="Times New Roman" w:eastAsia="楷体" w:hAnsi="Times New Roman"/>
          <w:sz w:val="24"/>
          <w:szCs w:val="24"/>
        </w:rPr>
        <w:t>1</w:t>
      </w:r>
      <w:r w:rsidRPr="003002A2">
        <w:rPr>
          <w:rFonts w:ascii="Times New Roman" w:eastAsia="楷体" w:hAnsi="Times New Roman" w:hint="eastAsia"/>
          <w:sz w:val="24"/>
          <w:szCs w:val="24"/>
        </w:rPr>
        <w:t>-</w:t>
      </w:r>
      <w:r w:rsidRPr="003002A2">
        <w:rPr>
          <w:rFonts w:ascii="Times New Roman" w:eastAsia="楷体" w:hAnsi="Times New Roman"/>
          <w:sz w:val="24"/>
          <w:szCs w:val="24"/>
        </w:rPr>
        <w:t>7</w:t>
      </w:r>
      <w:r w:rsidRPr="003002A2">
        <w:rPr>
          <w:rFonts w:ascii="Times New Roman" w:eastAsia="楷体" w:hAnsi="Times New Roman"/>
          <w:sz w:val="24"/>
          <w:szCs w:val="24"/>
        </w:rPr>
        <w:t>月已发生约</w:t>
      </w:r>
      <w:r w:rsidRPr="003002A2">
        <w:rPr>
          <w:rFonts w:ascii="Times New Roman" w:eastAsia="楷体" w:hAnsi="Times New Roman"/>
          <w:sz w:val="24"/>
          <w:szCs w:val="24"/>
        </w:rPr>
        <w:t>4.57</w:t>
      </w:r>
      <w:r w:rsidRPr="003002A2">
        <w:rPr>
          <w:rFonts w:ascii="Times New Roman" w:eastAsia="楷体" w:hAnsi="Times New Roman"/>
          <w:sz w:val="24"/>
          <w:szCs w:val="24"/>
        </w:rPr>
        <w:t>亿元，随后又拟增加额度；泉州项目还将与中化泉州石化签署框架协议。请</w:t>
      </w:r>
      <w:r w:rsidRPr="003002A2">
        <w:rPr>
          <w:rFonts w:ascii="Times New Roman" w:eastAsia="楷体" w:hAnsi="Times New Roman" w:hint="eastAsia"/>
          <w:sz w:val="24"/>
          <w:szCs w:val="24"/>
        </w:rPr>
        <w:t>说明</w:t>
      </w:r>
      <w:r w:rsidRPr="003002A2">
        <w:rPr>
          <w:rFonts w:ascii="Times New Roman" w:eastAsia="楷体" w:hAnsi="Times New Roman"/>
          <w:sz w:val="24"/>
          <w:szCs w:val="24"/>
        </w:rPr>
        <w:t>主要原材料关联采购价格与同期第三方报价的比较、定价调整机制，以及关联协同给泉州项目吨成本带来的具体节约金额。</w:t>
      </w:r>
    </w:p>
    <w:p w14:paraId="102D4A27" w14:textId="11165765" w:rsidR="000D0398" w:rsidRDefault="000D0398" w:rsidP="00F10B49">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0D0398">
        <w:rPr>
          <w:rFonts w:ascii="Times New Roman" w:eastAsia="楷体" w:hAnsi="Times New Roman"/>
          <w:color w:val="5B9BD5" w:themeColor="accent1"/>
          <w:sz w:val="24"/>
          <w:szCs w:val="24"/>
        </w:rPr>
        <w:t>公司</w:t>
      </w:r>
      <w:r w:rsidRPr="000D0398">
        <w:rPr>
          <w:rFonts w:ascii="Times New Roman" w:eastAsia="楷体" w:hAnsi="Times New Roman"/>
          <w:color w:val="5B9BD5" w:themeColor="accent1"/>
          <w:sz w:val="24"/>
          <w:szCs w:val="24"/>
        </w:rPr>
        <w:t>2026</w:t>
      </w:r>
      <w:r w:rsidRPr="000D0398">
        <w:rPr>
          <w:rFonts w:ascii="Times New Roman" w:eastAsia="楷体" w:hAnsi="Times New Roman"/>
          <w:color w:val="5B9BD5" w:themeColor="accent1"/>
          <w:sz w:val="24"/>
          <w:szCs w:val="24"/>
        </w:rPr>
        <w:t>年原定日常关联交易额度为</w:t>
      </w:r>
      <w:r w:rsidRPr="000D0398">
        <w:rPr>
          <w:rFonts w:ascii="Times New Roman" w:eastAsia="楷体" w:hAnsi="Times New Roman"/>
          <w:color w:val="5B9BD5" w:themeColor="accent1"/>
          <w:sz w:val="24"/>
          <w:szCs w:val="24"/>
        </w:rPr>
        <w:t>6.15</w:t>
      </w:r>
      <w:r w:rsidRPr="000D0398">
        <w:rPr>
          <w:rFonts w:ascii="Times New Roman" w:eastAsia="楷体" w:hAnsi="Times New Roman"/>
          <w:color w:val="5B9BD5" w:themeColor="accent1"/>
          <w:sz w:val="24"/>
          <w:szCs w:val="24"/>
        </w:rPr>
        <w:t>亿元，</w:t>
      </w:r>
      <w:r w:rsidRPr="000D0398">
        <w:rPr>
          <w:rFonts w:ascii="Times New Roman" w:eastAsia="楷体" w:hAnsi="Times New Roman"/>
          <w:color w:val="5B9BD5" w:themeColor="accent1"/>
          <w:sz w:val="24"/>
          <w:szCs w:val="24"/>
        </w:rPr>
        <w:t>1</w:t>
      </w:r>
      <w:r w:rsidRPr="000D0398">
        <w:rPr>
          <w:rFonts w:ascii="Times New Roman" w:eastAsia="楷体" w:hAnsi="Times New Roman"/>
          <w:color w:val="5B9BD5" w:themeColor="accent1"/>
          <w:sz w:val="24"/>
          <w:szCs w:val="24"/>
        </w:rPr>
        <w:t>至</w:t>
      </w:r>
      <w:r w:rsidRPr="000D0398">
        <w:rPr>
          <w:rFonts w:ascii="Times New Roman" w:eastAsia="楷体" w:hAnsi="Times New Roman"/>
          <w:color w:val="5B9BD5" w:themeColor="accent1"/>
          <w:sz w:val="24"/>
          <w:szCs w:val="24"/>
        </w:rPr>
        <w:t>7</w:t>
      </w:r>
      <w:r w:rsidRPr="000D0398">
        <w:rPr>
          <w:rFonts w:ascii="Times New Roman" w:eastAsia="楷体" w:hAnsi="Times New Roman"/>
          <w:color w:val="5B9BD5" w:themeColor="accent1"/>
          <w:sz w:val="24"/>
          <w:szCs w:val="24"/>
        </w:rPr>
        <w:t>月实际发生额约</w:t>
      </w:r>
      <w:r w:rsidRPr="000D0398">
        <w:rPr>
          <w:rFonts w:ascii="Times New Roman" w:eastAsia="楷体" w:hAnsi="Times New Roman"/>
          <w:color w:val="5B9BD5" w:themeColor="accent1"/>
          <w:sz w:val="24"/>
          <w:szCs w:val="24"/>
        </w:rPr>
        <w:t>4.57</w:t>
      </w:r>
      <w:r w:rsidRPr="000D0398">
        <w:rPr>
          <w:rFonts w:ascii="Times New Roman" w:eastAsia="楷体" w:hAnsi="Times New Roman"/>
          <w:color w:val="5B9BD5" w:themeColor="accent1"/>
          <w:sz w:val="24"/>
          <w:szCs w:val="24"/>
        </w:rPr>
        <w:t>亿元，整体执行节奏符合预期。基于保障泉州固体蛋氨酸及南京液</w:t>
      </w:r>
      <w:r w:rsidRPr="000D0398">
        <w:rPr>
          <w:rFonts w:ascii="Times New Roman" w:eastAsia="楷体" w:hAnsi="Times New Roman"/>
          <w:color w:val="5B9BD5" w:themeColor="accent1"/>
          <w:sz w:val="24"/>
          <w:szCs w:val="24"/>
        </w:rPr>
        <w:lastRenderedPageBreak/>
        <w:t>体蛋氨酸项目原料稳定供应、应对市场波动实施战略备货的双重考量，公司拟对关联交易额度进行追加。在交易定价方面，公司始终恪守市场化原则，坚持公开、公平、公允及等价有偿，确保总体采购成本优于市场价格。通过规范签署书面合同明确权责，切实维护了公司及全体股东，特别是中小股东的合法权益。特别是泉州工厂，其选址紧邻中化泉州石化，充分释放了集团产业协同效能，保障了园区原材料与能源的低成本、稳定供应。正如股东大会披露，关键原材料采购框架合同的落地，既筑牢了供应稳定性，更从源头确立了成本优势。依托稳固的供应链保障、领先的工艺技术及一体化运营效率，我们坚信，随着泉州工厂的投产，安迪苏固体蛋氨酸的成本竞争力将实现显著跃升。</w:t>
      </w:r>
    </w:p>
    <w:p w14:paraId="66072DB6" w14:textId="77777777" w:rsidR="00F10B49" w:rsidRPr="00537D3B" w:rsidRDefault="00F10B49" w:rsidP="00537D3B">
      <w:pPr>
        <w:pStyle w:val="a8"/>
        <w:spacing w:line="278" w:lineRule="auto"/>
        <w:ind w:left="800" w:firstLineChars="0" w:firstLine="0"/>
        <w:contextualSpacing/>
        <w:rPr>
          <w:rFonts w:ascii="Times New Roman" w:eastAsia="楷体" w:hAnsi="Times New Roman"/>
          <w:color w:val="5B9BD5" w:themeColor="accent1"/>
          <w:sz w:val="24"/>
          <w:szCs w:val="24"/>
        </w:rPr>
      </w:pPr>
    </w:p>
    <w:p w14:paraId="09ED56D8" w14:textId="2B7BC33F" w:rsidR="000D0398" w:rsidRPr="003002A2" w:rsidRDefault="004C5B9C"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上半年归母净利润增长</w:t>
      </w:r>
      <w:r w:rsidRPr="003002A2">
        <w:rPr>
          <w:rFonts w:ascii="Times New Roman" w:eastAsia="楷体" w:hAnsi="Times New Roman"/>
          <w:sz w:val="24"/>
          <w:szCs w:val="24"/>
        </w:rPr>
        <w:t>22.25%</w:t>
      </w:r>
      <w:r w:rsidRPr="003002A2">
        <w:rPr>
          <w:rFonts w:ascii="Times New Roman" w:eastAsia="楷体" w:hAnsi="Times New Roman"/>
          <w:sz w:val="24"/>
          <w:szCs w:val="24"/>
        </w:rPr>
        <w:t>，经营现金流却下降</w:t>
      </w:r>
      <w:r w:rsidRPr="003002A2">
        <w:rPr>
          <w:rFonts w:ascii="Times New Roman" w:eastAsia="楷体" w:hAnsi="Times New Roman"/>
          <w:sz w:val="24"/>
          <w:szCs w:val="24"/>
        </w:rPr>
        <w:t>17.26%</w:t>
      </w:r>
      <w:r w:rsidRPr="003002A2">
        <w:rPr>
          <w:rFonts w:ascii="Times New Roman" w:eastAsia="楷体" w:hAnsi="Times New Roman"/>
          <w:sz w:val="24"/>
          <w:szCs w:val="24"/>
        </w:rPr>
        <w:t>至</w:t>
      </w:r>
      <w:r w:rsidRPr="003002A2">
        <w:rPr>
          <w:rFonts w:ascii="Times New Roman" w:eastAsia="楷体" w:hAnsi="Times New Roman"/>
          <w:sz w:val="24"/>
          <w:szCs w:val="24"/>
        </w:rPr>
        <w:t>12</w:t>
      </w:r>
      <w:r w:rsidRPr="003002A2">
        <w:rPr>
          <w:rFonts w:ascii="Times New Roman" w:eastAsia="楷体" w:hAnsi="Times New Roman"/>
          <w:sz w:val="24"/>
          <w:szCs w:val="24"/>
        </w:rPr>
        <w:t>亿元，其中还包含</w:t>
      </w:r>
      <w:r w:rsidRPr="003002A2">
        <w:rPr>
          <w:rFonts w:ascii="Times New Roman" w:eastAsia="楷体" w:hAnsi="Times New Roman"/>
          <w:sz w:val="24"/>
          <w:szCs w:val="24"/>
        </w:rPr>
        <w:t>3.46</w:t>
      </w:r>
      <w:r w:rsidRPr="003002A2">
        <w:rPr>
          <w:rFonts w:ascii="Times New Roman" w:eastAsia="楷体" w:hAnsi="Times New Roman"/>
          <w:sz w:val="24"/>
          <w:szCs w:val="24"/>
        </w:rPr>
        <w:t>亿元税费返还，而去年同期税费返还仅约</w:t>
      </w:r>
      <w:r w:rsidRPr="003002A2">
        <w:rPr>
          <w:rFonts w:ascii="Times New Roman" w:eastAsia="楷体" w:hAnsi="Times New Roman"/>
          <w:sz w:val="24"/>
          <w:szCs w:val="24"/>
        </w:rPr>
        <w:t>406</w:t>
      </w:r>
      <w:r w:rsidRPr="003002A2">
        <w:rPr>
          <w:rFonts w:ascii="Times New Roman" w:eastAsia="楷体" w:hAnsi="Times New Roman"/>
          <w:sz w:val="24"/>
          <w:szCs w:val="24"/>
        </w:rPr>
        <w:t>万元。按报告数字简单剔除税费返还后，本期经营现金流约</w:t>
      </w:r>
      <w:r w:rsidRPr="003002A2">
        <w:rPr>
          <w:rFonts w:ascii="Times New Roman" w:eastAsia="楷体" w:hAnsi="Times New Roman"/>
          <w:sz w:val="24"/>
          <w:szCs w:val="24"/>
        </w:rPr>
        <w:t>8.54</w:t>
      </w:r>
      <w:r w:rsidRPr="003002A2">
        <w:rPr>
          <w:rFonts w:ascii="Times New Roman" w:eastAsia="楷体" w:hAnsi="Times New Roman"/>
          <w:sz w:val="24"/>
          <w:szCs w:val="24"/>
        </w:rPr>
        <w:t>亿元，同比下降约</w:t>
      </w:r>
      <w:r w:rsidRPr="003002A2">
        <w:rPr>
          <w:rFonts w:ascii="Times New Roman" w:eastAsia="楷体" w:hAnsi="Times New Roman"/>
          <w:sz w:val="24"/>
          <w:szCs w:val="24"/>
        </w:rPr>
        <w:t>41%</w:t>
      </w:r>
      <w:r w:rsidRPr="003002A2">
        <w:rPr>
          <w:rFonts w:ascii="Times New Roman" w:eastAsia="楷体" w:hAnsi="Times New Roman"/>
          <w:sz w:val="24"/>
          <w:szCs w:val="24"/>
        </w:rPr>
        <w:t>。同时应收账款增加</w:t>
      </w:r>
      <w:r w:rsidRPr="003002A2">
        <w:rPr>
          <w:rFonts w:ascii="Times New Roman" w:eastAsia="楷体" w:hAnsi="Times New Roman"/>
          <w:sz w:val="24"/>
          <w:szCs w:val="24"/>
        </w:rPr>
        <w:t>3.58</w:t>
      </w:r>
      <w:r w:rsidRPr="003002A2">
        <w:rPr>
          <w:rFonts w:ascii="Times New Roman" w:eastAsia="楷体" w:hAnsi="Times New Roman"/>
          <w:sz w:val="24"/>
          <w:szCs w:val="24"/>
        </w:rPr>
        <w:t>亿元、存货增加</w:t>
      </w:r>
      <w:r w:rsidRPr="003002A2">
        <w:rPr>
          <w:rFonts w:ascii="Times New Roman" w:eastAsia="楷体" w:hAnsi="Times New Roman"/>
          <w:sz w:val="24"/>
          <w:szCs w:val="24"/>
        </w:rPr>
        <w:t>4.16</w:t>
      </w:r>
      <w:r w:rsidRPr="003002A2">
        <w:rPr>
          <w:rFonts w:ascii="Times New Roman" w:eastAsia="楷体" w:hAnsi="Times New Roman"/>
          <w:sz w:val="24"/>
          <w:szCs w:val="24"/>
        </w:rPr>
        <w:t>亿元。请解释其中价格上涨、销量增长、备货、账期延长和逾期应收分别贡献多少，并给出全年经营现金流或现金转化率目标。</w:t>
      </w:r>
    </w:p>
    <w:p w14:paraId="671BCA89" w14:textId="1043D5F7" w:rsidR="000D0398" w:rsidRDefault="00085E5E" w:rsidP="00E74934">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color w:val="5B9BD5" w:themeColor="accent1"/>
          <w:sz w:val="24"/>
          <w:szCs w:val="24"/>
        </w:rPr>
        <w:t>2026</w:t>
      </w:r>
      <w:r w:rsidRPr="00537D3B">
        <w:rPr>
          <w:rFonts w:ascii="Times New Roman" w:eastAsia="楷体" w:hAnsi="Times New Roman"/>
          <w:color w:val="5B9BD5" w:themeColor="accent1"/>
          <w:sz w:val="24"/>
          <w:szCs w:val="24"/>
        </w:rPr>
        <w:t>年上半年，公司经营现金流与去年同期变化的主要原因源于产品价格与原材料成本的双重上涨，叠加业务规模扩张带来的营运资金绝对额的自然增长。上半年，蛋氨酸业务二季度呈现量价齐升的良好态势，配合特种产品精准的价格优化举措，合力推动归母净利润实现</w:t>
      </w:r>
      <w:r w:rsidRPr="00537D3B">
        <w:rPr>
          <w:rFonts w:ascii="Times New Roman" w:eastAsia="楷体" w:hAnsi="Times New Roman"/>
          <w:color w:val="5B9BD5" w:themeColor="accent1"/>
          <w:sz w:val="24"/>
          <w:szCs w:val="24"/>
        </w:rPr>
        <w:t>22.25%</w:t>
      </w:r>
      <w:r w:rsidRPr="00537D3B">
        <w:rPr>
          <w:rFonts w:ascii="Times New Roman" w:eastAsia="楷体" w:hAnsi="Times New Roman"/>
          <w:color w:val="5B9BD5" w:themeColor="accent1"/>
          <w:sz w:val="24"/>
          <w:szCs w:val="24"/>
        </w:rPr>
        <w:t>的稳健增长。鉴于价格上涨伴随的收入确认与现金回笼存在合理的周期节奏，营收增长的转化需经历资金沉淀过程。公司始终将现金流管理作为核心经营目标之一，下半年将持续优化现金流管理，全力保障经营质量，切实维护股东利益。</w:t>
      </w:r>
    </w:p>
    <w:p w14:paraId="66B9E464" w14:textId="77777777" w:rsidR="00E74934" w:rsidRPr="00537D3B" w:rsidRDefault="00E74934" w:rsidP="00537D3B">
      <w:pPr>
        <w:pStyle w:val="a8"/>
        <w:spacing w:line="278" w:lineRule="auto"/>
        <w:ind w:left="800" w:firstLineChars="0" w:firstLine="0"/>
        <w:contextualSpacing/>
        <w:rPr>
          <w:rFonts w:ascii="Times New Roman" w:eastAsia="楷体" w:hAnsi="Times New Roman"/>
          <w:color w:val="5B9BD5" w:themeColor="accent1"/>
          <w:sz w:val="24"/>
          <w:szCs w:val="24"/>
        </w:rPr>
      </w:pPr>
    </w:p>
    <w:p w14:paraId="27D7954A" w14:textId="6FFA97E8" w:rsidR="00421A46" w:rsidRPr="003002A2" w:rsidRDefault="00752DC3"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公司期末货币资金</w:t>
      </w:r>
      <w:r w:rsidRPr="003002A2">
        <w:rPr>
          <w:rFonts w:ascii="Times New Roman" w:eastAsia="楷体" w:hAnsi="Times New Roman"/>
          <w:sz w:val="24"/>
          <w:szCs w:val="24"/>
        </w:rPr>
        <w:t>44.41</w:t>
      </w:r>
      <w:r w:rsidRPr="003002A2">
        <w:rPr>
          <w:rFonts w:ascii="Times New Roman" w:eastAsia="楷体" w:hAnsi="Times New Roman"/>
          <w:sz w:val="24"/>
          <w:szCs w:val="24"/>
        </w:rPr>
        <w:t>亿元，其中在中化集团财务公司的存款达到</w:t>
      </w:r>
      <w:r w:rsidRPr="003002A2">
        <w:rPr>
          <w:rFonts w:ascii="Times New Roman" w:eastAsia="楷体" w:hAnsi="Times New Roman"/>
          <w:sz w:val="24"/>
          <w:szCs w:val="24"/>
        </w:rPr>
        <w:t>29.61</w:t>
      </w:r>
      <w:r w:rsidRPr="003002A2">
        <w:rPr>
          <w:rFonts w:ascii="Times New Roman" w:eastAsia="楷体" w:hAnsi="Times New Roman"/>
          <w:sz w:val="24"/>
          <w:szCs w:val="24"/>
        </w:rPr>
        <w:t>亿元，接近</w:t>
      </w:r>
      <w:r w:rsidRPr="003002A2">
        <w:rPr>
          <w:rFonts w:ascii="Times New Roman" w:eastAsia="楷体" w:hAnsi="Times New Roman"/>
          <w:sz w:val="24"/>
          <w:szCs w:val="24"/>
        </w:rPr>
        <w:t>30</w:t>
      </w:r>
      <w:r w:rsidRPr="003002A2">
        <w:rPr>
          <w:rFonts w:ascii="Times New Roman" w:eastAsia="楷体" w:hAnsi="Times New Roman"/>
          <w:sz w:val="24"/>
          <w:szCs w:val="24"/>
        </w:rPr>
        <w:t>亿元上限；同时长期借款增至</w:t>
      </w:r>
      <w:r w:rsidRPr="003002A2">
        <w:rPr>
          <w:rFonts w:ascii="Times New Roman" w:eastAsia="楷体" w:hAnsi="Times New Roman"/>
          <w:sz w:val="24"/>
          <w:szCs w:val="24"/>
        </w:rPr>
        <w:t>19.09</w:t>
      </w:r>
      <w:r w:rsidRPr="003002A2">
        <w:rPr>
          <w:rFonts w:ascii="Times New Roman" w:eastAsia="楷体" w:hAnsi="Times New Roman"/>
          <w:sz w:val="24"/>
          <w:szCs w:val="24"/>
        </w:rPr>
        <w:t>亿元，并继续为泉州项目引入低成本债务。请说明财务公司存款中有多少源自本次定增资金，平均收益率是多少，与外部银行同期限产品相比是否具有优势；在现金充裕的情况下继续借款的资本配置逻辑和综合资金成本是什么？</w:t>
      </w:r>
    </w:p>
    <w:p w14:paraId="4A8B44D8" w14:textId="1B0DCEB6" w:rsidR="002A6C1B" w:rsidRPr="00537D3B" w:rsidRDefault="002A6C1B"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公司</w:t>
      </w:r>
      <w:r w:rsidRPr="00537D3B">
        <w:rPr>
          <w:rFonts w:ascii="Times New Roman" w:eastAsia="楷体" w:hAnsi="Times New Roman" w:hint="eastAsia"/>
          <w:color w:val="5B9BD5" w:themeColor="accent1"/>
          <w:sz w:val="24"/>
          <w:szCs w:val="24"/>
        </w:rPr>
        <w:t>2025</w:t>
      </w:r>
      <w:r w:rsidRPr="00537D3B">
        <w:rPr>
          <w:rFonts w:ascii="Times New Roman" w:eastAsia="楷体" w:hAnsi="Times New Roman" w:hint="eastAsia"/>
          <w:color w:val="5B9BD5" w:themeColor="accent1"/>
          <w:sz w:val="24"/>
          <w:szCs w:val="24"/>
        </w:rPr>
        <w:t>年度向特定对象发行</w:t>
      </w:r>
      <w:r w:rsidRPr="00537D3B">
        <w:rPr>
          <w:rFonts w:ascii="Times New Roman" w:eastAsia="楷体" w:hAnsi="Times New Roman" w:hint="eastAsia"/>
          <w:color w:val="5B9BD5" w:themeColor="accent1"/>
          <w:sz w:val="24"/>
          <w:szCs w:val="24"/>
        </w:rPr>
        <w:t>A</w:t>
      </w:r>
      <w:r w:rsidRPr="00537D3B">
        <w:rPr>
          <w:rFonts w:ascii="Times New Roman" w:eastAsia="楷体" w:hAnsi="Times New Roman" w:hint="eastAsia"/>
          <w:color w:val="5B9BD5" w:themeColor="accent1"/>
          <w:sz w:val="24"/>
          <w:szCs w:val="24"/>
        </w:rPr>
        <w:t>股股票，募集资金总额近</w:t>
      </w:r>
      <w:r w:rsidRPr="00537D3B">
        <w:rPr>
          <w:rFonts w:ascii="Times New Roman" w:eastAsia="楷体" w:hAnsi="Times New Roman" w:hint="eastAsia"/>
          <w:color w:val="5B9BD5" w:themeColor="accent1"/>
          <w:sz w:val="24"/>
          <w:szCs w:val="24"/>
        </w:rPr>
        <w:t>30</w:t>
      </w:r>
      <w:r w:rsidRPr="00537D3B">
        <w:rPr>
          <w:rFonts w:ascii="Times New Roman" w:eastAsia="楷体" w:hAnsi="Times New Roman" w:hint="eastAsia"/>
          <w:color w:val="5B9BD5" w:themeColor="accent1"/>
          <w:sz w:val="24"/>
          <w:szCs w:val="24"/>
        </w:rPr>
        <w:t>亿元，于</w:t>
      </w:r>
      <w:r w:rsidRPr="00537D3B">
        <w:rPr>
          <w:rFonts w:ascii="Times New Roman" w:eastAsia="楷体" w:hAnsi="Times New Roman" w:hint="eastAsia"/>
          <w:color w:val="5B9BD5" w:themeColor="accent1"/>
          <w:sz w:val="24"/>
          <w:szCs w:val="24"/>
        </w:rPr>
        <w:t>2025</w:t>
      </w:r>
      <w:r w:rsidRPr="00537D3B">
        <w:rPr>
          <w:rFonts w:ascii="Times New Roman" w:eastAsia="楷体" w:hAnsi="Times New Roman" w:hint="eastAsia"/>
          <w:color w:val="5B9BD5" w:themeColor="accent1"/>
          <w:sz w:val="24"/>
          <w:szCs w:val="24"/>
        </w:rPr>
        <w:t>年</w:t>
      </w:r>
      <w:r w:rsidRPr="00537D3B">
        <w:rPr>
          <w:rFonts w:ascii="Times New Roman" w:eastAsia="楷体" w:hAnsi="Times New Roman" w:hint="eastAsia"/>
          <w:color w:val="5B9BD5" w:themeColor="accent1"/>
          <w:sz w:val="24"/>
          <w:szCs w:val="24"/>
        </w:rPr>
        <w:t>12</w:t>
      </w:r>
      <w:r w:rsidRPr="00537D3B">
        <w:rPr>
          <w:rFonts w:ascii="Times New Roman" w:eastAsia="楷体" w:hAnsi="Times New Roman" w:hint="eastAsia"/>
          <w:color w:val="5B9BD5" w:themeColor="accent1"/>
          <w:sz w:val="24"/>
          <w:szCs w:val="24"/>
        </w:rPr>
        <w:t>月</w:t>
      </w:r>
      <w:r w:rsidRPr="00537D3B">
        <w:rPr>
          <w:rFonts w:ascii="Times New Roman" w:eastAsia="楷体" w:hAnsi="Times New Roman" w:hint="eastAsia"/>
          <w:color w:val="5B9BD5" w:themeColor="accent1"/>
          <w:sz w:val="24"/>
          <w:szCs w:val="24"/>
        </w:rPr>
        <w:t>11</w:t>
      </w:r>
      <w:r w:rsidRPr="00537D3B">
        <w:rPr>
          <w:rFonts w:ascii="Times New Roman" w:eastAsia="楷体" w:hAnsi="Times New Roman" w:hint="eastAsia"/>
          <w:color w:val="5B9BD5" w:themeColor="accent1"/>
          <w:sz w:val="24"/>
          <w:szCs w:val="24"/>
        </w:rPr>
        <w:t>日足额到账。截至</w:t>
      </w:r>
      <w:r w:rsidRPr="00537D3B">
        <w:rPr>
          <w:rFonts w:ascii="Times New Roman" w:eastAsia="楷体" w:hAnsi="Times New Roman" w:hint="eastAsia"/>
          <w:color w:val="5B9BD5" w:themeColor="accent1"/>
          <w:sz w:val="24"/>
          <w:szCs w:val="24"/>
        </w:rPr>
        <w:t>2026</w:t>
      </w:r>
      <w:r w:rsidRPr="00537D3B">
        <w:rPr>
          <w:rFonts w:ascii="Times New Roman" w:eastAsia="楷体" w:hAnsi="Times New Roman" w:hint="eastAsia"/>
          <w:color w:val="5B9BD5" w:themeColor="accent1"/>
          <w:sz w:val="24"/>
          <w:szCs w:val="24"/>
        </w:rPr>
        <w:t>年</w:t>
      </w:r>
      <w:r w:rsidRPr="00537D3B">
        <w:rPr>
          <w:rFonts w:ascii="Times New Roman" w:eastAsia="楷体" w:hAnsi="Times New Roman" w:hint="eastAsia"/>
          <w:color w:val="5B9BD5" w:themeColor="accent1"/>
          <w:sz w:val="24"/>
          <w:szCs w:val="24"/>
        </w:rPr>
        <w:t>6</w:t>
      </w:r>
      <w:r w:rsidRPr="00537D3B">
        <w:rPr>
          <w:rFonts w:ascii="Times New Roman" w:eastAsia="楷体" w:hAnsi="Times New Roman" w:hint="eastAsia"/>
          <w:color w:val="5B9BD5" w:themeColor="accent1"/>
          <w:sz w:val="24"/>
          <w:szCs w:val="24"/>
        </w:rPr>
        <w:t>月末，本次定增募集资金已累计投入约</w:t>
      </w:r>
      <w:r w:rsidRPr="00537D3B">
        <w:rPr>
          <w:rFonts w:ascii="Times New Roman" w:eastAsia="楷体" w:hAnsi="Times New Roman" w:hint="eastAsia"/>
          <w:color w:val="5B9BD5" w:themeColor="accent1"/>
          <w:sz w:val="24"/>
          <w:szCs w:val="24"/>
        </w:rPr>
        <w:t>29.90</w:t>
      </w:r>
      <w:r w:rsidRPr="00537D3B">
        <w:rPr>
          <w:rFonts w:ascii="Times New Roman" w:eastAsia="楷体" w:hAnsi="Times New Roman" w:hint="eastAsia"/>
          <w:color w:val="5B9BD5" w:themeColor="accent1"/>
          <w:sz w:val="24"/>
          <w:szCs w:val="24"/>
        </w:rPr>
        <w:t>亿元，期末募集资金专户余额仅约</w:t>
      </w:r>
      <w:r w:rsidRPr="00537D3B">
        <w:rPr>
          <w:rFonts w:ascii="Times New Roman" w:eastAsia="楷体" w:hAnsi="Times New Roman" w:hint="eastAsia"/>
          <w:color w:val="5B9BD5" w:themeColor="accent1"/>
          <w:sz w:val="24"/>
          <w:szCs w:val="24"/>
        </w:rPr>
        <w:t>1.75</w:t>
      </w:r>
      <w:r w:rsidRPr="00537D3B">
        <w:rPr>
          <w:rFonts w:ascii="Times New Roman" w:eastAsia="楷体" w:hAnsi="Times New Roman" w:hint="eastAsia"/>
          <w:color w:val="5B9BD5" w:themeColor="accent1"/>
          <w:sz w:val="24"/>
          <w:szCs w:val="24"/>
        </w:rPr>
        <w:t>万元，且已全部完成置换预先投入的自筹资金及支付发行费用，定增资金已高效转化为募投项目的建设投入。</w:t>
      </w:r>
    </w:p>
    <w:p w14:paraId="5BDCDFA5" w14:textId="77777777" w:rsidR="002A6C1B" w:rsidRPr="00537D3B" w:rsidRDefault="002A6C1B"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中化集团财务公司提供的存款服务，定价严格遵循市场化原则，收益率水平与同期外部银行保本型存款产品保持一致或者略高，且具备资金划转高效、账户管理便捷的优势，符合公司资金安全性与收益性的双重要求，具备协同效益。</w:t>
      </w:r>
    </w:p>
    <w:p w14:paraId="437C9A3A" w14:textId="77777777" w:rsidR="002A6C1B" w:rsidRPr="00537D3B" w:rsidRDefault="002A6C1B"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lastRenderedPageBreak/>
        <w:t>公司为泉州项目引入的债务融资，依托项目优质资质与公司良好信用，融资利率显著低于市场平均水平，综合资金成本控制在合理区间。公司坚持“资金安全与成本最优”并重的资本配置策略，当前货币资金充裕与适度债务融资并行，是基于战略发展与财务效率的综合考量。公司充分利用中国低成本融资水平的优势赋能海外业务发展和战略资本开支，对于降低公司整体融资成本有非常明显的贡献。</w:t>
      </w:r>
    </w:p>
    <w:p w14:paraId="0F5F38F5" w14:textId="5A3F40D9" w:rsidR="00E74934" w:rsidRDefault="002A6C1B" w:rsidP="00E74934">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综上，公司的资金运作始终以保障项目落地、优化财务结构、维护股东利益为核心，相关安排符合公司发展战略与监管要求。</w:t>
      </w:r>
    </w:p>
    <w:p w14:paraId="065F0890" w14:textId="77777777" w:rsidR="00481D35" w:rsidRPr="00481D35" w:rsidRDefault="00481D35" w:rsidP="00481D35">
      <w:pPr>
        <w:pStyle w:val="a8"/>
        <w:spacing w:line="278" w:lineRule="auto"/>
        <w:ind w:left="800" w:firstLineChars="0" w:firstLine="0"/>
        <w:contextualSpacing/>
        <w:rPr>
          <w:rFonts w:ascii="Times New Roman" w:eastAsia="楷体" w:hAnsi="Times New Roman"/>
          <w:color w:val="5B9BD5" w:themeColor="accent1"/>
          <w:sz w:val="24"/>
          <w:szCs w:val="24"/>
        </w:rPr>
      </w:pPr>
    </w:p>
    <w:p w14:paraId="2B97857F" w14:textId="7EC62029" w:rsidR="00E74934" w:rsidRPr="003002A2" w:rsidRDefault="00C323F0"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泉州</w:t>
      </w:r>
      <w:r w:rsidRPr="003002A2">
        <w:rPr>
          <w:rFonts w:ascii="Times New Roman" w:eastAsia="楷体" w:hAnsi="Times New Roman"/>
          <w:sz w:val="24"/>
          <w:szCs w:val="24"/>
        </w:rPr>
        <w:t>15</w:t>
      </w:r>
      <w:r w:rsidRPr="003002A2">
        <w:rPr>
          <w:rFonts w:ascii="Times New Roman" w:eastAsia="楷体" w:hAnsi="Times New Roman"/>
          <w:sz w:val="24"/>
          <w:szCs w:val="24"/>
        </w:rPr>
        <w:t>万吨固体蛋氨酸项目预算</w:t>
      </w:r>
      <w:r w:rsidRPr="003002A2">
        <w:rPr>
          <w:rFonts w:ascii="Times New Roman" w:eastAsia="楷体" w:hAnsi="Times New Roman"/>
          <w:sz w:val="24"/>
          <w:szCs w:val="24"/>
        </w:rPr>
        <w:t>48.97</w:t>
      </w:r>
      <w:r w:rsidRPr="003002A2">
        <w:rPr>
          <w:rFonts w:ascii="Times New Roman" w:eastAsia="楷体" w:hAnsi="Times New Roman"/>
          <w:sz w:val="24"/>
          <w:szCs w:val="24"/>
        </w:rPr>
        <w:t>亿元，期末在建工程</w:t>
      </w:r>
      <w:r w:rsidRPr="003002A2">
        <w:rPr>
          <w:rFonts w:ascii="Times New Roman" w:eastAsia="楷体" w:hAnsi="Times New Roman"/>
          <w:sz w:val="24"/>
          <w:szCs w:val="24"/>
        </w:rPr>
        <w:t>30.41</w:t>
      </w:r>
      <w:r w:rsidRPr="003002A2">
        <w:rPr>
          <w:rFonts w:ascii="Times New Roman" w:eastAsia="楷体" w:hAnsi="Times New Roman"/>
          <w:sz w:val="24"/>
          <w:szCs w:val="24"/>
        </w:rPr>
        <w:t>亿元，工程进度</w:t>
      </w:r>
      <w:r w:rsidRPr="003002A2">
        <w:rPr>
          <w:rFonts w:ascii="Times New Roman" w:eastAsia="楷体" w:hAnsi="Times New Roman"/>
          <w:sz w:val="24"/>
          <w:szCs w:val="24"/>
        </w:rPr>
        <w:t>99%</w:t>
      </w:r>
      <w:r w:rsidRPr="003002A2">
        <w:rPr>
          <w:rFonts w:ascii="Times New Roman" w:eastAsia="楷体" w:hAnsi="Times New Roman"/>
          <w:sz w:val="24"/>
          <w:szCs w:val="24"/>
        </w:rPr>
        <w:t>，但累计投入占预算仅</w:t>
      </w:r>
      <w:r w:rsidRPr="003002A2">
        <w:rPr>
          <w:rFonts w:ascii="Times New Roman" w:eastAsia="楷体" w:hAnsi="Times New Roman"/>
          <w:sz w:val="24"/>
          <w:szCs w:val="24"/>
        </w:rPr>
        <w:t>66%</w:t>
      </w:r>
      <w:r w:rsidRPr="003002A2">
        <w:rPr>
          <w:rFonts w:ascii="Times New Roman" w:eastAsia="楷体" w:hAnsi="Times New Roman"/>
          <w:sz w:val="24"/>
          <w:szCs w:val="24"/>
        </w:rPr>
        <w:t>；配套</w:t>
      </w:r>
      <w:r w:rsidRPr="003002A2">
        <w:rPr>
          <w:rFonts w:ascii="Times New Roman" w:eastAsia="楷体" w:hAnsi="Times New Roman"/>
          <w:sz w:val="24"/>
          <w:szCs w:val="24"/>
        </w:rPr>
        <w:t>40</w:t>
      </w:r>
      <w:r w:rsidRPr="003002A2">
        <w:rPr>
          <w:rFonts w:ascii="Times New Roman" w:eastAsia="楷体" w:hAnsi="Times New Roman"/>
          <w:sz w:val="24"/>
          <w:szCs w:val="24"/>
        </w:rPr>
        <w:t>万吨硫酸项目预算</w:t>
      </w:r>
      <w:r w:rsidRPr="003002A2">
        <w:rPr>
          <w:rFonts w:ascii="Times New Roman" w:eastAsia="楷体" w:hAnsi="Times New Roman"/>
          <w:sz w:val="24"/>
          <w:szCs w:val="24"/>
        </w:rPr>
        <w:t>4.75</w:t>
      </w:r>
      <w:r w:rsidRPr="003002A2">
        <w:rPr>
          <w:rFonts w:ascii="Times New Roman" w:eastAsia="楷体" w:hAnsi="Times New Roman"/>
          <w:sz w:val="24"/>
          <w:szCs w:val="24"/>
        </w:rPr>
        <w:t>亿元，工程进度</w:t>
      </w:r>
      <w:r w:rsidRPr="003002A2">
        <w:rPr>
          <w:rFonts w:ascii="Times New Roman" w:eastAsia="楷体" w:hAnsi="Times New Roman"/>
          <w:sz w:val="24"/>
          <w:szCs w:val="24"/>
        </w:rPr>
        <w:t>100%</w:t>
      </w:r>
      <w:r w:rsidRPr="003002A2">
        <w:rPr>
          <w:rFonts w:ascii="Times New Roman" w:eastAsia="楷体" w:hAnsi="Times New Roman"/>
          <w:sz w:val="24"/>
          <w:szCs w:val="24"/>
        </w:rPr>
        <w:t>，投入比例也只有</w:t>
      </w:r>
      <w:r w:rsidRPr="003002A2">
        <w:rPr>
          <w:rFonts w:ascii="Times New Roman" w:eastAsia="楷体" w:hAnsi="Times New Roman"/>
          <w:sz w:val="24"/>
          <w:szCs w:val="24"/>
        </w:rPr>
        <w:t>61%</w:t>
      </w:r>
      <w:r w:rsidRPr="003002A2">
        <w:rPr>
          <w:rFonts w:ascii="Times New Roman" w:eastAsia="楷体" w:hAnsi="Times New Roman"/>
          <w:sz w:val="24"/>
          <w:szCs w:val="24"/>
        </w:rPr>
        <w:t>。请解释工程进度与投资进度差异，尚未支付、尚未结算和未来新增投入分别是多少？项目能否确定于</w:t>
      </w:r>
      <w:r w:rsidRPr="003002A2">
        <w:rPr>
          <w:rFonts w:ascii="Times New Roman" w:eastAsia="楷体" w:hAnsi="Times New Roman"/>
          <w:sz w:val="24"/>
          <w:szCs w:val="24"/>
        </w:rPr>
        <w:t>2027</w:t>
      </w:r>
      <w:r w:rsidRPr="003002A2">
        <w:rPr>
          <w:rFonts w:ascii="Times New Roman" w:eastAsia="楷体" w:hAnsi="Times New Roman"/>
          <w:sz w:val="24"/>
          <w:szCs w:val="24"/>
        </w:rPr>
        <w:t>年</w:t>
      </w:r>
      <w:r w:rsidRPr="003002A2">
        <w:rPr>
          <w:rFonts w:ascii="Times New Roman" w:eastAsia="楷体" w:hAnsi="Times New Roman"/>
          <w:sz w:val="24"/>
          <w:szCs w:val="24"/>
        </w:rPr>
        <w:t>3</w:t>
      </w:r>
      <w:r w:rsidRPr="003002A2">
        <w:rPr>
          <w:rFonts w:ascii="Times New Roman" w:eastAsia="楷体" w:hAnsi="Times New Roman"/>
          <w:sz w:val="24"/>
          <w:szCs w:val="24"/>
        </w:rPr>
        <w:t>月达到预定可使用状态，首次商业销售、盈亏平衡和满产分别预计在何时？</w:t>
      </w:r>
    </w:p>
    <w:p w14:paraId="54970FCD" w14:textId="60D870F7" w:rsidR="007630D6" w:rsidRDefault="00066F85" w:rsidP="00481D35">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color w:val="5B9BD5" w:themeColor="accent1"/>
          <w:sz w:val="24"/>
          <w:szCs w:val="24"/>
        </w:rPr>
        <w:t>福建泉州年产</w:t>
      </w:r>
      <w:r w:rsidRPr="00537D3B">
        <w:rPr>
          <w:rFonts w:ascii="Times New Roman" w:eastAsia="楷体" w:hAnsi="Times New Roman"/>
          <w:color w:val="5B9BD5" w:themeColor="accent1"/>
          <w:sz w:val="24"/>
          <w:szCs w:val="24"/>
        </w:rPr>
        <w:t>15</w:t>
      </w:r>
      <w:r w:rsidRPr="00537D3B">
        <w:rPr>
          <w:rFonts w:ascii="Times New Roman" w:eastAsia="楷体" w:hAnsi="Times New Roman"/>
          <w:color w:val="5B9BD5" w:themeColor="accent1"/>
          <w:sz w:val="24"/>
          <w:szCs w:val="24"/>
        </w:rPr>
        <w:t>万吨固体蛋氨酸工厂以及配套硫酸生产装置项目已基本完成施工建设，主要公用工程预调试已经完成。当前项目正按照既定规划稳步推进，公司有信心按照项目成本及项目计划建成投产，投产后将深度赋能公司蛋氨酸产品矩阵升级，全面夯实海内外产能布局。后续，泉州工厂的产能释放节奏将紧扣市场需求，以尽可能实现整个市场供需之间的动态平衡。</w:t>
      </w:r>
    </w:p>
    <w:p w14:paraId="4AB608CB" w14:textId="77777777" w:rsidR="00481D35" w:rsidRPr="00481D35" w:rsidRDefault="00481D35" w:rsidP="00481D35">
      <w:pPr>
        <w:pStyle w:val="a8"/>
        <w:spacing w:line="278" w:lineRule="auto"/>
        <w:ind w:left="800" w:firstLineChars="0" w:firstLine="0"/>
        <w:contextualSpacing/>
        <w:rPr>
          <w:rFonts w:ascii="Times New Roman" w:eastAsia="楷体" w:hAnsi="Times New Roman"/>
          <w:color w:val="5B9BD5" w:themeColor="accent1"/>
          <w:sz w:val="24"/>
          <w:szCs w:val="24"/>
        </w:rPr>
      </w:pPr>
    </w:p>
    <w:p w14:paraId="7D1C17F6" w14:textId="36CD697B" w:rsidR="007C627C" w:rsidRPr="003002A2" w:rsidRDefault="004E61F3"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公司如何根据自身优势和市场需求来制定和实施这些发展</w:t>
      </w:r>
      <w:proofErr w:type="gramStart"/>
      <w:r w:rsidRPr="003002A2">
        <w:rPr>
          <w:rFonts w:ascii="Times New Roman" w:eastAsia="楷体" w:hAnsi="Times New Roman"/>
          <w:sz w:val="24"/>
          <w:szCs w:val="24"/>
        </w:rPr>
        <w:t>目标</w:t>
      </w:r>
      <w:r w:rsidRPr="003002A2">
        <w:rPr>
          <w:rFonts w:ascii="Times New Roman" w:eastAsia="楷体" w:hAnsi="Times New Roman"/>
          <w:sz w:val="24"/>
          <w:szCs w:val="24"/>
        </w:rPr>
        <w:t>?</w:t>
      </w:r>
      <w:proofErr w:type="gramEnd"/>
    </w:p>
    <w:p w14:paraId="58470093" w14:textId="4709B618" w:rsidR="00B208AE" w:rsidRPr="00537D3B" w:rsidRDefault="00B208AE"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公司紧扣自身核心优势与市场需求，系统推进发展目标落地，核心举措如下：</w:t>
      </w:r>
    </w:p>
    <w:p w14:paraId="36EDEE94" w14:textId="77777777" w:rsidR="00B208AE" w:rsidRPr="00537D3B" w:rsidRDefault="00B208AE"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一是紧扣市场需求，精准布局业务。公司紧密贴合市场趋势，围绕“双支柱”战略精准匹配需求：针对蛋氨酸市场需求强劲、渗透率持续提升的特点，持续扩充产能，推进泉州</w:t>
      </w:r>
      <w:r w:rsidRPr="00537D3B">
        <w:rPr>
          <w:rFonts w:ascii="Times New Roman" w:eastAsia="楷体" w:hAnsi="Times New Roman" w:hint="eastAsia"/>
          <w:color w:val="5B9BD5" w:themeColor="accent1"/>
          <w:sz w:val="24"/>
          <w:szCs w:val="24"/>
        </w:rPr>
        <w:t>15</w:t>
      </w:r>
      <w:r w:rsidRPr="00537D3B">
        <w:rPr>
          <w:rFonts w:ascii="Times New Roman" w:eastAsia="楷体" w:hAnsi="Times New Roman" w:hint="eastAsia"/>
          <w:color w:val="5B9BD5" w:themeColor="accent1"/>
          <w:sz w:val="24"/>
          <w:szCs w:val="24"/>
        </w:rPr>
        <w:t>万吨固体蛋氨酸项目建设，启动南京液体蛋氨酸工厂</w:t>
      </w:r>
      <w:r w:rsidRPr="00537D3B">
        <w:rPr>
          <w:rFonts w:ascii="Times New Roman" w:eastAsia="楷体" w:hAnsi="Times New Roman" w:hint="eastAsia"/>
          <w:color w:val="5B9BD5" w:themeColor="accent1"/>
          <w:sz w:val="24"/>
          <w:szCs w:val="24"/>
        </w:rPr>
        <w:t>3</w:t>
      </w:r>
      <w:r w:rsidRPr="00537D3B">
        <w:rPr>
          <w:rFonts w:ascii="Times New Roman" w:eastAsia="楷体" w:hAnsi="Times New Roman" w:hint="eastAsia"/>
          <w:color w:val="5B9BD5" w:themeColor="accent1"/>
          <w:sz w:val="24"/>
          <w:szCs w:val="24"/>
        </w:rPr>
        <w:t>万吨脱瓶颈扩能，保障产品供应能力；针对特种产品高附加值、高增长的市场需求，加速新品推出，同时布局现场线产品与宠物市场，进一步打开增长空间，确保发展目标与市场需求同频共振。</w:t>
      </w:r>
    </w:p>
    <w:p w14:paraId="60E6822C" w14:textId="77777777" w:rsidR="00B208AE" w:rsidRPr="00537D3B" w:rsidRDefault="00B208AE"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二是强化核心优势，筑牢战略根基。公司立足全球动物营养与健康领域的领导者地位，依托两大核心优势明确发展主线：一方面，作为全球少数同时具备液体与固体蛋氨酸规模化生产能力的企业，在中国和欧洲构建了双生产平台，形成全球化产能布局，可灵活应对地缘政治风险，精准捕捉不同市场机遇；另一方面，凭借在蛋氨酸、反刍蛋氨酸、酶制剂等领域的深厚技术积累，以及覆盖全球</w:t>
      </w:r>
      <w:r w:rsidRPr="00537D3B">
        <w:rPr>
          <w:rFonts w:ascii="Times New Roman" w:eastAsia="楷体" w:hAnsi="Times New Roman" w:hint="eastAsia"/>
          <w:color w:val="5B9BD5" w:themeColor="accent1"/>
          <w:sz w:val="24"/>
          <w:szCs w:val="24"/>
        </w:rPr>
        <w:t>110</w:t>
      </w:r>
      <w:r w:rsidRPr="00537D3B">
        <w:rPr>
          <w:rFonts w:ascii="Times New Roman" w:eastAsia="楷体" w:hAnsi="Times New Roman" w:hint="eastAsia"/>
          <w:color w:val="5B9BD5" w:themeColor="accent1"/>
          <w:sz w:val="24"/>
          <w:szCs w:val="24"/>
        </w:rPr>
        <w:t>多个国家、服务约</w:t>
      </w:r>
      <w:r w:rsidRPr="00537D3B">
        <w:rPr>
          <w:rFonts w:ascii="Times New Roman" w:eastAsia="楷体" w:hAnsi="Times New Roman" w:hint="eastAsia"/>
          <w:color w:val="5B9BD5" w:themeColor="accent1"/>
          <w:sz w:val="24"/>
          <w:szCs w:val="24"/>
        </w:rPr>
        <w:t>4200</w:t>
      </w:r>
      <w:r w:rsidRPr="00537D3B">
        <w:rPr>
          <w:rFonts w:ascii="Times New Roman" w:eastAsia="楷体" w:hAnsi="Times New Roman" w:hint="eastAsia"/>
          <w:color w:val="5B9BD5" w:themeColor="accent1"/>
          <w:sz w:val="24"/>
          <w:szCs w:val="24"/>
        </w:rPr>
        <w:t>名客户的销售网络，筑牢了应对市场波动的核心底气，为发展目标制定提供坚实支撑。</w:t>
      </w:r>
    </w:p>
    <w:p w14:paraId="061CCD18" w14:textId="77777777" w:rsidR="00B208AE" w:rsidRPr="00537D3B" w:rsidRDefault="00B208AE"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三是强化运营与创新，保障目标落地。公司通过精细化运营与持续创新，</w:t>
      </w:r>
      <w:r w:rsidRPr="00537D3B">
        <w:rPr>
          <w:rFonts w:ascii="Times New Roman" w:eastAsia="楷体" w:hAnsi="Times New Roman" w:hint="eastAsia"/>
          <w:color w:val="5B9BD5" w:themeColor="accent1"/>
          <w:sz w:val="24"/>
          <w:szCs w:val="24"/>
        </w:rPr>
        <w:lastRenderedPageBreak/>
        <w:t>为核心目标实现提供保障：一是高效推进运营效率提升计划，重点优化仍有提升空间的工厂和业务，依托中国与欧洲双平台协同，实现全球供应成本优化，上半年蛋氨酸业务实现量价齐升，有效抵消原材料成本上涨压力；二是加大研发投入，法国生物技术中试平台与中国前沿化工中试平台稳步推进，首款创新产品</w:t>
      </w:r>
      <w:proofErr w:type="spellStart"/>
      <w:r w:rsidRPr="00537D3B">
        <w:rPr>
          <w:rFonts w:ascii="Times New Roman" w:eastAsia="楷体" w:hAnsi="Times New Roman" w:hint="eastAsia"/>
          <w:color w:val="5B9BD5" w:themeColor="accent1"/>
          <w:sz w:val="24"/>
          <w:szCs w:val="24"/>
        </w:rPr>
        <w:t>Sanion</w:t>
      </w:r>
      <w:proofErr w:type="spellEnd"/>
      <w:r w:rsidRPr="00537D3B">
        <w:rPr>
          <w:rFonts w:ascii="Times New Roman" w:eastAsia="楷体" w:hAnsi="Times New Roman" w:hint="eastAsia"/>
          <w:color w:val="5B9BD5" w:themeColor="accent1"/>
          <w:sz w:val="24"/>
          <w:szCs w:val="24"/>
        </w:rPr>
        <w:t xml:space="preserve"> Tetra</w:t>
      </w:r>
      <w:r w:rsidRPr="00537D3B">
        <w:rPr>
          <w:rFonts w:ascii="Times New Roman" w:eastAsia="楷体" w:hAnsi="Times New Roman" w:hint="eastAsia"/>
          <w:color w:val="5B9BD5" w:themeColor="accent1"/>
          <w:sz w:val="24"/>
          <w:szCs w:val="24"/>
        </w:rPr>
        <w:t>成功上市，持续夯实技术壁垒，为发展目标的达成注入持续动能。</w:t>
      </w:r>
    </w:p>
    <w:p w14:paraId="72843D82" w14:textId="0C769272" w:rsidR="001800C9" w:rsidRDefault="00B208AE" w:rsidP="00481D35">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后续，公司将始终围绕自身优势与市场需求动态优化发展策略，全力推动各项目标落地，为股东创造长期稳定价值。</w:t>
      </w:r>
    </w:p>
    <w:p w14:paraId="21232B8C" w14:textId="77777777" w:rsidR="00481D35" w:rsidRPr="00481D35" w:rsidRDefault="00481D35" w:rsidP="00481D35">
      <w:pPr>
        <w:pStyle w:val="a8"/>
        <w:spacing w:line="278" w:lineRule="auto"/>
        <w:ind w:left="800" w:firstLineChars="0" w:firstLine="0"/>
        <w:contextualSpacing/>
        <w:rPr>
          <w:rFonts w:ascii="Times New Roman" w:eastAsia="楷体" w:hAnsi="Times New Roman"/>
          <w:color w:val="5B9BD5" w:themeColor="accent1"/>
          <w:sz w:val="24"/>
          <w:szCs w:val="24"/>
        </w:rPr>
      </w:pPr>
    </w:p>
    <w:p w14:paraId="01E04951" w14:textId="0030D94A" w:rsidR="00CF52F9" w:rsidRPr="003002A2" w:rsidRDefault="009270F6"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技术创新和产业升级方面有哪些举措？</w:t>
      </w:r>
    </w:p>
    <w:p w14:paraId="74D0DD17" w14:textId="77777777" w:rsidR="00483BD3" w:rsidRPr="00537D3B" w:rsidRDefault="00483BD3"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公司围绕“双支柱”战略，从技术突破、产能升级、绿色转型多维度发力，核心举措如下：</w:t>
      </w:r>
    </w:p>
    <w:p w14:paraId="0BBEB4D1" w14:textId="77777777" w:rsidR="00483BD3" w:rsidRPr="00537D3B" w:rsidRDefault="00483BD3"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一是强化研发投入，筑牢技术壁垒。研发创新是公司持续增长的根本动力，加速研发创新投入是公司一直以来的发展战略，上半年研发费用达</w:t>
      </w:r>
      <w:r w:rsidRPr="00537D3B">
        <w:rPr>
          <w:rFonts w:ascii="Times New Roman" w:eastAsia="楷体" w:hAnsi="Times New Roman" w:hint="eastAsia"/>
          <w:color w:val="5B9BD5" w:themeColor="accent1"/>
          <w:sz w:val="24"/>
          <w:szCs w:val="24"/>
        </w:rPr>
        <w:t>2.71</w:t>
      </w:r>
      <w:r w:rsidRPr="00537D3B">
        <w:rPr>
          <w:rFonts w:ascii="Times New Roman" w:eastAsia="楷体" w:hAnsi="Times New Roman" w:hint="eastAsia"/>
          <w:color w:val="5B9BD5" w:themeColor="accent1"/>
          <w:sz w:val="24"/>
          <w:szCs w:val="24"/>
        </w:rPr>
        <w:t>亿元，较去年同期有了明显增长。首款创新肠道健康产品</w:t>
      </w:r>
      <w:proofErr w:type="spellStart"/>
      <w:r w:rsidRPr="00537D3B">
        <w:rPr>
          <w:rFonts w:ascii="Times New Roman" w:eastAsia="楷体" w:hAnsi="Times New Roman" w:hint="eastAsia"/>
          <w:color w:val="5B9BD5" w:themeColor="accent1"/>
          <w:sz w:val="24"/>
          <w:szCs w:val="24"/>
        </w:rPr>
        <w:t>Sanion</w:t>
      </w:r>
      <w:proofErr w:type="spellEnd"/>
      <w:r w:rsidRPr="00537D3B">
        <w:rPr>
          <w:rFonts w:ascii="Times New Roman" w:eastAsia="楷体" w:hAnsi="Times New Roman" w:hint="eastAsia"/>
          <w:color w:val="5B9BD5" w:themeColor="accent1"/>
          <w:sz w:val="24"/>
          <w:szCs w:val="24"/>
        </w:rPr>
        <w:t xml:space="preserve"> Tetra</w:t>
      </w:r>
      <w:r w:rsidRPr="00537D3B">
        <w:rPr>
          <w:rFonts w:ascii="Times New Roman" w:eastAsia="楷体" w:hAnsi="Times New Roman" w:hint="eastAsia"/>
          <w:color w:val="5B9BD5" w:themeColor="accent1"/>
          <w:sz w:val="24"/>
          <w:szCs w:val="24"/>
        </w:rPr>
        <w:t>于</w:t>
      </w:r>
      <w:r w:rsidRPr="00537D3B">
        <w:rPr>
          <w:rFonts w:ascii="Times New Roman" w:eastAsia="楷体" w:hAnsi="Times New Roman" w:hint="eastAsia"/>
          <w:color w:val="5B9BD5" w:themeColor="accent1"/>
          <w:sz w:val="24"/>
          <w:szCs w:val="24"/>
        </w:rPr>
        <w:t>2026</w:t>
      </w:r>
      <w:r w:rsidRPr="00537D3B">
        <w:rPr>
          <w:rFonts w:ascii="Times New Roman" w:eastAsia="楷体" w:hAnsi="Times New Roman" w:hint="eastAsia"/>
          <w:color w:val="5B9BD5" w:themeColor="accent1"/>
          <w:sz w:val="24"/>
          <w:szCs w:val="24"/>
        </w:rPr>
        <w:t>年初上市，下半年计划在反刍动物及饲料酶领域推出系列新品；法国生物技术中试平台与中国前沿化工中试平台的关键设备采购与基础设计均已完成，为</w:t>
      </w:r>
      <w:r w:rsidRPr="00537D3B">
        <w:rPr>
          <w:rFonts w:ascii="Times New Roman" w:eastAsia="楷体" w:hAnsi="Times New Roman" w:hint="eastAsia"/>
          <w:color w:val="5B9BD5" w:themeColor="accent1"/>
          <w:sz w:val="24"/>
          <w:szCs w:val="24"/>
        </w:rPr>
        <w:t>2026-2030</w:t>
      </w:r>
      <w:r w:rsidRPr="00537D3B">
        <w:rPr>
          <w:rFonts w:ascii="Times New Roman" w:eastAsia="楷体" w:hAnsi="Times New Roman" w:hint="eastAsia"/>
          <w:color w:val="5B9BD5" w:themeColor="accent1"/>
          <w:sz w:val="24"/>
          <w:szCs w:val="24"/>
        </w:rPr>
        <w:t>年科技创新战略顺利达成构建重要产业基础，为高附加值产品持续输出筑牢技术底座。</w:t>
      </w:r>
    </w:p>
    <w:p w14:paraId="2E2B7A56" w14:textId="77777777" w:rsidR="00483BD3" w:rsidRPr="00537D3B" w:rsidRDefault="00483BD3"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二是利用</w:t>
      </w:r>
      <w:r w:rsidRPr="00537D3B">
        <w:rPr>
          <w:rFonts w:ascii="Times New Roman" w:eastAsia="楷体" w:hAnsi="Times New Roman" w:hint="eastAsia"/>
          <w:color w:val="5B9BD5" w:themeColor="accent1"/>
          <w:sz w:val="24"/>
          <w:szCs w:val="24"/>
        </w:rPr>
        <w:t>AI</w:t>
      </w:r>
      <w:r w:rsidRPr="00537D3B">
        <w:rPr>
          <w:rFonts w:ascii="Times New Roman" w:eastAsia="楷体" w:hAnsi="Times New Roman" w:hint="eastAsia"/>
          <w:color w:val="5B9BD5" w:themeColor="accent1"/>
          <w:sz w:val="24"/>
          <w:szCs w:val="24"/>
        </w:rPr>
        <w:t>和数字化持续赋能，实现工艺优化，不断提升竞争力。产能布局按计划稳步推进：福建泉州年产</w:t>
      </w:r>
      <w:r w:rsidRPr="00537D3B">
        <w:rPr>
          <w:rFonts w:ascii="Times New Roman" w:eastAsia="楷体" w:hAnsi="Times New Roman" w:hint="eastAsia"/>
          <w:color w:val="5B9BD5" w:themeColor="accent1"/>
          <w:sz w:val="24"/>
          <w:szCs w:val="24"/>
        </w:rPr>
        <w:t>15</w:t>
      </w:r>
      <w:r w:rsidRPr="00537D3B">
        <w:rPr>
          <w:rFonts w:ascii="Times New Roman" w:eastAsia="楷体" w:hAnsi="Times New Roman" w:hint="eastAsia"/>
          <w:color w:val="5B9BD5" w:themeColor="accent1"/>
          <w:sz w:val="24"/>
          <w:szCs w:val="24"/>
        </w:rPr>
        <w:t>万吨固体蛋氨酸及配套硫酸装置基本完成施工，公用工程预调试全部完成，预计</w:t>
      </w:r>
      <w:r w:rsidRPr="00537D3B">
        <w:rPr>
          <w:rFonts w:ascii="Times New Roman" w:eastAsia="楷体" w:hAnsi="Times New Roman" w:hint="eastAsia"/>
          <w:color w:val="5B9BD5" w:themeColor="accent1"/>
          <w:sz w:val="24"/>
          <w:szCs w:val="24"/>
        </w:rPr>
        <w:t>2027</w:t>
      </w:r>
      <w:r w:rsidRPr="00537D3B">
        <w:rPr>
          <w:rFonts w:ascii="Times New Roman" w:eastAsia="楷体" w:hAnsi="Times New Roman" w:hint="eastAsia"/>
          <w:color w:val="5B9BD5" w:themeColor="accent1"/>
          <w:sz w:val="24"/>
          <w:szCs w:val="24"/>
        </w:rPr>
        <w:t>年上半年投产，将进一步巩固全球蛋氨酸龙头地位；南京液体蛋氨酸工厂</w:t>
      </w:r>
      <w:r w:rsidRPr="00537D3B">
        <w:rPr>
          <w:rFonts w:ascii="Times New Roman" w:eastAsia="楷体" w:hAnsi="Times New Roman" w:hint="eastAsia"/>
          <w:color w:val="5B9BD5" w:themeColor="accent1"/>
          <w:sz w:val="24"/>
          <w:szCs w:val="24"/>
        </w:rPr>
        <w:t>3</w:t>
      </w:r>
      <w:r w:rsidRPr="00537D3B">
        <w:rPr>
          <w:rFonts w:ascii="Times New Roman" w:eastAsia="楷体" w:hAnsi="Times New Roman" w:hint="eastAsia"/>
          <w:color w:val="5B9BD5" w:themeColor="accent1"/>
          <w:sz w:val="24"/>
          <w:szCs w:val="24"/>
        </w:rPr>
        <w:t>万吨脱瓶颈扩能项目正开展设计与施工，投产后将提升核心基地供应能力；中国南京和欧洲西班牙特种品生产厂利用当地产能和研发，及时响应市场需求，以更快的速度推出符合当地市场的新产品，实现特种产品产能和效率持续优化。</w:t>
      </w:r>
    </w:p>
    <w:p w14:paraId="550108DC" w14:textId="77777777" w:rsidR="00483BD3" w:rsidRPr="00537D3B" w:rsidRDefault="00483BD3"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三是践行绿色转型，赋能可持续发展。公司将可持续发展融入核心战略，南京工厂废水回用项目预计</w:t>
      </w:r>
      <w:r w:rsidRPr="00537D3B">
        <w:rPr>
          <w:rFonts w:ascii="Times New Roman" w:eastAsia="楷体" w:hAnsi="Times New Roman" w:hint="eastAsia"/>
          <w:color w:val="5B9BD5" w:themeColor="accent1"/>
          <w:sz w:val="24"/>
          <w:szCs w:val="24"/>
        </w:rPr>
        <w:t>2026</w:t>
      </w:r>
      <w:r w:rsidRPr="00537D3B">
        <w:rPr>
          <w:rFonts w:ascii="Times New Roman" w:eastAsia="楷体" w:hAnsi="Times New Roman" w:hint="eastAsia"/>
          <w:color w:val="5B9BD5" w:themeColor="accent1"/>
          <w:sz w:val="24"/>
          <w:szCs w:val="24"/>
        </w:rPr>
        <w:t>年满负荷运行，可减少天然气消耗与碳排放；同时，通过余热回收提升能源效率。水资源消耗强度较年度计划超额减少</w:t>
      </w:r>
      <w:r w:rsidRPr="00537D3B">
        <w:rPr>
          <w:rFonts w:ascii="Times New Roman" w:eastAsia="楷体" w:hAnsi="Times New Roman" w:hint="eastAsia"/>
          <w:color w:val="5B9BD5" w:themeColor="accent1"/>
          <w:sz w:val="24"/>
          <w:szCs w:val="24"/>
        </w:rPr>
        <w:t>12%</w:t>
      </w:r>
      <w:r w:rsidRPr="00537D3B">
        <w:rPr>
          <w:rFonts w:ascii="Times New Roman" w:eastAsia="楷体" w:hAnsi="Times New Roman" w:hint="eastAsia"/>
          <w:color w:val="5B9BD5" w:themeColor="accent1"/>
          <w:sz w:val="24"/>
          <w:szCs w:val="24"/>
        </w:rPr>
        <w:t>，并已制定</w:t>
      </w:r>
      <w:r w:rsidRPr="00537D3B">
        <w:rPr>
          <w:rFonts w:ascii="Times New Roman" w:eastAsia="楷体" w:hAnsi="Times New Roman" w:hint="eastAsia"/>
          <w:color w:val="5B9BD5" w:themeColor="accent1"/>
          <w:sz w:val="24"/>
          <w:szCs w:val="24"/>
        </w:rPr>
        <w:t>2025-2030</w:t>
      </w:r>
      <w:r w:rsidRPr="00537D3B">
        <w:rPr>
          <w:rFonts w:ascii="Times New Roman" w:eastAsia="楷体" w:hAnsi="Times New Roman" w:hint="eastAsia"/>
          <w:color w:val="5B9BD5" w:themeColor="accent1"/>
          <w:sz w:val="24"/>
          <w:szCs w:val="24"/>
        </w:rPr>
        <w:t>年减排目标，明确到</w:t>
      </w:r>
      <w:r w:rsidRPr="00537D3B">
        <w:rPr>
          <w:rFonts w:ascii="Times New Roman" w:eastAsia="楷体" w:hAnsi="Times New Roman" w:hint="eastAsia"/>
          <w:color w:val="5B9BD5" w:themeColor="accent1"/>
          <w:sz w:val="24"/>
          <w:szCs w:val="24"/>
        </w:rPr>
        <w:t>2030</w:t>
      </w:r>
      <w:r w:rsidRPr="00537D3B">
        <w:rPr>
          <w:rFonts w:ascii="Times New Roman" w:eastAsia="楷体" w:hAnsi="Times New Roman" w:hint="eastAsia"/>
          <w:color w:val="5B9BD5" w:themeColor="accent1"/>
          <w:sz w:val="24"/>
          <w:szCs w:val="24"/>
        </w:rPr>
        <w:t>年范围</w:t>
      </w:r>
      <w:r w:rsidRPr="00537D3B">
        <w:rPr>
          <w:rFonts w:ascii="Times New Roman" w:eastAsia="楷体" w:hAnsi="Times New Roman" w:hint="eastAsia"/>
          <w:color w:val="5B9BD5" w:themeColor="accent1"/>
          <w:sz w:val="24"/>
          <w:szCs w:val="24"/>
        </w:rPr>
        <w:t>1</w:t>
      </w:r>
      <w:r w:rsidRPr="00537D3B">
        <w:rPr>
          <w:rFonts w:ascii="Times New Roman" w:eastAsia="楷体" w:hAnsi="Times New Roman" w:hint="eastAsia"/>
          <w:color w:val="5B9BD5" w:themeColor="accent1"/>
          <w:sz w:val="24"/>
          <w:szCs w:val="24"/>
        </w:rPr>
        <w:t>和范围</w:t>
      </w:r>
      <w:r w:rsidRPr="00537D3B">
        <w:rPr>
          <w:rFonts w:ascii="Times New Roman" w:eastAsia="楷体" w:hAnsi="Times New Roman" w:hint="eastAsia"/>
          <w:color w:val="5B9BD5" w:themeColor="accent1"/>
          <w:sz w:val="24"/>
          <w:szCs w:val="24"/>
        </w:rPr>
        <w:t>2</w:t>
      </w:r>
      <w:r w:rsidRPr="00537D3B">
        <w:rPr>
          <w:rFonts w:ascii="Times New Roman" w:eastAsia="楷体" w:hAnsi="Times New Roman" w:hint="eastAsia"/>
          <w:color w:val="5B9BD5" w:themeColor="accent1"/>
          <w:sz w:val="24"/>
          <w:szCs w:val="24"/>
        </w:rPr>
        <w:t>温室气体排放强度较</w:t>
      </w:r>
      <w:r w:rsidRPr="00537D3B">
        <w:rPr>
          <w:rFonts w:ascii="Times New Roman" w:eastAsia="楷体" w:hAnsi="Times New Roman" w:hint="eastAsia"/>
          <w:color w:val="5B9BD5" w:themeColor="accent1"/>
          <w:sz w:val="24"/>
          <w:szCs w:val="24"/>
        </w:rPr>
        <w:t>2020</w:t>
      </w:r>
      <w:r w:rsidRPr="00537D3B">
        <w:rPr>
          <w:rFonts w:ascii="Times New Roman" w:eastAsia="楷体" w:hAnsi="Times New Roman" w:hint="eastAsia"/>
          <w:color w:val="5B9BD5" w:themeColor="accent1"/>
          <w:sz w:val="24"/>
          <w:szCs w:val="24"/>
        </w:rPr>
        <w:t>年下降</w:t>
      </w:r>
      <w:r w:rsidRPr="00537D3B">
        <w:rPr>
          <w:rFonts w:ascii="Times New Roman" w:eastAsia="楷体" w:hAnsi="Times New Roman" w:hint="eastAsia"/>
          <w:color w:val="5B9BD5" w:themeColor="accent1"/>
          <w:sz w:val="24"/>
          <w:szCs w:val="24"/>
        </w:rPr>
        <w:t>55%</w:t>
      </w:r>
      <w:r w:rsidRPr="00537D3B">
        <w:rPr>
          <w:rFonts w:ascii="Times New Roman" w:eastAsia="楷体" w:hAnsi="Times New Roman" w:hint="eastAsia"/>
          <w:color w:val="5B9BD5" w:themeColor="accent1"/>
          <w:sz w:val="24"/>
          <w:szCs w:val="24"/>
        </w:rPr>
        <w:t>，以绿色转型推动产业升级。</w:t>
      </w:r>
    </w:p>
    <w:p w14:paraId="6EBD6B91" w14:textId="7F8ED170" w:rsidR="009270F6" w:rsidRDefault="00483BD3" w:rsidP="00E74934">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hint="eastAsia"/>
          <w:color w:val="5B9BD5" w:themeColor="accent1"/>
          <w:sz w:val="24"/>
          <w:szCs w:val="24"/>
        </w:rPr>
        <w:t>后续，公司将持续深化创新与产业融合，以技术驱动高质量发展，为股东创造长期价值。</w:t>
      </w:r>
    </w:p>
    <w:p w14:paraId="1EC242E2" w14:textId="77777777" w:rsidR="001800C9" w:rsidRPr="00537D3B" w:rsidRDefault="001800C9" w:rsidP="00537D3B">
      <w:pPr>
        <w:pStyle w:val="a8"/>
        <w:spacing w:line="278" w:lineRule="auto"/>
        <w:ind w:left="800" w:firstLineChars="0" w:firstLine="0"/>
        <w:contextualSpacing/>
        <w:rPr>
          <w:rFonts w:ascii="Times New Roman" w:eastAsia="楷体" w:hAnsi="Times New Roman"/>
          <w:color w:val="5B9BD5" w:themeColor="accent1"/>
          <w:sz w:val="24"/>
          <w:szCs w:val="24"/>
        </w:rPr>
      </w:pPr>
    </w:p>
    <w:p w14:paraId="385E599E" w14:textId="5182A828" w:rsidR="001800C9" w:rsidRPr="003002A2" w:rsidRDefault="001800C9" w:rsidP="003002A2">
      <w:pPr>
        <w:pStyle w:val="a8"/>
        <w:numPr>
          <w:ilvl w:val="3"/>
          <w:numId w:val="1"/>
        </w:numPr>
        <w:ind w:left="434" w:firstLineChars="0"/>
        <w:rPr>
          <w:rFonts w:ascii="Times New Roman" w:eastAsia="楷体" w:hAnsi="Times New Roman"/>
          <w:sz w:val="24"/>
          <w:szCs w:val="24"/>
        </w:rPr>
      </w:pPr>
      <w:r w:rsidRPr="003002A2">
        <w:rPr>
          <w:rFonts w:ascii="Times New Roman" w:eastAsia="楷体" w:hAnsi="Times New Roman"/>
          <w:sz w:val="24"/>
          <w:szCs w:val="24"/>
        </w:rPr>
        <w:t>公司本期整体业绩水平</w:t>
      </w:r>
      <w:proofErr w:type="gramStart"/>
      <w:r w:rsidRPr="003002A2">
        <w:rPr>
          <w:rFonts w:ascii="Times New Roman" w:eastAsia="楷体" w:hAnsi="Times New Roman"/>
          <w:sz w:val="24"/>
          <w:szCs w:val="24"/>
        </w:rPr>
        <w:t>如何</w:t>
      </w:r>
      <w:r w:rsidRPr="003002A2">
        <w:rPr>
          <w:rFonts w:ascii="Times New Roman" w:eastAsia="楷体" w:hAnsi="Times New Roman"/>
          <w:sz w:val="24"/>
          <w:szCs w:val="24"/>
        </w:rPr>
        <w:t>?</w:t>
      </w:r>
      <w:proofErr w:type="gramEnd"/>
    </w:p>
    <w:p w14:paraId="6BE482EC" w14:textId="7A8394D9" w:rsidR="00D73014" w:rsidRPr="00537D3B" w:rsidRDefault="00D73014" w:rsidP="00537D3B">
      <w:pPr>
        <w:pStyle w:val="a8"/>
        <w:numPr>
          <w:ilvl w:val="0"/>
          <w:numId w:val="5"/>
        </w:numPr>
        <w:spacing w:line="278" w:lineRule="auto"/>
        <w:ind w:firstLineChars="0"/>
        <w:contextualSpacing/>
        <w:rPr>
          <w:rFonts w:ascii="Times New Roman" w:eastAsia="楷体" w:hAnsi="Times New Roman"/>
          <w:color w:val="5B9BD5" w:themeColor="accent1"/>
          <w:sz w:val="24"/>
          <w:szCs w:val="24"/>
        </w:rPr>
      </w:pPr>
      <w:r w:rsidRPr="00537D3B">
        <w:rPr>
          <w:rFonts w:ascii="Times New Roman" w:eastAsia="楷体" w:hAnsi="Times New Roman"/>
          <w:color w:val="5B9BD5" w:themeColor="accent1"/>
          <w:sz w:val="24"/>
          <w:szCs w:val="24"/>
        </w:rPr>
        <w:t>2026</w:t>
      </w:r>
      <w:r w:rsidRPr="00537D3B">
        <w:rPr>
          <w:rFonts w:ascii="Times New Roman" w:eastAsia="楷体" w:hAnsi="Times New Roman"/>
          <w:color w:val="5B9BD5" w:themeColor="accent1"/>
          <w:sz w:val="24"/>
          <w:szCs w:val="24"/>
        </w:rPr>
        <w:t>年上半年，安迪苏营业收入实现双位数增长（同比增长</w:t>
      </w:r>
      <w:r w:rsidRPr="00537D3B">
        <w:rPr>
          <w:rFonts w:ascii="Times New Roman" w:eastAsia="楷体" w:hAnsi="Times New Roman"/>
          <w:color w:val="5B9BD5" w:themeColor="accent1"/>
          <w:sz w:val="24"/>
          <w:szCs w:val="24"/>
        </w:rPr>
        <w:t>14%</w:t>
      </w:r>
      <w:r w:rsidRPr="00537D3B">
        <w:rPr>
          <w:rFonts w:ascii="Times New Roman" w:eastAsia="楷体" w:hAnsi="Times New Roman"/>
          <w:color w:val="5B9BD5" w:themeColor="accent1"/>
          <w:sz w:val="24"/>
          <w:szCs w:val="24"/>
        </w:rPr>
        <w:t>）</w:t>
      </w:r>
      <w:r w:rsidRPr="00537D3B">
        <w:rPr>
          <w:rFonts w:ascii="Times New Roman" w:eastAsia="楷体" w:hAnsi="Times New Roman"/>
          <w:color w:val="5B9BD5" w:themeColor="accent1"/>
          <w:sz w:val="24"/>
          <w:szCs w:val="24"/>
        </w:rPr>
        <w:t>/</w:t>
      </w:r>
      <w:r w:rsidRPr="00537D3B">
        <w:rPr>
          <w:rFonts w:ascii="Times New Roman" w:eastAsia="楷体" w:hAnsi="Times New Roman"/>
          <w:color w:val="5B9BD5" w:themeColor="accent1"/>
          <w:sz w:val="24"/>
          <w:szCs w:val="24"/>
        </w:rPr>
        <w:t>第二季度营业收入较第一季度按季环比增长</w:t>
      </w:r>
      <w:r w:rsidRPr="00537D3B">
        <w:rPr>
          <w:rFonts w:ascii="Times New Roman" w:eastAsia="楷体" w:hAnsi="Times New Roman"/>
          <w:color w:val="5B9BD5" w:themeColor="accent1"/>
          <w:sz w:val="24"/>
          <w:szCs w:val="24"/>
        </w:rPr>
        <w:t>20%</w:t>
      </w:r>
      <w:r w:rsidRPr="00537D3B">
        <w:rPr>
          <w:rFonts w:ascii="Times New Roman" w:eastAsia="楷体" w:hAnsi="Times New Roman"/>
          <w:color w:val="5B9BD5" w:themeColor="accent1"/>
          <w:sz w:val="24"/>
          <w:szCs w:val="24"/>
        </w:rPr>
        <w:t>，毛利实现双位数增长</w:t>
      </w:r>
      <w:r w:rsidRPr="00537D3B">
        <w:rPr>
          <w:rFonts w:ascii="Times New Roman" w:eastAsia="楷体" w:hAnsi="Times New Roman"/>
          <w:color w:val="5B9BD5" w:themeColor="accent1"/>
          <w:sz w:val="24"/>
          <w:szCs w:val="24"/>
        </w:rPr>
        <w:lastRenderedPageBreak/>
        <w:t>（同比增长</w:t>
      </w:r>
      <w:r w:rsidRPr="00537D3B">
        <w:rPr>
          <w:rFonts w:ascii="Times New Roman" w:eastAsia="楷体" w:hAnsi="Times New Roman"/>
          <w:color w:val="5B9BD5" w:themeColor="accent1"/>
          <w:sz w:val="24"/>
          <w:szCs w:val="24"/>
        </w:rPr>
        <w:t>14%</w:t>
      </w:r>
      <w:r w:rsidRPr="00537D3B">
        <w:rPr>
          <w:rFonts w:ascii="Times New Roman" w:eastAsia="楷体" w:hAnsi="Times New Roman"/>
          <w:color w:val="5B9BD5" w:themeColor="accent1"/>
          <w:sz w:val="24"/>
          <w:szCs w:val="24"/>
        </w:rPr>
        <w:t>）</w:t>
      </w:r>
      <w:r w:rsidRPr="00537D3B">
        <w:rPr>
          <w:rFonts w:ascii="Times New Roman" w:eastAsia="楷体" w:hAnsi="Times New Roman"/>
          <w:color w:val="5B9BD5" w:themeColor="accent1"/>
          <w:sz w:val="24"/>
          <w:szCs w:val="24"/>
        </w:rPr>
        <w:t>/</w:t>
      </w:r>
      <w:r w:rsidRPr="00537D3B">
        <w:rPr>
          <w:rFonts w:ascii="Times New Roman" w:eastAsia="楷体" w:hAnsi="Times New Roman"/>
          <w:color w:val="5B9BD5" w:themeColor="accent1"/>
          <w:sz w:val="24"/>
          <w:szCs w:val="24"/>
        </w:rPr>
        <w:t>第二季度毛利较第一季度按季环比增长</w:t>
      </w:r>
      <w:r w:rsidRPr="00537D3B">
        <w:rPr>
          <w:rFonts w:ascii="Times New Roman" w:eastAsia="楷体" w:hAnsi="Times New Roman"/>
          <w:color w:val="5B9BD5" w:themeColor="accent1"/>
          <w:sz w:val="24"/>
          <w:szCs w:val="24"/>
        </w:rPr>
        <w:t>48%</w:t>
      </w:r>
      <w:r w:rsidRPr="00537D3B">
        <w:rPr>
          <w:rFonts w:ascii="Times New Roman" w:eastAsia="楷体" w:hAnsi="Times New Roman"/>
          <w:color w:val="5B9BD5" w:themeColor="accent1"/>
          <w:sz w:val="24"/>
          <w:szCs w:val="24"/>
        </w:rPr>
        <w:t>，主要源于：尽管面临供应链中断风险，凭借公司优异的运营管理能力，蛋氨酸业务实现量价齐升，第二季度表现亮眼；特种产品各产品线均实现强劲的业务增长，助力特种业务板块营收（</w:t>
      </w:r>
      <w:r w:rsidRPr="00537D3B">
        <w:rPr>
          <w:rFonts w:ascii="Times New Roman" w:eastAsia="楷体" w:hAnsi="Times New Roman"/>
          <w:color w:val="5B9BD5" w:themeColor="accent1"/>
          <w:sz w:val="24"/>
          <w:szCs w:val="24"/>
        </w:rPr>
        <w:t>+16%</w:t>
      </w:r>
      <w:r w:rsidRPr="00537D3B">
        <w:rPr>
          <w:rFonts w:ascii="Times New Roman" w:eastAsia="楷体" w:hAnsi="Times New Roman"/>
          <w:color w:val="5B9BD5" w:themeColor="accent1"/>
          <w:sz w:val="24"/>
          <w:szCs w:val="24"/>
        </w:rPr>
        <w:t>）与毛利（</w:t>
      </w:r>
      <w:r w:rsidRPr="00537D3B">
        <w:rPr>
          <w:rFonts w:ascii="Times New Roman" w:eastAsia="楷体" w:hAnsi="Times New Roman"/>
          <w:color w:val="5B9BD5" w:themeColor="accent1"/>
          <w:sz w:val="24"/>
          <w:szCs w:val="24"/>
        </w:rPr>
        <w:t>+22%</w:t>
      </w:r>
      <w:r w:rsidRPr="00537D3B">
        <w:rPr>
          <w:rFonts w:ascii="Times New Roman" w:eastAsia="楷体" w:hAnsi="Times New Roman"/>
          <w:color w:val="5B9BD5" w:themeColor="accent1"/>
          <w:sz w:val="24"/>
          <w:szCs w:val="24"/>
        </w:rPr>
        <w:t>）保持双位数同比增长；抵消了原材料成本上涨带来的不利影响。</w:t>
      </w:r>
      <w:r w:rsidRPr="00537D3B">
        <w:rPr>
          <w:rFonts w:ascii="Times New Roman" w:eastAsia="楷体" w:hAnsi="Times New Roman"/>
          <w:color w:val="5B9BD5" w:themeColor="accent1"/>
          <w:sz w:val="24"/>
          <w:szCs w:val="24"/>
        </w:rPr>
        <w:t>2026</w:t>
      </w:r>
      <w:r w:rsidRPr="00537D3B">
        <w:rPr>
          <w:rFonts w:ascii="Times New Roman" w:eastAsia="楷体" w:hAnsi="Times New Roman"/>
          <w:color w:val="5B9BD5" w:themeColor="accent1"/>
          <w:sz w:val="24"/>
          <w:szCs w:val="24"/>
        </w:rPr>
        <w:t>年下半年，尽管市场波动性和不确定性将持续存在，市场需求预计仍保持强劲。安迪苏将充分利用其全球化的运营能力和销售网络以及一流的客户服务，快速响应客户需求，实现盈利水平最大化。</w:t>
      </w:r>
    </w:p>
    <w:p w14:paraId="519BA09C" w14:textId="77777777" w:rsidR="00F1326A" w:rsidRPr="00530441" w:rsidRDefault="00F1326A" w:rsidP="001D76B7">
      <w:pPr>
        <w:spacing w:after="0" w:line="240" w:lineRule="auto"/>
        <w:ind w:right="142"/>
        <w:jc w:val="right"/>
        <w:rPr>
          <w:rFonts w:ascii="Times New Roman" w:eastAsia="楷体" w:hAnsi="Times New Roman" w:cs="Times New Roman"/>
          <w:sz w:val="24"/>
          <w:szCs w:val="24"/>
        </w:rPr>
      </w:pPr>
    </w:p>
    <w:p w14:paraId="3907E348" w14:textId="784EEFC4" w:rsidR="00201137" w:rsidRPr="00530441" w:rsidRDefault="00201137" w:rsidP="00481D35">
      <w:pPr>
        <w:spacing w:after="0" w:line="240" w:lineRule="auto"/>
        <w:ind w:right="5"/>
        <w:jc w:val="right"/>
        <w:rPr>
          <w:rFonts w:ascii="Times New Roman" w:eastAsia="楷体" w:hAnsi="Times New Roman" w:cs="Times New Roman"/>
          <w:sz w:val="24"/>
          <w:szCs w:val="24"/>
        </w:rPr>
      </w:pPr>
      <w:r w:rsidRPr="00530441">
        <w:rPr>
          <w:rFonts w:ascii="Times New Roman" w:eastAsia="楷体" w:hAnsi="Times New Roman" w:cs="Times New Roman"/>
          <w:sz w:val="24"/>
          <w:szCs w:val="24"/>
        </w:rPr>
        <w:t>蓝星安迪苏股份有限公司</w:t>
      </w:r>
    </w:p>
    <w:p w14:paraId="7EA71453" w14:textId="778FEFB9" w:rsidR="003644A9" w:rsidRPr="00530441" w:rsidRDefault="004757EC" w:rsidP="00481D35">
      <w:pPr>
        <w:spacing w:after="0" w:line="240" w:lineRule="auto"/>
        <w:ind w:right="5"/>
        <w:jc w:val="right"/>
        <w:rPr>
          <w:rFonts w:ascii="Times New Roman" w:eastAsia="楷体" w:hAnsi="Times New Roman" w:cs="Times New Roman"/>
          <w:sz w:val="24"/>
          <w:szCs w:val="24"/>
          <w:lang w:val="en-US"/>
        </w:rPr>
      </w:pPr>
      <w:r w:rsidRPr="003002A2">
        <w:rPr>
          <w:rFonts w:ascii="Times New Roman" w:eastAsia="楷体" w:hAnsi="Times New Roman" w:cs="Times New Roman"/>
          <w:sz w:val="24"/>
          <w:szCs w:val="24"/>
          <w:lang w:val="en-US"/>
        </w:rPr>
        <w:t>202</w:t>
      </w:r>
      <w:r w:rsidR="009B1161" w:rsidRPr="003002A2">
        <w:rPr>
          <w:rFonts w:ascii="Times New Roman" w:eastAsia="楷体" w:hAnsi="Times New Roman" w:cs="Times New Roman"/>
          <w:sz w:val="24"/>
          <w:szCs w:val="24"/>
          <w:lang w:val="en-US"/>
        </w:rPr>
        <w:t>6</w:t>
      </w:r>
      <w:r w:rsidRPr="00530441">
        <w:rPr>
          <w:rFonts w:ascii="Times New Roman" w:eastAsia="楷体" w:hAnsi="Times New Roman" w:cs="Times New Roman"/>
          <w:sz w:val="24"/>
          <w:szCs w:val="24"/>
        </w:rPr>
        <w:t>年</w:t>
      </w:r>
      <w:r w:rsidR="007E2AB6" w:rsidRPr="003002A2">
        <w:rPr>
          <w:rFonts w:ascii="Times New Roman" w:eastAsia="楷体" w:hAnsi="Times New Roman" w:cs="Times New Roman" w:hint="eastAsia"/>
          <w:sz w:val="24"/>
          <w:szCs w:val="24"/>
          <w:lang w:val="en-US"/>
        </w:rPr>
        <w:t>9</w:t>
      </w:r>
      <w:r w:rsidRPr="00530441">
        <w:rPr>
          <w:rFonts w:ascii="Times New Roman" w:eastAsia="楷体" w:hAnsi="Times New Roman" w:cs="Times New Roman"/>
          <w:sz w:val="24"/>
          <w:szCs w:val="24"/>
        </w:rPr>
        <w:t>月</w:t>
      </w:r>
      <w:r w:rsidR="00C93F8C">
        <w:rPr>
          <w:rFonts w:ascii="Times New Roman" w:eastAsia="楷体" w:hAnsi="Times New Roman" w:cs="Times New Roman" w:hint="eastAsia"/>
          <w:sz w:val="24"/>
          <w:szCs w:val="24"/>
          <w:lang w:val="en-US"/>
        </w:rPr>
        <w:t>8</w:t>
      </w:r>
      <w:r w:rsidR="00201137" w:rsidRPr="00530441">
        <w:rPr>
          <w:rFonts w:ascii="Times New Roman" w:eastAsia="楷体" w:hAnsi="Times New Roman" w:cs="Times New Roman"/>
          <w:sz w:val="24"/>
          <w:szCs w:val="24"/>
        </w:rPr>
        <w:t>日</w:t>
      </w:r>
      <w:r w:rsidR="003644A9" w:rsidRPr="00530441">
        <w:rPr>
          <w:rFonts w:ascii="Times New Roman" w:eastAsia="楷体" w:hAnsi="Times New Roman" w:cs="Times New Roman"/>
          <w:sz w:val="24"/>
          <w:szCs w:val="24"/>
          <w:lang w:val="en-US"/>
        </w:rPr>
        <w:br w:type="page"/>
      </w:r>
    </w:p>
    <w:p w14:paraId="1364A705" w14:textId="0E877713" w:rsidR="00D84E3B" w:rsidRPr="003002A2" w:rsidRDefault="003644A9" w:rsidP="009B6B19">
      <w:pPr>
        <w:jc w:val="both"/>
        <w:rPr>
          <w:rFonts w:ascii="Times New Roman" w:eastAsia="楷体" w:hAnsi="Times New Roman" w:cs="Times New Roman"/>
          <w:sz w:val="24"/>
          <w:szCs w:val="24"/>
        </w:rPr>
      </w:pPr>
      <w:bookmarkStart w:id="0" w:name="_Hlk150434639"/>
      <w:r w:rsidRPr="00530441">
        <w:rPr>
          <w:rFonts w:ascii="Times New Roman" w:eastAsia="楷体" w:hAnsi="Times New Roman" w:cs="Times New Roman"/>
          <w:sz w:val="24"/>
          <w:szCs w:val="24"/>
        </w:rPr>
        <w:lastRenderedPageBreak/>
        <w:t>附件清单（排名不分先后）：</w:t>
      </w:r>
    </w:p>
    <w:tbl>
      <w:tblPr>
        <w:tblW w:w="4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289"/>
      </w:tblGrid>
      <w:tr w:rsidR="003002A2" w:rsidRPr="007F4176" w14:paraId="2A597BEF" w14:textId="637B6DEF" w:rsidTr="003002A2">
        <w:trPr>
          <w:trHeight w:val="276"/>
        </w:trPr>
        <w:tc>
          <w:tcPr>
            <w:tcW w:w="817" w:type="dxa"/>
            <w:noWrap/>
            <w:vAlign w:val="center"/>
            <w:hideMark/>
          </w:tcPr>
          <w:bookmarkEnd w:id="0"/>
          <w:p w14:paraId="6EBD31E4" w14:textId="5AA7B2AB" w:rsidR="003002A2" w:rsidRPr="007F4176" w:rsidRDefault="003002A2" w:rsidP="003002A2">
            <w:pPr>
              <w:spacing w:after="0" w:line="240" w:lineRule="auto"/>
              <w:jc w:val="center"/>
              <w:rPr>
                <w:rFonts w:ascii="Times New Roman" w:eastAsia="楷体" w:hAnsi="Times New Roman" w:cs="Times New Roman"/>
                <w:sz w:val="24"/>
                <w:szCs w:val="24"/>
                <w:lang w:val="en-US"/>
              </w:rPr>
            </w:pPr>
            <w:r w:rsidRPr="007F4176">
              <w:rPr>
                <w:rFonts w:ascii="Times New Roman" w:eastAsia="楷体" w:hAnsi="Times New Roman" w:cs="Times New Roman"/>
                <w:sz w:val="24"/>
                <w:szCs w:val="24"/>
                <w:lang w:val="en-US"/>
              </w:rPr>
              <w:t>序号</w:t>
            </w:r>
          </w:p>
        </w:tc>
        <w:tc>
          <w:tcPr>
            <w:tcW w:w="3289" w:type="dxa"/>
            <w:noWrap/>
            <w:vAlign w:val="center"/>
            <w:hideMark/>
          </w:tcPr>
          <w:p w14:paraId="6B2FF867" w14:textId="52EE5244" w:rsidR="003002A2" w:rsidRPr="007F4176" w:rsidRDefault="003002A2" w:rsidP="00964972">
            <w:pPr>
              <w:spacing w:after="0" w:line="240" w:lineRule="auto"/>
              <w:rPr>
                <w:rFonts w:ascii="Times New Roman" w:eastAsia="楷体" w:hAnsi="Times New Roman" w:cs="Times New Roman"/>
                <w:color w:val="000000"/>
                <w:sz w:val="24"/>
                <w:szCs w:val="24"/>
                <w:lang w:val="en-US"/>
              </w:rPr>
            </w:pPr>
            <w:r w:rsidRPr="007F4176">
              <w:rPr>
                <w:rFonts w:ascii="Times New Roman" w:eastAsia="楷体" w:hAnsi="Times New Roman" w:cs="Times New Roman"/>
                <w:color w:val="000000"/>
                <w:sz w:val="24"/>
                <w:szCs w:val="24"/>
                <w:lang w:val="en-US"/>
              </w:rPr>
              <w:t>机构名称</w:t>
            </w:r>
          </w:p>
        </w:tc>
      </w:tr>
      <w:tr w:rsidR="003002A2" w:rsidRPr="007F4176" w14:paraId="34E020E5" w14:textId="08D26008" w:rsidTr="003002A2">
        <w:trPr>
          <w:trHeight w:val="276"/>
        </w:trPr>
        <w:tc>
          <w:tcPr>
            <w:tcW w:w="817" w:type="dxa"/>
            <w:noWrap/>
            <w:vAlign w:val="center"/>
          </w:tcPr>
          <w:p w14:paraId="7829BE99" w14:textId="4B5C449E"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sidRPr="007F4176">
              <w:rPr>
                <w:rFonts w:ascii="Times New Roman" w:eastAsia="楷体" w:hAnsi="Times New Roman" w:cs="Times New Roman"/>
                <w:color w:val="000000"/>
                <w:sz w:val="24"/>
                <w:szCs w:val="24"/>
                <w:lang w:val="en-US"/>
              </w:rPr>
              <w:t>1</w:t>
            </w:r>
          </w:p>
        </w:tc>
        <w:tc>
          <w:tcPr>
            <w:tcW w:w="3289" w:type="dxa"/>
            <w:noWrap/>
          </w:tcPr>
          <w:p w14:paraId="7481DBF4" w14:textId="054C116D" w:rsidR="003002A2" w:rsidRPr="007F4176" w:rsidRDefault="003002A2" w:rsidP="007F4176">
            <w:pPr>
              <w:spacing w:after="0" w:line="240" w:lineRule="auto"/>
              <w:jc w:val="both"/>
              <w:rPr>
                <w:rFonts w:ascii="Times New Roman" w:eastAsia="楷体" w:hAnsi="Times New Roman" w:cs="Times New Roman"/>
                <w:color w:val="000000"/>
                <w:sz w:val="24"/>
                <w:szCs w:val="24"/>
                <w:lang w:val="en-US"/>
              </w:rPr>
            </w:pPr>
            <w:r w:rsidRPr="007F4176">
              <w:rPr>
                <w:rFonts w:ascii="Times New Roman" w:eastAsia="楷体" w:hAnsi="Times New Roman" w:cs="Times New Roman"/>
                <w:sz w:val="24"/>
                <w:szCs w:val="24"/>
              </w:rPr>
              <w:t>申万宏源</w:t>
            </w:r>
          </w:p>
        </w:tc>
      </w:tr>
      <w:tr w:rsidR="003002A2" w:rsidRPr="007F4176" w14:paraId="72E9678C" w14:textId="5D48300C" w:rsidTr="003002A2">
        <w:trPr>
          <w:trHeight w:val="276"/>
        </w:trPr>
        <w:tc>
          <w:tcPr>
            <w:tcW w:w="817" w:type="dxa"/>
            <w:noWrap/>
            <w:vAlign w:val="center"/>
          </w:tcPr>
          <w:p w14:paraId="155AB168" w14:textId="2DC1364B"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sidRPr="007F4176">
              <w:rPr>
                <w:rFonts w:ascii="Times New Roman" w:eastAsia="楷体" w:hAnsi="Times New Roman" w:cs="Times New Roman"/>
                <w:color w:val="000000"/>
                <w:sz w:val="24"/>
                <w:szCs w:val="24"/>
                <w:lang w:val="en-US"/>
              </w:rPr>
              <w:t>2</w:t>
            </w:r>
          </w:p>
        </w:tc>
        <w:tc>
          <w:tcPr>
            <w:tcW w:w="3289" w:type="dxa"/>
            <w:noWrap/>
          </w:tcPr>
          <w:p w14:paraId="5354AFCF" w14:textId="2D27076E" w:rsidR="003002A2" w:rsidRPr="007F4176" w:rsidRDefault="003002A2" w:rsidP="007F4176">
            <w:pPr>
              <w:spacing w:after="0" w:line="240" w:lineRule="auto"/>
              <w:jc w:val="both"/>
              <w:rPr>
                <w:rFonts w:ascii="Times New Roman" w:eastAsia="楷体" w:hAnsi="Times New Roman" w:cs="Times New Roman"/>
                <w:color w:val="000000"/>
                <w:sz w:val="24"/>
                <w:szCs w:val="24"/>
                <w:lang w:val="en-US"/>
              </w:rPr>
            </w:pPr>
            <w:r w:rsidRPr="007F4176">
              <w:rPr>
                <w:rFonts w:ascii="Times New Roman" w:eastAsia="楷体" w:hAnsi="Times New Roman" w:cs="Times New Roman"/>
                <w:sz w:val="24"/>
                <w:szCs w:val="24"/>
              </w:rPr>
              <w:t>国信证券</w:t>
            </w:r>
          </w:p>
        </w:tc>
      </w:tr>
      <w:tr w:rsidR="003002A2" w:rsidRPr="007F4176" w14:paraId="3FA5F31B" w14:textId="77777777" w:rsidTr="003002A2">
        <w:trPr>
          <w:trHeight w:val="276"/>
        </w:trPr>
        <w:tc>
          <w:tcPr>
            <w:tcW w:w="817" w:type="dxa"/>
            <w:noWrap/>
            <w:vAlign w:val="center"/>
          </w:tcPr>
          <w:p w14:paraId="7BF400DA" w14:textId="684CAD5E"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sidRPr="007F4176">
              <w:rPr>
                <w:rFonts w:ascii="Times New Roman" w:eastAsia="楷体" w:hAnsi="Times New Roman" w:cs="Times New Roman"/>
                <w:color w:val="000000"/>
                <w:sz w:val="24"/>
                <w:szCs w:val="24"/>
                <w:lang w:val="en-US"/>
              </w:rPr>
              <w:t>3</w:t>
            </w:r>
          </w:p>
        </w:tc>
        <w:tc>
          <w:tcPr>
            <w:tcW w:w="3289" w:type="dxa"/>
            <w:noWrap/>
          </w:tcPr>
          <w:p w14:paraId="5AD19F8F" w14:textId="038A2F12" w:rsidR="003002A2" w:rsidRPr="007F4176" w:rsidRDefault="003002A2" w:rsidP="007F4176">
            <w:pPr>
              <w:spacing w:after="0" w:line="240" w:lineRule="auto"/>
              <w:jc w:val="both"/>
              <w:rPr>
                <w:rFonts w:ascii="Times New Roman" w:eastAsia="楷体" w:hAnsi="Times New Roman" w:cs="Times New Roman"/>
                <w:sz w:val="24"/>
                <w:szCs w:val="24"/>
              </w:rPr>
            </w:pPr>
            <w:r w:rsidRPr="007F4176">
              <w:rPr>
                <w:rFonts w:ascii="Times New Roman" w:eastAsia="楷体" w:hAnsi="Times New Roman" w:cs="Times New Roman"/>
                <w:sz w:val="24"/>
                <w:szCs w:val="24"/>
              </w:rPr>
              <w:t>开源证券</w:t>
            </w:r>
          </w:p>
        </w:tc>
      </w:tr>
      <w:tr w:rsidR="003002A2" w:rsidRPr="007F4176" w14:paraId="09AE348B" w14:textId="0F2C045F" w:rsidTr="003002A2">
        <w:trPr>
          <w:trHeight w:val="276"/>
        </w:trPr>
        <w:tc>
          <w:tcPr>
            <w:tcW w:w="817" w:type="dxa"/>
            <w:noWrap/>
            <w:vAlign w:val="center"/>
          </w:tcPr>
          <w:p w14:paraId="50A65ADB" w14:textId="7F12D23C"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Pr>
                <w:rFonts w:ascii="Times New Roman" w:eastAsia="楷体" w:hAnsi="Times New Roman" w:cs="Times New Roman" w:hint="eastAsia"/>
                <w:color w:val="000000"/>
                <w:sz w:val="24"/>
                <w:szCs w:val="24"/>
                <w:lang w:val="en-US"/>
              </w:rPr>
              <w:t>4</w:t>
            </w:r>
          </w:p>
        </w:tc>
        <w:tc>
          <w:tcPr>
            <w:tcW w:w="3289" w:type="dxa"/>
            <w:noWrap/>
          </w:tcPr>
          <w:p w14:paraId="18F853A9" w14:textId="48C56310" w:rsidR="003002A2" w:rsidRPr="007F4176" w:rsidRDefault="003002A2" w:rsidP="007F4176">
            <w:pPr>
              <w:spacing w:after="0" w:line="240" w:lineRule="auto"/>
              <w:jc w:val="both"/>
              <w:rPr>
                <w:rFonts w:ascii="Times New Roman" w:eastAsia="楷体" w:hAnsi="Times New Roman" w:cs="Times New Roman"/>
                <w:color w:val="000000"/>
                <w:sz w:val="24"/>
                <w:szCs w:val="24"/>
                <w:lang w:val="en-US"/>
              </w:rPr>
            </w:pPr>
            <w:r w:rsidRPr="007F4176">
              <w:rPr>
                <w:rFonts w:ascii="Times New Roman" w:eastAsia="楷体" w:hAnsi="Times New Roman" w:cs="Times New Roman"/>
                <w:sz w:val="24"/>
                <w:szCs w:val="24"/>
              </w:rPr>
              <w:t>东兴证券</w:t>
            </w:r>
          </w:p>
        </w:tc>
      </w:tr>
      <w:tr w:rsidR="003002A2" w:rsidRPr="007F4176" w14:paraId="02BF3B28" w14:textId="58630DCC" w:rsidTr="003002A2">
        <w:trPr>
          <w:trHeight w:val="276"/>
        </w:trPr>
        <w:tc>
          <w:tcPr>
            <w:tcW w:w="817" w:type="dxa"/>
            <w:noWrap/>
            <w:vAlign w:val="center"/>
          </w:tcPr>
          <w:p w14:paraId="7B226A2C" w14:textId="19EDA604"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Pr>
                <w:rFonts w:ascii="Times New Roman" w:eastAsia="楷体" w:hAnsi="Times New Roman" w:cs="Times New Roman" w:hint="eastAsia"/>
                <w:color w:val="000000"/>
                <w:sz w:val="24"/>
                <w:szCs w:val="24"/>
                <w:lang w:val="en-US"/>
              </w:rPr>
              <w:t>5</w:t>
            </w:r>
          </w:p>
        </w:tc>
        <w:tc>
          <w:tcPr>
            <w:tcW w:w="3289" w:type="dxa"/>
            <w:noWrap/>
          </w:tcPr>
          <w:p w14:paraId="7250043B" w14:textId="26F5E622" w:rsidR="003002A2" w:rsidRPr="007F4176" w:rsidRDefault="003002A2" w:rsidP="007F4176">
            <w:pPr>
              <w:spacing w:after="0" w:line="240" w:lineRule="auto"/>
              <w:jc w:val="both"/>
              <w:rPr>
                <w:rFonts w:ascii="Times New Roman" w:eastAsia="楷体" w:hAnsi="Times New Roman" w:cs="Times New Roman"/>
                <w:color w:val="000000"/>
                <w:sz w:val="24"/>
                <w:szCs w:val="24"/>
                <w:lang w:val="en-US"/>
              </w:rPr>
            </w:pPr>
            <w:r w:rsidRPr="007F4176">
              <w:rPr>
                <w:rFonts w:ascii="Times New Roman" w:eastAsia="楷体" w:hAnsi="Times New Roman" w:cs="Times New Roman"/>
                <w:sz w:val="24"/>
                <w:szCs w:val="24"/>
              </w:rPr>
              <w:t>国泰海通证券</w:t>
            </w:r>
          </w:p>
        </w:tc>
      </w:tr>
      <w:tr w:rsidR="003002A2" w:rsidRPr="007F4176" w14:paraId="58A34E66" w14:textId="77777777" w:rsidTr="003002A2">
        <w:trPr>
          <w:trHeight w:val="276"/>
        </w:trPr>
        <w:tc>
          <w:tcPr>
            <w:tcW w:w="817" w:type="dxa"/>
            <w:noWrap/>
            <w:vAlign w:val="center"/>
          </w:tcPr>
          <w:p w14:paraId="31853E27" w14:textId="15F31A47"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Pr>
                <w:rFonts w:ascii="Times New Roman" w:eastAsia="楷体" w:hAnsi="Times New Roman" w:cs="Times New Roman" w:hint="eastAsia"/>
                <w:color w:val="000000"/>
                <w:sz w:val="24"/>
                <w:szCs w:val="24"/>
                <w:lang w:val="en-US"/>
              </w:rPr>
              <w:t>6</w:t>
            </w:r>
          </w:p>
        </w:tc>
        <w:tc>
          <w:tcPr>
            <w:tcW w:w="3289" w:type="dxa"/>
            <w:noWrap/>
          </w:tcPr>
          <w:p w14:paraId="5FAE3AC7" w14:textId="01D64036" w:rsidR="003002A2" w:rsidRPr="007F4176" w:rsidRDefault="003002A2" w:rsidP="007F4176">
            <w:pPr>
              <w:spacing w:after="0" w:line="240" w:lineRule="auto"/>
              <w:jc w:val="both"/>
              <w:rPr>
                <w:rFonts w:ascii="Times New Roman" w:eastAsia="楷体" w:hAnsi="Times New Roman" w:cs="Times New Roman"/>
                <w:sz w:val="24"/>
                <w:szCs w:val="24"/>
              </w:rPr>
            </w:pPr>
            <w:r w:rsidRPr="007F4176">
              <w:rPr>
                <w:rFonts w:ascii="Times New Roman" w:eastAsia="楷体" w:hAnsi="Times New Roman" w:cs="Times New Roman"/>
                <w:sz w:val="24"/>
                <w:szCs w:val="24"/>
              </w:rPr>
              <w:t>华安证券</w:t>
            </w:r>
          </w:p>
        </w:tc>
      </w:tr>
      <w:tr w:rsidR="003002A2" w:rsidRPr="007F4176" w14:paraId="30B4B009" w14:textId="77777777" w:rsidTr="003002A2">
        <w:trPr>
          <w:trHeight w:val="276"/>
        </w:trPr>
        <w:tc>
          <w:tcPr>
            <w:tcW w:w="817" w:type="dxa"/>
            <w:noWrap/>
            <w:vAlign w:val="center"/>
          </w:tcPr>
          <w:p w14:paraId="645A61E2" w14:textId="2638DC3C"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Pr>
                <w:rFonts w:ascii="Times New Roman" w:eastAsia="楷体" w:hAnsi="Times New Roman" w:cs="Times New Roman" w:hint="eastAsia"/>
                <w:color w:val="000000"/>
                <w:sz w:val="24"/>
                <w:szCs w:val="24"/>
                <w:lang w:val="en-US"/>
              </w:rPr>
              <w:t>7</w:t>
            </w:r>
          </w:p>
        </w:tc>
        <w:tc>
          <w:tcPr>
            <w:tcW w:w="3289" w:type="dxa"/>
            <w:noWrap/>
          </w:tcPr>
          <w:p w14:paraId="7A6A11D2" w14:textId="68DB8853" w:rsidR="003002A2" w:rsidRPr="007F4176" w:rsidRDefault="003002A2" w:rsidP="007F4176">
            <w:pPr>
              <w:spacing w:after="0" w:line="240" w:lineRule="auto"/>
              <w:jc w:val="both"/>
              <w:rPr>
                <w:rFonts w:ascii="Times New Roman" w:eastAsia="楷体" w:hAnsi="Times New Roman" w:cs="Times New Roman"/>
                <w:sz w:val="24"/>
                <w:szCs w:val="24"/>
              </w:rPr>
            </w:pPr>
            <w:r w:rsidRPr="007F4176">
              <w:rPr>
                <w:rFonts w:ascii="Times New Roman" w:eastAsia="楷体" w:hAnsi="Times New Roman" w:cs="Times New Roman"/>
                <w:sz w:val="24"/>
                <w:szCs w:val="24"/>
              </w:rPr>
              <w:t>中泰证券</w:t>
            </w:r>
          </w:p>
        </w:tc>
      </w:tr>
      <w:tr w:rsidR="003002A2" w:rsidRPr="007F4176" w14:paraId="181DB565" w14:textId="77777777" w:rsidTr="003002A2">
        <w:trPr>
          <w:trHeight w:val="276"/>
        </w:trPr>
        <w:tc>
          <w:tcPr>
            <w:tcW w:w="817" w:type="dxa"/>
            <w:noWrap/>
            <w:vAlign w:val="center"/>
          </w:tcPr>
          <w:p w14:paraId="745990A1" w14:textId="2BDCC98E"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Pr>
                <w:rFonts w:ascii="Times New Roman" w:eastAsia="楷体" w:hAnsi="Times New Roman" w:cs="Times New Roman" w:hint="eastAsia"/>
                <w:color w:val="000000"/>
                <w:sz w:val="24"/>
                <w:szCs w:val="24"/>
                <w:lang w:val="en-US"/>
              </w:rPr>
              <w:t>8</w:t>
            </w:r>
          </w:p>
        </w:tc>
        <w:tc>
          <w:tcPr>
            <w:tcW w:w="3289" w:type="dxa"/>
            <w:noWrap/>
          </w:tcPr>
          <w:p w14:paraId="2B0E54D2" w14:textId="74503B00" w:rsidR="003002A2" w:rsidRPr="007F4176" w:rsidRDefault="003002A2" w:rsidP="007F4176">
            <w:pPr>
              <w:spacing w:after="0" w:line="240" w:lineRule="auto"/>
              <w:jc w:val="both"/>
              <w:rPr>
                <w:rFonts w:ascii="Times New Roman" w:eastAsia="楷体" w:hAnsi="Times New Roman" w:cs="Times New Roman"/>
                <w:sz w:val="24"/>
                <w:szCs w:val="24"/>
              </w:rPr>
            </w:pPr>
            <w:r w:rsidRPr="007F4176">
              <w:rPr>
                <w:rFonts w:ascii="Times New Roman" w:eastAsia="楷体" w:hAnsi="Times New Roman" w:cs="Times New Roman"/>
                <w:sz w:val="24"/>
                <w:szCs w:val="24"/>
              </w:rPr>
              <w:t>西部证券</w:t>
            </w:r>
          </w:p>
        </w:tc>
      </w:tr>
      <w:tr w:rsidR="003002A2" w:rsidRPr="007F4176" w14:paraId="60822C4F" w14:textId="77777777" w:rsidTr="003002A2">
        <w:trPr>
          <w:trHeight w:val="276"/>
        </w:trPr>
        <w:tc>
          <w:tcPr>
            <w:tcW w:w="817" w:type="dxa"/>
            <w:noWrap/>
            <w:vAlign w:val="center"/>
          </w:tcPr>
          <w:p w14:paraId="5E3762FB" w14:textId="47169EB3" w:rsidR="003002A2" w:rsidRDefault="003002A2" w:rsidP="007F4176">
            <w:pPr>
              <w:spacing w:after="0" w:line="240" w:lineRule="auto"/>
              <w:jc w:val="center"/>
              <w:rPr>
                <w:rFonts w:ascii="Times New Roman" w:eastAsia="楷体" w:hAnsi="Times New Roman" w:cs="Times New Roman"/>
                <w:color w:val="000000"/>
                <w:sz w:val="24"/>
                <w:szCs w:val="24"/>
                <w:lang w:val="en-US"/>
              </w:rPr>
            </w:pPr>
            <w:r>
              <w:rPr>
                <w:rFonts w:ascii="Times New Roman" w:eastAsia="楷体" w:hAnsi="Times New Roman" w:cs="Times New Roman" w:hint="eastAsia"/>
                <w:color w:val="000000"/>
                <w:sz w:val="24"/>
                <w:szCs w:val="24"/>
                <w:lang w:val="en-US"/>
              </w:rPr>
              <w:t>9</w:t>
            </w:r>
          </w:p>
        </w:tc>
        <w:tc>
          <w:tcPr>
            <w:tcW w:w="3289" w:type="dxa"/>
            <w:noWrap/>
          </w:tcPr>
          <w:p w14:paraId="0DDD21A9" w14:textId="5E4BE770" w:rsidR="003002A2" w:rsidRPr="007F4176" w:rsidRDefault="003002A2" w:rsidP="007F4176">
            <w:pPr>
              <w:spacing w:after="0" w:line="240" w:lineRule="auto"/>
              <w:jc w:val="both"/>
              <w:rPr>
                <w:rFonts w:ascii="Times New Roman" w:eastAsia="楷体" w:hAnsi="Times New Roman" w:cs="Times New Roman"/>
                <w:sz w:val="24"/>
                <w:szCs w:val="24"/>
              </w:rPr>
            </w:pPr>
            <w:r>
              <w:rPr>
                <w:rFonts w:ascii="Times New Roman" w:eastAsia="楷体" w:hAnsi="Times New Roman" w:cs="Times New Roman" w:hint="eastAsia"/>
                <w:sz w:val="24"/>
                <w:szCs w:val="24"/>
              </w:rPr>
              <w:t>国投证券</w:t>
            </w:r>
          </w:p>
        </w:tc>
      </w:tr>
      <w:tr w:rsidR="003002A2" w:rsidRPr="007F4176" w14:paraId="7BE5E569" w14:textId="77777777" w:rsidTr="003002A2">
        <w:trPr>
          <w:trHeight w:val="276"/>
        </w:trPr>
        <w:tc>
          <w:tcPr>
            <w:tcW w:w="817" w:type="dxa"/>
            <w:noWrap/>
            <w:vAlign w:val="center"/>
          </w:tcPr>
          <w:p w14:paraId="62666CB0" w14:textId="78EC2541" w:rsidR="003002A2" w:rsidRPr="007F4176" w:rsidRDefault="003002A2" w:rsidP="007F4176">
            <w:pPr>
              <w:spacing w:after="0" w:line="240" w:lineRule="auto"/>
              <w:jc w:val="center"/>
              <w:rPr>
                <w:rFonts w:ascii="Times New Roman" w:eastAsia="楷体" w:hAnsi="Times New Roman" w:cs="Times New Roman"/>
                <w:color w:val="000000"/>
                <w:sz w:val="24"/>
                <w:szCs w:val="24"/>
                <w:lang w:val="en-US"/>
              </w:rPr>
            </w:pPr>
            <w:r>
              <w:rPr>
                <w:rFonts w:ascii="Times New Roman" w:eastAsia="楷体" w:hAnsi="Times New Roman" w:cs="Times New Roman" w:hint="eastAsia"/>
                <w:color w:val="000000"/>
                <w:sz w:val="24"/>
                <w:szCs w:val="24"/>
                <w:lang w:val="en-US"/>
              </w:rPr>
              <w:t>10</w:t>
            </w:r>
          </w:p>
        </w:tc>
        <w:tc>
          <w:tcPr>
            <w:tcW w:w="3289" w:type="dxa"/>
            <w:noWrap/>
          </w:tcPr>
          <w:p w14:paraId="0E648B82" w14:textId="21EE51DC" w:rsidR="003002A2" w:rsidRPr="007F4176" w:rsidRDefault="003002A2" w:rsidP="007F4176">
            <w:pPr>
              <w:spacing w:after="0" w:line="240" w:lineRule="auto"/>
              <w:jc w:val="both"/>
              <w:rPr>
                <w:rFonts w:ascii="Times New Roman" w:eastAsia="楷体" w:hAnsi="Times New Roman" w:cs="Times New Roman"/>
                <w:sz w:val="24"/>
                <w:szCs w:val="24"/>
              </w:rPr>
            </w:pPr>
            <w:r w:rsidRPr="007F4176">
              <w:rPr>
                <w:rFonts w:ascii="Times New Roman" w:eastAsia="楷体" w:hAnsi="Times New Roman" w:cs="Times New Roman"/>
                <w:sz w:val="24"/>
                <w:szCs w:val="24"/>
              </w:rPr>
              <w:t>碧云资本</w:t>
            </w:r>
          </w:p>
        </w:tc>
      </w:tr>
      <w:tr w:rsidR="003002A2" w:rsidRPr="007F4176" w14:paraId="4EB4E1C1" w14:textId="77777777" w:rsidTr="003002A2">
        <w:trPr>
          <w:trHeight w:val="276"/>
        </w:trPr>
        <w:tc>
          <w:tcPr>
            <w:tcW w:w="817" w:type="dxa"/>
            <w:noWrap/>
            <w:vAlign w:val="center"/>
          </w:tcPr>
          <w:p w14:paraId="0C74E4BA" w14:textId="165E180A" w:rsidR="003002A2" w:rsidRPr="007F4176" w:rsidRDefault="003002A2" w:rsidP="00D01AE5">
            <w:pPr>
              <w:spacing w:after="0" w:line="240" w:lineRule="auto"/>
              <w:jc w:val="center"/>
              <w:rPr>
                <w:rFonts w:ascii="Times New Roman" w:eastAsia="楷体" w:hAnsi="Times New Roman" w:cs="Times New Roman"/>
                <w:color w:val="000000"/>
                <w:sz w:val="24"/>
                <w:szCs w:val="24"/>
                <w:lang w:val="en-US"/>
              </w:rPr>
            </w:pPr>
            <w:r w:rsidRPr="007F4176">
              <w:rPr>
                <w:rFonts w:ascii="Times New Roman" w:eastAsia="楷体" w:hAnsi="Times New Roman" w:cs="Times New Roman"/>
                <w:color w:val="000000"/>
                <w:sz w:val="24"/>
                <w:szCs w:val="24"/>
                <w:lang w:val="en-US"/>
              </w:rPr>
              <w:t>1</w:t>
            </w:r>
            <w:r>
              <w:rPr>
                <w:rFonts w:ascii="Times New Roman" w:eastAsia="楷体" w:hAnsi="Times New Roman" w:cs="Times New Roman" w:hint="eastAsia"/>
                <w:color w:val="000000"/>
                <w:sz w:val="24"/>
                <w:szCs w:val="24"/>
                <w:lang w:val="en-US"/>
              </w:rPr>
              <w:t>1</w:t>
            </w:r>
          </w:p>
        </w:tc>
        <w:tc>
          <w:tcPr>
            <w:tcW w:w="3289" w:type="dxa"/>
            <w:noWrap/>
          </w:tcPr>
          <w:p w14:paraId="7B776159" w14:textId="0C45AD0E" w:rsidR="003002A2" w:rsidRPr="007F4176" w:rsidRDefault="003002A2" w:rsidP="00D01AE5">
            <w:pPr>
              <w:spacing w:after="0" w:line="240" w:lineRule="auto"/>
              <w:jc w:val="both"/>
              <w:rPr>
                <w:rFonts w:ascii="Times New Roman" w:eastAsia="楷体" w:hAnsi="Times New Roman" w:cs="Times New Roman"/>
                <w:sz w:val="24"/>
                <w:szCs w:val="24"/>
              </w:rPr>
            </w:pPr>
            <w:r w:rsidRPr="007F4176">
              <w:rPr>
                <w:rFonts w:ascii="Times New Roman" w:eastAsia="楷体" w:hAnsi="Times New Roman" w:cs="Times New Roman"/>
                <w:color w:val="000000"/>
                <w:sz w:val="24"/>
                <w:szCs w:val="24"/>
              </w:rPr>
              <w:t>高盛</w:t>
            </w:r>
          </w:p>
        </w:tc>
      </w:tr>
      <w:tr w:rsidR="003002A2" w:rsidRPr="007F4176" w14:paraId="561D5E78" w14:textId="254B6F0C" w:rsidTr="003002A2">
        <w:trPr>
          <w:trHeight w:val="276"/>
        </w:trPr>
        <w:tc>
          <w:tcPr>
            <w:tcW w:w="817" w:type="dxa"/>
            <w:noWrap/>
            <w:vAlign w:val="center"/>
          </w:tcPr>
          <w:p w14:paraId="10EB6B64" w14:textId="32CD00FD" w:rsidR="003002A2" w:rsidRPr="007F4176" w:rsidRDefault="003002A2" w:rsidP="00D01AE5">
            <w:pPr>
              <w:spacing w:after="0" w:line="240" w:lineRule="auto"/>
              <w:jc w:val="center"/>
              <w:rPr>
                <w:rFonts w:ascii="Times New Roman" w:eastAsia="楷体" w:hAnsi="Times New Roman" w:cs="Times New Roman"/>
                <w:color w:val="000000"/>
                <w:sz w:val="24"/>
                <w:szCs w:val="24"/>
                <w:lang w:val="en-US"/>
              </w:rPr>
            </w:pPr>
            <w:r w:rsidRPr="007F4176">
              <w:rPr>
                <w:rFonts w:ascii="Times New Roman" w:eastAsia="楷体" w:hAnsi="Times New Roman" w:cs="Times New Roman"/>
                <w:color w:val="000000"/>
                <w:sz w:val="24"/>
                <w:szCs w:val="24"/>
                <w:lang w:val="en-US"/>
              </w:rPr>
              <w:t>1</w:t>
            </w:r>
            <w:r>
              <w:rPr>
                <w:rFonts w:ascii="Times New Roman" w:eastAsia="楷体" w:hAnsi="Times New Roman" w:cs="Times New Roman" w:hint="eastAsia"/>
                <w:color w:val="000000"/>
                <w:sz w:val="24"/>
                <w:szCs w:val="24"/>
                <w:lang w:val="en-US"/>
              </w:rPr>
              <w:t>2</w:t>
            </w:r>
          </w:p>
        </w:tc>
        <w:tc>
          <w:tcPr>
            <w:tcW w:w="3289" w:type="dxa"/>
            <w:noWrap/>
          </w:tcPr>
          <w:p w14:paraId="7F57607C" w14:textId="6904AA4D" w:rsidR="003002A2" w:rsidRPr="007F4176" w:rsidRDefault="001D1E04" w:rsidP="00D01AE5">
            <w:pPr>
              <w:spacing w:after="0" w:line="240" w:lineRule="auto"/>
              <w:jc w:val="both"/>
              <w:rPr>
                <w:rFonts w:ascii="Times New Roman" w:eastAsia="楷体" w:hAnsi="Times New Roman" w:cs="Times New Roman"/>
                <w:color w:val="000000"/>
                <w:sz w:val="24"/>
                <w:szCs w:val="24"/>
              </w:rPr>
            </w:pPr>
            <w:r>
              <w:rPr>
                <w:rFonts w:ascii="Times New Roman" w:eastAsia="楷体" w:hAnsi="Times New Roman" w:cs="Times New Roman" w:hint="eastAsia"/>
                <w:color w:val="000000"/>
                <w:sz w:val="24"/>
                <w:szCs w:val="24"/>
              </w:rPr>
              <w:t>瑞银</w:t>
            </w:r>
          </w:p>
        </w:tc>
      </w:tr>
    </w:tbl>
    <w:p w14:paraId="594C2F92" w14:textId="77777777" w:rsidR="003A6A47" w:rsidRDefault="003A6A47" w:rsidP="00CE7A04">
      <w:pPr>
        <w:rPr>
          <w:rFonts w:ascii="Times New Roman" w:eastAsia="楷体" w:hAnsi="Times New Roman" w:cs="Times New Roman"/>
          <w:sz w:val="24"/>
          <w:szCs w:val="24"/>
          <w:lang w:val="en-US"/>
        </w:rPr>
      </w:pPr>
    </w:p>
    <w:p w14:paraId="1EDB31AF" w14:textId="77777777" w:rsidR="00481D35" w:rsidRPr="00481D35" w:rsidRDefault="00481D35" w:rsidP="00481D35">
      <w:pPr>
        <w:rPr>
          <w:rFonts w:ascii="Times New Roman" w:eastAsia="楷体" w:hAnsi="Times New Roman" w:cs="Times New Roman"/>
          <w:sz w:val="24"/>
          <w:szCs w:val="24"/>
          <w:lang w:val="en-US"/>
        </w:rPr>
      </w:pPr>
    </w:p>
    <w:p w14:paraId="5C84AC6F" w14:textId="77777777" w:rsidR="00481D35" w:rsidRPr="00481D35" w:rsidRDefault="00481D35" w:rsidP="00481D35">
      <w:pPr>
        <w:rPr>
          <w:rFonts w:ascii="Times New Roman" w:eastAsia="楷体" w:hAnsi="Times New Roman" w:cs="Times New Roman"/>
          <w:sz w:val="24"/>
          <w:szCs w:val="24"/>
          <w:lang w:val="en-US"/>
        </w:rPr>
      </w:pPr>
    </w:p>
    <w:p w14:paraId="44772578" w14:textId="77777777" w:rsidR="00481D35" w:rsidRPr="00481D35" w:rsidRDefault="00481D35" w:rsidP="00481D35">
      <w:pPr>
        <w:rPr>
          <w:rFonts w:ascii="Times New Roman" w:eastAsia="楷体" w:hAnsi="Times New Roman" w:cs="Times New Roman"/>
          <w:sz w:val="24"/>
          <w:szCs w:val="24"/>
          <w:lang w:val="en-US"/>
        </w:rPr>
      </w:pPr>
    </w:p>
    <w:p w14:paraId="594ADED6" w14:textId="77777777" w:rsidR="00481D35" w:rsidRPr="00481D35" w:rsidRDefault="00481D35" w:rsidP="00481D35">
      <w:pPr>
        <w:rPr>
          <w:rFonts w:ascii="Times New Roman" w:eastAsia="楷体" w:hAnsi="Times New Roman" w:cs="Times New Roman"/>
          <w:sz w:val="24"/>
          <w:szCs w:val="24"/>
          <w:lang w:val="en-US"/>
        </w:rPr>
      </w:pPr>
    </w:p>
    <w:p w14:paraId="28B1768E" w14:textId="77777777" w:rsidR="00481D35" w:rsidRPr="00481D35" w:rsidRDefault="00481D35" w:rsidP="00481D35">
      <w:pPr>
        <w:rPr>
          <w:rFonts w:ascii="Times New Roman" w:eastAsia="楷体" w:hAnsi="Times New Roman" w:cs="Times New Roman"/>
          <w:sz w:val="24"/>
          <w:szCs w:val="24"/>
          <w:lang w:val="en-US"/>
        </w:rPr>
      </w:pPr>
    </w:p>
    <w:p w14:paraId="543E9B38" w14:textId="77777777" w:rsidR="00481D35" w:rsidRPr="00481D35" w:rsidRDefault="00481D35" w:rsidP="00481D35">
      <w:pPr>
        <w:rPr>
          <w:rFonts w:ascii="Times New Roman" w:eastAsia="楷体" w:hAnsi="Times New Roman" w:cs="Times New Roman"/>
          <w:sz w:val="24"/>
          <w:szCs w:val="24"/>
          <w:lang w:val="en-US"/>
        </w:rPr>
      </w:pPr>
    </w:p>
    <w:p w14:paraId="1EA9B250" w14:textId="77777777" w:rsidR="00481D35" w:rsidRPr="00481D35" w:rsidRDefault="00481D35" w:rsidP="00481D35">
      <w:pPr>
        <w:rPr>
          <w:rFonts w:ascii="Times New Roman" w:eastAsia="楷体" w:hAnsi="Times New Roman" w:cs="Times New Roman"/>
          <w:sz w:val="24"/>
          <w:szCs w:val="24"/>
          <w:lang w:val="en-US"/>
        </w:rPr>
      </w:pPr>
    </w:p>
    <w:p w14:paraId="4A109894" w14:textId="77777777" w:rsidR="00481D35" w:rsidRPr="00481D35" w:rsidRDefault="00481D35" w:rsidP="00481D35">
      <w:pPr>
        <w:rPr>
          <w:rFonts w:ascii="Times New Roman" w:eastAsia="楷体" w:hAnsi="Times New Roman" w:cs="Times New Roman"/>
          <w:sz w:val="24"/>
          <w:szCs w:val="24"/>
          <w:lang w:val="en-US"/>
        </w:rPr>
      </w:pPr>
    </w:p>
    <w:p w14:paraId="0264A383" w14:textId="77777777" w:rsidR="00481D35" w:rsidRPr="00481D35" w:rsidRDefault="00481D35" w:rsidP="00481D35">
      <w:pPr>
        <w:rPr>
          <w:rFonts w:ascii="Times New Roman" w:eastAsia="楷体" w:hAnsi="Times New Roman" w:cs="Times New Roman"/>
          <w:sz w:val="24"/>
          <w:szCs w:val="24"/>
          <w:lang w:val="en-US"/>
        </w:rPr>
      </w:pPr>
    </w:p>
    <w:sectPr w:rsidR="00481D35" w:rsidRPr="00481D35" w:rsidSect="00342066">
      <w:headerReference w:type="default" r:id="rId10"/>
      <w:footerReference w:type="default" r:id="rId11"/>
      <w:pgSz w:w="11906" w:h="16838"/>
      <w:pgMar w:top="1440" w:right="1800" w:bottom="1134" w:left="1800" w:header="851" w:footer="498"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76FA4" w14:textId="77777777" w:rsidR="00ED452B" w:rsidRDefault="00ED452B" w:rsidP="00226B25">
      <w:pPr>
        <w:spacing w:after="0" w:line="240" w:lineRule="auto"/>
      </w:pPr>
      <w:r>
        <w:separator/>
      </w:r>
    </w:p>
  </w:endnote>
  <w:endnote w:type="continuationSeparator" w:id="0">
    <w:p w14:paraId="3624B987" w14:textId="77777777" w:rsidR="00ED452B" w:rsidRDefault="00ED452B" w:rsidP="00226B25">
      <w:pPr>
        <w:spacing w:after="0" w:line="240" w:lineRule="auto"/>
      </w:pPr>
      <w:r>
        <w:continuationSeparator/>
      </w:r>
    </w:p>
  </w:endnote>
  <w:endnote w:type="continuationNotice" w:id="1">
    <w:p w14:paraId="019302F2" w14:textId="77777777" w:rsidR="00ED452B" w:rsidRDefault="00ED45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127490"/>
      <w:docPartObj>
        <w:docPartGallery w:val="Page Numbers (Bottom of Page)"/>
        <w:docPartUnique/>
      </w:docPartObj>
    </w:sdtPr>
    <w:sdtEndPr>
      <w:rPr>
        <w:rFonts w:ascii="Times New Roman" w:hAnsi="Times New Roman" w:cs="Times New Roman"/>
      </w:rPr>
    </w:sdtEndPr>
    <w:sdtContent>
      <w:p w14:paraId="633BE877" w14:textId="278065C0" w:rsidR="00086946" w:rsidRPr="00086946" w:rsidRDefault="00440207">
        <w:pPr>
          <w:pStyle w:val="a6"/>
          <w:jc w:val="center"/>
          <w:rPr>
            <w:rFonts w:ascii="Times New Roman" w:hAnsi="Times New Roman" w:cs="Times New Roman"/>
          </w:rPr>
        </w:pPr>
        <w:r w:rsidRPr="00086946">
          <w:rPr>
            <w:rFonts w:ascii="Times New Roman" w:hAnsi="Times New Roman" w:cs="Times New Roman"/>
          </w:rPr>
          <w:fldChar w:fldCharType="begin"/>
        </w:r>
        <w:r w:rsidR="00086946" w:rsidRPr="00086946">
          <w:rPr>
            <w:rFonts w:ascii="Times New Roman" w:hAnsi="Times New Roman" w:cs="Times New Roman"/>
          </w:rPr>
          <w:instrText>PAGE   \* MERGEFORMAT</w:instrText>
        </w:r>
        <w:r w:rsidRPr="00086946">
          <w:rPr>
            <w:rFonts w:ascii="Times New Roman" w:hAnsi="Times New Roman" w:cs="Times New Roman"/>
          </w:rPr>
          <w:fldChar w:fldCharType="separate"/>
        </w:r>
        <w:r w:rsidR="00BD19A1" w:rsidRPr="00BD19A1">
          <w:rPr>
            <w:rFonts w:ascii="Times New Roman" w:hAnsi="Times New Roman" w:cs="Times New Roman"/>
            <w:noProof/>
            <w:lang w:val="zh-CN"/>
          </w:rPr>
          <w:t>3</w:t>
        </w:r>
        <w:r w:rsidRPr="00086946">
          <w:rPr>
            <w:rFonts w:ascii="Times New Roman" w:hAnsi="Times New Roman" w:cs="Times New Roman"/>
          </w:rPr>
          <w:fldChar w:fldCharType="end"/>
        </w:r>
        <w:r w:rsidR="00050A0B">
          <w:rPr>
            <w:rFonts w:ascii="Times New Roman" w:hAnsi="Times New Roman" w:cs="Times New Roman" w:hint="eastAsia"/>
          </w:rPr>
          <w:t xml:space="preserve"> of </w:t>
        </w:r>
        <w:r w:rsidR="00050A0B">
          <w:rPr>
            <w:rFonts w:ascii="Times New Roman" w:hAnsi="Times New Roman" w:cs="Times New Roman"/>
          </w:rPr>
          <w:fldChar w:fldCharType="begin"/>
        </w:r>
        <w:r w:rsidR="00050A0B">
          <w:rPr>
            <w:rFonts w:ascii="Times New Roman" w:hAnsi="Times New Roman" w:cs="Times New Roman"/>
          </w:rPr>
          <w:instrText xml:space="preserve"> </w:instrText>
        </w:r>
        <w:r w:rsidR="00050A0B">
          <w:rPr>
            <w:rFonts w:ascii="Times New Roman" w:hAnsi="Times New Roman" w:cs="Times New Roman" w:hint="eastAsia"/>
          </w:rPr>
          <w:instrText>NUMPAGES  \* Arabic  \* MERGEFORMAT</w:instrText>
        </w:r>
        <w:r w:rsidR="00050A0B">
          <w:rPr>
            <w:rFonts w:ascii="Times New Roman" w:hAnsi="Times New Roman" w:cs="Times New Roman"/>
          </w:rPr>
          <w:instrText xml:space="preserve"> </w:instrText>
        </w:r>
        <w:r w:rsidR="00050A0B">
          <w:rPr>
            <w:rFonts w:ascii="Times New Roman" w:hAnsi="Times New Roman" w:cs="Times New Roman"/>
          </w:rPr>
          <w:fldChar w:fldCharType="separate"/>
        </w:r>
        <w:r w:rsidR="00050A0B">
          <w:rPr>
            <w:rFonts w:ascii="Times New Roman" w:hAnsi="Times New Roman" w:cs="Times New Roman"/>
            <w:noProof/>
          </w:rPr>
          <w:t>27</w:t>
        </w:r>
        <w:r w:rsidR="00050A0B">
          <w:rPr>
            <w:rFonts w:ascii="Times New Roman" w:hAnsi="Times New Roman" w:cs="Times New Roman"/>
          </w:rPr>
          <w:fldChar w:fldCharType="end"/>
        </w:r>
      </w:p>
    </w:sdtContent>
  </w:sdt>
  <w:p w14:paraId="0C520190" w14:textId="77777777" w:rsidR="00086946" w:rsidRDefault="0008694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2194B" w14:textId="77777777" w:rsidR="00ED452B" w:rsidRDefault="00ED452B" w:rsidP="00226B25">
      <w:pPr>
        <w:spacing w:after="0" w:line="240" w:lineRule="auto"/>
      </w:pPr>
      <w:r>
        <w:separator/>
      </w:r>
    </w:p>
  </w:footnote>
  <w:footnote w:type="continuationSeparator" w:id="0">
    <w:p w14:paraId="425F9A3D" w14:textId="77777777" w:rsidR="00ED452B" w:rsidRDefault="00ED452B" w:rsidP="00226B25">
      <w:pPr>
        <w:spacing w:after="0" w:line="240" w:lineRule="auto"/>
      </w:pPr>
      <w:r>
        <w:continuationSeparator/>
      </w:r>
    </w:p>
  </w:footnote>
  <w:footnote w:type="continuationNotice" w:id="1">
    <w:p w14:paraId="4CD6694D" w14:textId="77777777" w:rsidR="00ED452B" w:rsidRDefault="00ED45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819E" w14:textId="46C2BD38" w:rsidR="00B86FD7" w:rsidRPr="00D44165" w:rsidRDefault="00D44165" w:rsidP="00D44165">
    <w:pPr>
      <w:pStyle w:val="a4"/>
      <w:rPr>
        <w:rFonts w:ascii="Times New Roman" w:eastAsia="楷体" w:hAnsi="Times New Roman" w:cs="Times New Roman"/>
      </w:rPr>
    </w:pPr>
    <w:proofErr w:type="spellStart"/>
    <w:r w:rsidRPr="007B33A0">
      <w:rPr>
        <w:rFonts w:ascii="Times New Roman" w:eastAsia="楷体" w:hAnsi="Times New Roman" w:cs="Times New Roman"/>
      </w:rPr>
      <w:t>Bluestar</w:t>
    </w:r>
    <w:proofErr w:type="spellEnd"/>
    <w:r w:rsidRPr="007B33A0">
      <w:rPr>
        <w:rFonts w:ascii="Times New Roman" w:eastAsia="楷体" w:hAnsi="Times New Roman" w:cs="Times New Roman"/>
      </w:rPr>
      <w:t xml:space="preserve"> Adisseo Company</w:t>
    </w:r>
    <w:r>
      <w:rPr>
        <w:rFonts w:ascii="Times New Roman" w:eastAsia="楷体" w:hAnsi="Times New Roman" w:cs="Times New Roman" w:hint="eastAsia"/>
      </w:rPr>
      <w:t xml:space="preserve"> </w:t>
    </w:r>
    <w:r w:rsidR="00521F0B" w:rsidRPr="009870C8">
      <w:rPr>
        <w:rFonts w:ascii="楷体" w:eastAsia="楷体" w:hAnsi="楷体" w:hint="eastAsia"/>
      </w:rPr>
      <w:t>蓝星安迪苏</w:t>
    </w:r>
    <w:r w:rsidR="00521F0B" w:rsidRPr="009870C8">
      <w:rPr>
        <w:rFonts w:ascii="楷体" w:eastAsia="楷体" w:hAnsi="楷体"/>
      </w:rPr>
      <w:t>股份有限公司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A0C1D"/>
    <w:multiLevelType w:val="multilevel"/>
    <w:tmpl w:val="5C1C2CE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楷体"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F019B"/>
    <w:multiLevelType w:val="hybridMultilevel"/>
    <w:tmpl w:val="A11C3F46"/>
    <w:lvl w:ilvl="0" w:tplc="040C0001">
      <w:start w:val="1"/>
      <w:numFmt w:val="bullet"/>
      <w:lvlText w:val=""/>
      <w:lvlJc w:val="left"/>
      <w:pPr>
        <w:ind w:left="1520" w:hanging="360"/>
      </w:pPr>
      <w:rPr>
        <w:rFonts w:ascii="Symbol" w:hAnsi="Symbol" w:hint="default"/>
      </w:rPr>
    </w:lvl>
    <w:lvl w:ilvl="1" w:tplc="040C0003" w:tentative="1">
      <w:start w:val="1"/>
      <w:numFmt w:val="bullet"/>
      <w:lvlText w:val="o"/>
      <w:lvlJc w:val="left"/>
      <w:pPr>
        <w:ind w:left="2240" w:hanging="360"/>
      </w:pPr>
      <w:rPr>
        <w:rFonts w:ascii="Courier New" w:hAnsi="Courier New" w:cs="Courier New" w:hint="default"/>
      </w:rPr>
    </w:lvl>
    <w:lvl w:ilvl="2" w:tplc="040C0005" w:tentative="1">
      <w:start w:val="1"/>
      <w:numFmt w:val="bullet"/>
      <w:lvlText w:val=""/>
      <w:lvlJc w:val="left"/>
      <w:pPr>
        <w:ind w:left="2960" w:hanging="360"/>
      </w:pPr>
      <w:rPr>
        <w:rFonts w:ascii="Wingdings" w:hAnsi="Wingdings" w:hint="default"/>
      </w:rPr>
    </w:lvl>
    <w:lvl w:ilvl="3" w:tplc="040C0001" w:tentative="1">
      <w:start w:val="1"/>
      <w:numFmt w:val="bullet"/>
      <w:lvlText w:val=""/>
      <w:lvlJc w:val="left"/>
      <w:pPr>
        <w:ind w:left="3680" w:hanging="360"/>
      </w:pPr>
      <w:rPr>
        <w:rFonts w:ascii="Symbol" w:hAnsi="Symbol" w:hint="default"/>
      </w:rPr>
    </w:lvl>
    <w:lvl w:ilvl="4" w:tplc="040C0003" w:tentative="1">
      <w:start w:val="1"/>
      <w:numFmt w:val="bullet"/>
      <w:lvlText w:val="o"/>
      <w:lvlJc w:val="left"/>
      <w:pPr>
        <w:ind w:left="4400" w:hanging="360"/>
      </w:pPr>
      <w:rPr>
        <w:rFonts w:ascii="Courier New" w:hAnsi="Courier New" w:cs="Courier New" w:hint="default"/>
      </w:rPr>
    </w:lvl>
    <w:lvl w:ilvl="5" w:tplc="040C0005" w:tentative="1">
      <w:start w:val="1"/>
      <w:numFmt w:val="bullet"/>
      <w:lvlText w:val=""/>
      <w:lvlJc w:val="left"/>
      <w:pPr>
        <w:ind w:left="5120" w:hanging="360"/>
      </w:pPr>
      <w:rPr>
        <w:rFonts w:ascii="Wingdings" w:hAnsi="Wingdings" w:hint="default"/>
      </w:rPr>
    </w:lvl>
    <w:lvl w:ilvl="6" w:tplc="040C0001" w:tentative="1">
      <w:start w:val="1"/>
      <w:numFmt w:val="bullet"/>
      <w:lvlText w:val=""/>
      <w:lvlJc w:val="left"/>
      <w:pPr>
        <w:ind w:left="5840" w:hanging="360"/>
      </w:pPr>
      <w:rPr>
        <w:rFonts w:ascii="Symbol" w:hAnsi="Symbol" w:hint="default"/>
      </w:rPr>
    </w:lvl>
    <w:lvl w:ilvl="7" w:tplc="040C0003" w:tentative="1">
      <w:start w:val="1"/>
      <w:numFmt w:val="bullet"/>
      <w:lvlText w:val="o"/>
      <w:lvlJc w:val="left"/>
      <w:pPr>
        <w:ind w:left="6560" w:hanging="360"/>
      </w:pPr>
      <w:rPr>
        <w:rFonts w:ascii="Courier New" w:hAnsi="Courier New" w:cs="Courier New" w:hint="default"/>
      </w:rPr>
    </w:lvl>
    <w:lvl w:ilvl="8" w:tplc="040C0005" w:tentative="1">
      <w:start w:val="1"/>
      <w:numFmt w:val="bullet"/>
      <w:lvlText w:val=""/>
      <w:lvlJc w:val="left"/>
      <w:pPr>
        <w:ind w:left="7280" w:hanging="360"/>
      </w:pPr>
      <w:rPr>
        <w:rFonts w:ascii="Wingdings" w:hAnsi="Wingdings" w:hint="default"/>
      </w:rPr>
    </w:lvl>
  </w:abstractNum>
  <w:abstractNum w:abstractNumId="2" w15:restartNumberingAfterBreak="0">
    <w:nsid w:val="228D28B8"/>
    <w:multiLevelType w:val="hybridMultilevel"/>
    <w:tmpl w:val="164223E8"/>
    <w:lvl w:ilvl="0" w:tplc="A58A3922">
      <w:numFmt w:val="bullet"/>
      <w:lvlText w:val="•"/>
      <w:lvlJc w:val="left"/>
      <w:pPr>
        <w:ind w:left="4500" w:hanging="440"/>
      </w:pPr>
      <w:rPr>
        <w:rFonts w:ascii="Courier New" w:eastAsia="楷体" w:hAnsi="Courier New" w:cs="Courier New" w:hint="default"/>
      </w:rPr>
    </w:lvl>
    <w:lvl w:ilvl="1" w:tplc="FFFFFFFF">
      <w:start w:val="1"/>
      <w:numFmt w:val="decimal"/>
      <w:lvlText w:val="%2."/>
      <w:lvlJc w:val="left"/>
      <w:pPr>
        <w:ind w:left="4420" w:hanging="360"/>
      </w:pPr>
    </w:lvl>
    <w:lvl w:ilvl="2" w:tplc="FFFFFFFF">
      <w:start w:val="1"/>
      <w:numFmt w:val="bullet"/>
      <w:lvlText w:val=""/>
      <w:lvlJc w:val="left"/>
      <w:pPr>
        <w:ind w:left="5380" w:hanging="440"/>
      </w:pPr>
      <w:rPr>
        <w:rFonts w:ascii="Wingdings" w:hAnsi="Wingdings" w:hint="default"/>
      </w:rPr>
    </w:lvl>
    <w:lvl w:ilvl="3" w:tplc="FFFFFFFF" w:tentative="1">
      <w:start w:val="1"/>
      <w:numFmt w:val="bullet"/>
      <w:lvlText w:val=""/>
      <w:lvlJc w:val="left"/>
      <w:pPr>
        <w:ind w:left="5820" w:hanging="440"/>
      </w:pPr>
      <w:rPr>
        <w:rFonts w:ascii="Wingdings" w:hAnsi="Wingdings" w:hint="default"/>
      </w:rPr>
    </w:lvl>
    <w:lvl w:ilvl="4" w:tplc="FFFFFFFF" w:tentative="1">
      <w:start w:val="1"/>
      <w:numFmt w:val="bullet"/>
      <w:lvlText w:val=""/>
      <w:lvlJc w:val="left"/>
      <w:pPr>
        <w:ind w:left="6260" w:hanging="440"/>
      </w:pPr>
      <w:rPr>
        <w:rFonts w:ascii="Wingdings" w:hAnsi="Wingdings" w:hint="default"/>
      </w:rPr>
    </w:lvl>
    <w:lvl w:ilvl="5" w:tplc="FFFFFFFF" w:tentative="1">
      <w:start w:val="1"/>
      <w:numFmt w:val="bullet"/>
      <w:lvlText w:val=""/>
      <w:lvlJc w:val="left"/>
      <w:pPr>
        <w:ind w:left="6700" w:hanging="440"/>
      </w:pPr>
      <w:rPr>
        <w:rFonts w:ascii="Wingdings" w:hAnsi="Wingdings" w:hint="default"/>
      </w:rPr>
    </w:lvl>
    <w:lvl w:ilvl="6" w:tplc="FFFFFFFF" w:tentative="1">
      <w:start w:val="1"/>
      <w:numFmt w:val="bullet"/>
      <w:lvlText w:val=""/>
      <w:lvlJc w:val="left"/>
      <w:pPr>
        <w:ind w:left="7140" w:hanging="440"/>
      </w:pPr>
      <w:rPr>
        <w:rFonts w:ascii="Wingdings" w:hAnsi="Wingdings" w:hint="default"/>
      </w:rPr>
    </w:lvl>
    <w:lvl w:ilvl="7" w:tplc="FFFFFFFF" w:tentative="1">
      <w:start w:val="1"/>
      <w:numFmt w:val="bullet"/>
      <w:lvlText w:val=""/>
      <w:lvlJc w:val="left"/>
      <w:pPr>
        <w:ind w:left="7580" w:hanging="440"/>
      </w:pPr>
      <w:rPr>
        <w:rFonts w:ascii="Wingdings" w:hAnsi="Wingdings" w:hint="default"/>
      </w:rPr>
    </w:lvl>
    <w:lvl w:ilvl="8" w:tplc="FFFFFFFF" w:tentative="1">
      <w:start w:val="1"/>
      <w:numFmt w:val="bullet"/>
      <w:lvlText w:val=""/>
      <w:lvlJc w:val="left"/>
      <w:pPr>
        <w:ind w:left="8020" w:hanging="440"/>
      </w:pPr>
      <w:rPr>
        <w:rFonts w:ascii="Wingdings" w:hAnsi="Wingdings" w:hint="default"/>
      </w:rPr>
    </w:lvl>
  </w:abstractNum>
  <w:abstractNum w:abstractNumId="3" w15:restartNumberingAfterBreak="0">
    <w:nsid w:val="3B753B60"/>
    <w:multiLevelType w:val="hybridMultilevel"/>
    <w:tmpl w:val="21483ED8"/>
    <w:lvl w:ilvl="0" w:tplc="D646C3F6">
      <w:start w:val="1"/>
      <w:numFmt w:val="bullet"/>
      <w:lvlText w:val=""/>
      <w:lvlJc w:val="left"/>
      <w:pPr>
        <w:ind w:left="874" w:hanging="440"/>
      </w:pPr>
      <w:rPr>
        <w:rFonts w:ascii="Wingdings" w:hAnsi="Wingdings" w:hint="default"/>
      </w:rPr>
    </w:lvl>
    <w:lvl w:ilvl="1" w:tplc="04090003" w:tentative="1">
      <w:start w:val="1"/>
      <w:numFmt w:val="bullet"/>
      <w:lvlText w:val=""/>
      <w:lvlJc w:val="left"/>
      <w:pPr>
        <w:ind w:left="1314" w:hanging="440"/>
      </w:pPr>
      <w:rPr>
        <w:rFonts w:ascii="Wingdings" w:hAnsi="Wingdings" w:hint="default"/>
      </w:rPr>
    </w:lvl>
    <w:lvl w:ilvl="2" w:tplc="04090005" w:tentative="1">
      <w:start w:val="1"/>
      <w:numFmt w:val="bullet"/>
      <w:lvlText w:val=""/>
      <w:lvlJc w:val="left"/>
      <w:pPr>
        <w:ind w:left="1754" w:hanging="440"/>
      </w:pPr>
      <w:rPr>
        <w:rFonts w:ascii="Wingdings" w:hAnsi="Wingdings" w:hint="default"/>
      </w:rPr>
    </w:lvl>
    <w:lvl w:ilvl="3" w:tplc="04090001" w:tentative="1">
      <w:start w:val="1"/>
      <w:numFmt w:val="bullet"/>
      <w:lvlText w:val=""/>
      <w:lvlJc w:val="left"/>
      <w:pPr>
        <w:ind w:left="2194" w:hanging="440"/>
      </w:pPr>
      <w:rPr>
        <w:rFonts w:ascii="Wingdings" w:hAnsi="Wingdings" w:hint="default"/>
      </w:rPr>
    </w:lvl>
    <w:lvl w:ilvl="4" w:tplc="04090003" w:tentative="1">
      <w:start w:val="1"/>
      <w:numFmt w:val="bullet"/>
      <w:lvlText w:val=""/>
      <w:lvlJc w:val="left"/>
      <w:pPr>
        <w:ind w:left="2634" w:hanging="440"/>
      </w:pPr>
      <w:rPr>
        <w:rFonts w:ascii="Wingdings" w:hAnsi="Wingdings" w:hint="default"/>
      </w:rPr>
    </w:lvl>
    <w:lvl w:ilvl="5" w:tplc="04090005" w:tentative="1">
      <w:start w:val="1"/>
      <w:numFmt w:val="bullet"/>
      <w:lvlText w:val=""/>
      <w:lvlJc w:val="left"/>
      <w:pPr>
        <w:ind w:left="3074" w:hanging="440"/>
      </w:pPr>
      <w:rPr>
        <w:rFonts w:ascii="Wingdings" w:hAnsi="Wingdings" w:hint="default"/>
      </w:rPr>
    </w:lvl>
    <w:lvl w:ilvl="6" w:tplc="04090001" w:tentative="1">
      <w:start w:val="1"/>
      <w:numFmt w:val="bullet"/>
      <w:lvlText w:val=""/>
      <w:lvlJc w:val="left"/>
      <w:pPr>
        <w:ind w:left="3514" w:hanging="440"/>
      </w:pPr>
      <w:rPr>
        <w:rFonts w:ascii="Wingdings" w:hAnsi="Wingdings" w:hint="default"/>
      </w:rPr>
    </w:lvl>
    <w:lvl w:ilvl="7" w:tplc="04090003" w:tentative="1">
      <w:start w:val="1"/>
      <w:numFmt w:val="bullet"/>
      <w:lvlText w:val=""/>
      <w:lvlJc w:val="left"/>
      <w:pPr>
        <w:ind w:left="3954" w:hanging="440"/>
      </w:pPr>
      <w:rPr>
        <w:rFonts w:ascii="Wingdings" w:hAnsi="Wingdings" w:hint="default"/>
      </w:rPr>
    </w:lvl>
    <w:lvl w:ilvl="8" w:tplc="04090005" w:tentative="1">
      <w:start w:val="1"/>
      <w:numFmt w:val="bullet"/>
      <w:lvlText w:val=""/>
      <w:lvlJc w:val="left"/>
      <w:pPr>
        <w:ind w:left="4394" w:hanging="440"/>
      </w:pPr>
      <w:rPr>
        <w:rFonts w:ascii="Wingdings" w:hAnsi="Wingdings" w:hint="default"/>
      </w:rPr>
    </w:lvl>
  </w:abstractNum>
  <w:abstractNum w:abstractNumId="4" w15:restartNumberingAfterBreak="0">
    <w:nsid w:val="400E2D27"/>
    <w:multiLevelType w:val="multilevel"/>
    <w:tmpl w:val="D520E8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33C0961"/>
    <w:multiLevelType w:val="hybridMultilevel"/>
    <w:tmpl w:val="DDCCA024"/>
    <w:lvl w:ilvl="0" w:tplc="D646C3F6">
      <w:start w:val="1"/>
      <w:numFmt w:val="bullet"/>
      <w:lvlText w:val=""/>
      <w:lvlJc w:val="left"/>
      <w:pPr>
        <w:ind w:left="800" w:hanging="440"/>
      </w:pPr>
      <w:rPr>
        <w:rFonts w:ascii="Wingdings" w:hAnsi="Wingdings" w:hint="default"/>
        <w:color w:val="5B9BD5" w:themeColor="accent1"/>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6" w15:restartNumberingAfterBreak="0">
    <w:nsid w:val="454C386A"/>
    <w:multiLevelType w:val="multilevel"/>
    <w:tmpl w:val="0416344A"/>
    <w:lvl w:ilvl="0">
      <w:start w:val="1"/>
      <w:numFmt w:val="chineseCountingThousand"/>
      <w:suff w:val="nothing"/>
      <w:lvlText w:val="%1、"/>
      <w:lvlJc w:val="left"/>
      <w:pPr>
        <w:ind w:left="420" w:hanging="420"/>
      </w:pPr>
      <w:rPr>
        <w:rFonts w:hint="default"/>
        <w:b w:val="0"/>
        <w:i w:val="0"/>
        <w:color w:val="auto"/>
        <w:lang w:val="en-US"/>
      </w:rPr>
    </w:lvl>
    <w:lvl w:ilvl="1">
      <w:start w:val="1"/>
      <w:numFmt w:val="chineseCountingThousand"/>
      <w:lvlText w:val="(%2)"/>
      <w:lvlJc w:val="left"/>
      <w:pPr>
        <w:ind w:left="1413" w:hanging="420"/>
      </w:pPr>
    </w:lvl>
    <w:lvl w:ilvl="2">
      <w:start w:val="1"/>
      <w:numFmt w:val="lowerRoman"/>
      <w:lvlText w:val="%3."/>
      <w:lvlJc w:val="right"/>
      <w:pPr>
        <w:ind w:left="1260" w:hanging="420"/>
      </w:pPr>
    </w:lvl>
    <w:lvl w:ilvl="3">
      <w:start w:val="1"/>
      <w:numFmt w:val="decimal"/>
      <w:lvlText w:val="%4."/>
      <w:lvlJc w:val="left"/>
      <w:pPr>
        <w:ind w:left="1680" w:hanging="420"/>
      </w:pPr>
      <w:rPr>
        <w:rFonts w:ascii="Times New Roman" w:eastAsia="楷体" w:hAnsi="Times New Roman" w:cstheme="minorBidi"/>
        <w:color w:val="auto"/>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BDB4569"/>
    <w:multiLevelType w:val="multilevel"/>
    <w:tmpl w:val="22462FC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A5712B"/>
    <w:multiLevelType w:val="hybridMultilevel"/>
    <w:tmpl w:val="3E6ACD42"/>
    <w:lvl w:ilvl="0" w:tplc="7C6818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5AF3692B"/>
    <w:multiLevelType w:val="multilevel"/>
    <w:tmpl w:val="0416344A"/>
    <w:lvl w:ilvl="0">
      <w:start w:val="1"/>
      <w:numFmt w:val="chineseCountingThousand"/>
      <w:suff w:val="nothing"/>
      <w:lvlText w:val="%1、"/>
      <w:lvlJc w:val="left"/>
      <w:pPr>
        <w:ind w:left="420" w:hanging="420"/>
      </w:pPr>
      <w:rPr>
        <w:rFonts w:hint="default"/>
        <w:b w:val="0"/>
        <w:i w:val="0"/>
        <w:color w:val="auto"/>
        <w:lang w:val="en-US"/>
      </w:rPr>
    </w:lvl>
    <w:lvl w:ilvl="1">
      <w:start w:val="1"/>
      <w:numFmt w:val="chineseCountingThousand"/>
      <w:lvlText w:val="(%2)"/>
      <w:lvlJc w:val="left"/>
      <w:pPr>
        <w:ind w:left="1413" w:hanging="420"/>
      </w:pPr>
    </w:lvl>
    <w:lvl w:ilvl="2">
      <w:start w:val="1"/>
      <w:numFmt w:val="lowerRoman"/>
      <w:lvlText w:val="%3."/>
      <w:lvlJc w:val="right"/>
      <w:pPr>
        <w:ind w:left="1260" w:hanging="420"/>
      </w:pPr>
    </w:lvl>
    <w:lvl w:ilvl="3">
      <w:start w:val="1"/>
      <w:numFmt w:val="decimal"/>
      <w:lvlText w:val="%4."/>
      <w:lvlJc w:val="left"/>
      <w:pPr>
        <w:ind w:left="1680" w:hanging="420"/>
      </w:pPr>
      <w:rPr>
        <w:rFonts w:ascii="Times New Roman" w:eastAsia="楷体" w:hAnsi="Times New Roman" w:cstheme="minorBidi"/>
        <w:color w:val="auto"/>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5EF82C1B"/>
    <w:multiLevelType w:val="multilevel"/>
    <w:tmpl w:val="9BB864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81A078A"/>
    <w:multiLevelType w:val="hybridMultilevel"/>
    <w:tmpl w:val="460EED24"/>
    <w:lvl w:ilvl="0" w:tplc="D646C3F6">
      <w:start w:val="1"/>
      <w:numFmt w:val="bullet"/>
      <w:lvlText w:val=""/>
      <w:lvlJc w:val="left"/>
      <w:pPr>
        <w:ind w:left="800" w:hanging="440"/>
      </w:pPr>
      <w:rPr>
        <w:rFonts w:ascii="Wingdings" w:hAnsi="Wingdings" w:hint="default"/>
      </w:rPr>
    </w:lvl>
    <w:lvl w:ilvl="1" w:tplc="FFFFFFFF" w:tentative="1">
      <w:start w:val="1"/>
      <w:numFmt w:val="bullet"/>
      <w:lvlText w:val=""/>
      <w:lvlJc w:val="left"/>
      <w:pPr>
        <w:ind w:left="1240" w:hanging="440"/>
      </w:pPr>
      <w:rPr>
        <w:rFonts w:ascii="Wingdings" w:hAnsi="Wingdings" w:hint="default"/>
      </w:rPr>
    </w:lvl>
    <w:lvl w:ilvl="2" w:tplc="FFFFFFFF" w:tentative="1">
      <w:start w:val="1"/>
      <w:numFmt w:val="bullet"/>
      <w:lvlText w:val=""/>
      <w:lvlJc w:val="left"/>
      <w:pPr>
        <w:ind w:left="1680" w:hanging="440"/>
      </w:pPr>
      <w:rPr>
        <w:rFonts w:ascii="Wingdings" w:hAnsi="Wingdings" w:hint="default"/>
      </w:rPr>
    </w:lvl>
    <w:lvl w:ilvl="3" w:tplc="FFFFFFFF" w:tentative="1">
      <w:start w:val="1"/>
      <w:numFmt w:val="bullet"/>
      <w:lvlText w:val=""/>
      <w:lvlJc w:val="left"/>
      <w:pPr>
        <w:ind w:left="2120" w:hanging="440"/>
      </w:pPr>
      <w:rPr>
        <w:rFonts w:ascii="Wingdings" w:hAnsi="Wingdings" w:hint="default"/>
      </w:rPr>
    </w:lvl>
    <w:lvl w:ilvl="4" w:tplc="FFFFFFFF" w:tentative="1">
      <w:start w:val="1"/>
      <w:numFmt w:val="bullet"/>
      <w:lvlText w:val=""/>
      <w:lvlJc w:val="left"/>
      <w:pPr>
        <w:ind w:left="2560" w:hanging="440"/>
      </w:pPr>
      <w:rPr>
        <w:rFonts w:ascii="Wingdings" w:hAnsi="Wingdings" w:hint="default"/>
      </w:rPr>
    </w:lvl>
    <w:lvl w:ilvl="5" w:tplc="FFFFFFFF" w:tentative="1">
      <w:start w:val="1"/>
      <w:numFmt w:val="bullet"/>
      <w:lvlText w:val=""/>
      <w:lvlJc w:val="left"/>
      <w:pPr>
        <w:ind w:left="3000" w:hanging="440"/>
      </w:pPr>
      <w:rPr>
        <w:rFonts w:ascii="Wingdings" w:hAnsi="Wingdings" w:hint="default"/>
      </w:rPr>
    </w:lvl>
    <w:lvl w:ilvl="6" w:tplc="FFFFFFFF" w:tentative="1">
      <w:start w:val="1"/>
      <w:numFmt w:val="bullet"/>
      <w:lvlText w:val=""/>
      <w:lvlJc w:val="left"/>
      <w:pPr>
        <w:ind w:left="3440" w:hanging="440"/>
      </w:pPr>
      <w:rPr>
        <w:rFonts w:ascii="Wingdings" w:hAnsi="Wingdings" w:hint="default"/>
      </w:rPr>
    </w:lvl>
    <w:lvl w:ilvl="7" w:tplc="FFFFFFFF" w:tentative="1">
      <w:start w:val="1"/>
      <w:numFmt w:val="bullet"/>
      <w:lvlText w:val=""/>
      <w:lvlJc w:val="left"/>
      <w:pPr>
        <w:ind w:left="3880" w:hanging="440"/>
      </w:pPr>
      <w:rPr>
        <w:rFonts w:ascii="Wingdings" w:hAnsi="Wingdings" w:hint="default"/>
      </w:rPr>
    </w:lvl>
    <w:lvl w:ilvl="8" w:tplc="FFFFFFFF" w:tentative="1">
      <w:start w:val="1"/>
      <w:numFmt w:val="bullet"/>
      <w:lvlText w:val=""/>
      <w:lvlJc w:val="left"/>
      <w:pPr>
        <w:ind w:left="4320" w:hanging="440"/>
      </w:pPr>
      <w:rPr>
        <w:rFonts w:ascii="Wingdings" w:hAnsi="Wingdings" w:hint="default"/>
      </w:rPr>
    </w:lvl>
  </w:abstractNum>
  <w:abstractNum w:abstractNumId="12" w15:restartNumberingAfterBreak="0">
    <w:nsid w:val="6D965A6F"/>
    <w:multiLevelType w:val="hybridMultilevel"/>
    <w:tmpl w:val="39B8BA72"/>
    <w:lvl w:ilvl="0" w:tplc="B0D2FC64">
      <w:numFmt w:val="bullet"/>
      <w:lvlText w:val="-"/>
      <w:lvlJc w:val="left"/>
      <w:pPr>
        <w:ind w:left="1160" w:hanging="360"/>
      </w:pPr>
      <w:rPr>
        <w:rFonts w:ascii="Times New Roman" w:eastAsia="楷体" w:hAnsi="Times New Roman" w:cs="Times New Roman" w:hint="default"/>
      </w:rPr>
    </w:lvl>
    <w:lvl w:ilvl="1" w:tplc="040C0003" w:tentative="1">
      <w:start w:val="1"/>
      <w:numFmt w:val="bullet"/>
      <w:lvlText w:val="o"/>
      <w:lvlJc w:val="left"/>
      <w:pPr>
        <w:ind w:left="1880" w:hanging="360"/>
      </w:pPr>
      <w:rPr>
        <w:rFonts w:ascii="Courier New" w:hAnsi="Courier New" w:cs="Courier New" w:hint="default"/>
      </w:rPr>
    </w:lvl>
    <w:lvl w:ilvl="2" w:tplc="040C0005" w:tentative="1">
      <w:start w:val="1"/>
      <w:numFmt w:val="bullet"/>
      <w:lvlText w:val=""/>
      <w:lvlJc w:val="left"/>
      <w:pPr>
        <w:ind w:left="2600" w:hanging="360"/>
      </w:pPr>
      <w:rPr>
        <w:rFonts w:ascii="Wingdings" w:hAnsi="Wingdings" w:hint="default"/>
      </w:rPr>
    </w:lvl>
    <w:lvl w:ilvl="3" w:tplc="040C0001" w:tentative="1">
      <w:start w:val="1"/>
      <w:numFmt w:val="bullet"/>
      <w:lvlText w:val=""/>
      <w:lvlJc w:val="left"/>
      <w:pPr>
        <w:ind w:left="3320" w:hanging="360"/>
      </w:pPr>
      <w:rPr>
        <w:rFonts w:ascii="Symbol" w:hAnsi="Symbol" w:hint="default"/>
      </w:rPr>
    </w:lvl>
    <w:lvl w:ilvl="4" w:tplc="040C0003" w:tentative="1">
      <w:start w:val="1"/>
      <w:numFmt w:val="bullet"/>
      <w:lvlText w:val="o"/>
      <w:lvlJc w:val="left"/>
      <w:pPr>
        <w:ind w:left="4040" w:hanging="360"/>
      </w:pPr>
      <w:rPr>
        <w:rFonts w:ascii="Courier New" w:hAnsi="Courier New" w:cs="Courier New" w:hint="default"/>
      </w:rPr>
    </w:lvl>
    <w:lvl w:ilvl="5" w:tplc="040C0005" w:tentative="1">
      <w:start w:val="1"/>
      <w:numFmt w:val="bullet"/>
      <w:lvlText w:val=""/>
      <w:lvlJc w:val="left"/>
      <w:pPr>
        <w:ind w:left="4760" w:hanging="360"/>
      </w:pPr>
      <w:rPr>
        <w:rFonts w:ascii="Wingdings" w:hAnsi="Wingdings" w:hint="default"/>
      </w:rPr>
    </w:lvl>
    <w:lvl w:ilvl="6" w:tplc="040C0001" w:tentative="1">
      <w:start w:val="1"/>
      <w:numFmt w:val="bullet"/>
      <w:lvlText w:val=""/>
      <w:lvlJc w:val="left"/>
      <w:pPr>
        <w:ind w:left="5480" w:hanging="360"/>
      </w:pPr>
      <w:rPr>
        <w:rFonts w:ascii="Symbol" w:hAnsi="Symbol" w:hint="default"/>
      </w:rPr>
    </w:lvl>
    <w:lvl w:ilvl="7" w:tplc="040C0003" w:tentative="1">
      <w:start w:val="1"/>
      <w:numFmt w:val="bullet"/>
      <w:lvlText w:val="o"/>
      <w:lvlJc w:val="left"/>
      <w:pPr>
        <w:ind w:left="6200" w:hanging="360"/>
      </w:pPr>
      <w:rPr>
        <w:rFonts w:ascii="Courier New" w:hAnsi="Courier New" w:cs="Courier New" w:hint="default"/>
      </w:rPr>
    </w:lvl>
    <w:lvl w:ilvl="8" w:tplc="040C0005" w:tentative="1">
      <w:start w:val="1"/>
      <w:numFmt w:val="bullet"/>
      <w:lvlText w:val=""/>
      <w:lvlJc w:val="left"/>
      <w:pPr>
        <w:ind w:left="6920" w:hanging="360"/>
      </w:pPr>
      <w:rPr>
        <w:rFonts w:ascii="Wingdings" w:hAnsi="Wingdings" w:hint="default"/>
      </w:rPr>
    </w:lvl>
  </w:abstractNum>
  <w:abstractNum w:abstractNumId="13" w15:restartNumberingAfterBreak="0">
    <w:nsid w:val="6FDA4AE9"/>
    <w:multiLevelType w:val="hybridMultilevel"/>
    <w:tmpl w:val="1AC0A0F8"/>
    <w:lvl w:ilvl="0" w:tplc="A58A3922">
      <w:numFmt w:val="bullet"/>
      <w:lvlText w:val="•"/>
      <w:lvlJc w:val="left"/>
      <w:pPr>
        <w:ind w:left="4500" w:hanging="440"/>
      </w:pPr>
      <w:rPr>
        <w:rFonts w:ascii="Courier New" w:eastAsia="楷体" w:hAnsi="Courier New" w:cs="Courier New" w:hint="default"/>
      </w:rPr>
    </w:lvl>
    <w:lvl w:ilvl="1" w:tplc="FFFFFFFF">
      <w:start w:val="1"/>
      <w:numFmt w:val="decimal"/>
      <w:lvlText w:val="%2."/>
      <w:lvlJc w:val="left"/>
      <w:pPr>
        <w:ind w:left="4420" w:hanging="360"/>
      </w:pPr>
    </w:lvl>
    <w:lvl w:ilvl="2" w:tplc="FFFFFFFF">
      <w:start w:val="1"/>
      <w:numFmt w:val="bullet"/>
      <w:lvlText w:val=""/>
      <w:lvlJc w:val="left"/>
      <w:pPr>
        <w:ind w:left="5380" w:hanging="440"/>
      </w:pPr>
      <w:rPr>
        <w:rFonts w:ascii="Wingdings" w:hAnsi="Wingdings" w:hint="default"/>
      </w:rPr>
    </w:lvl>
    <w:lvl w:ilvl="3" w:tplc="FFFFFFFF" w:tentative="1">
      <w:start w:val="1"/>
      <w:numFmt w:val="bullet"/>
      <w:lvlText w:val=""/>
      <w:lvlJc w:val="left"/>
      <w:pPr>
        <w:ind w:left="5820" w:hanging="440"/>
      </w:pPr>
      <w:rPr>
        <w:rFonts w:ascii="Wingdings" w:hAnsi="Wingdings" w:hint="default"/>
      </w:rPr>
    </w:lvl>
    <w:lvl w:ilvl="4" w:tplc="FFFFFFFF" w:tentative="1">
      <w:start w:val="1"/>
      <w:numFmt w:val="bullet"/>
      <w:lvlText w:val=""/>
      <w:lvlJc w:val="left"/>
      <w:pPr>
        <w:ind w:left="6260" w:hanging="440"/>
      </w:pPr>
      <w:rPr>
        <w:rFonts w:ascii="Wingdings" w:hAnsi="Wingdings" w:hint="default"/>
      </w:rPr>
    </w:lvl>
    <w:lvl w:ilvl="5" w:tplc="FFFFFFFF" w:tentative="1">
      <w:start w:val="1"/>
      <w:numFmt w:val="bullet"/>
      <w:lvlText w:val=""/>
      <w:lvlJc w:val="left"/>
      <w:pPr>
        <w:ind w:left="6700" w:hanging="440"/>
      </w:pPr>
      <w:rPr>
        <w:rFonts w:ascii="Wingdings" w:hAnsi="Wingdings" w:hint="default"/>
      </w:rPr>
    </w:lvl>
    <w:lvl w:ilvl="6" w:tplc="FFFFFFFF" w:tentative="1">
      <w:start w:val="1"/>
      <w:numFmt w:val="bullet"/>
      <w:lvlText w:val=""/>
      <w:lvlJc w:val="left"/>
      <w:pPr>
        <w:ind w:left="7140" w:hanging="440"/>
      </w:pPr>
      <w:rPr>
        <w:rFonts w:ascii="Wingdings" w:hAnsi="Wingdings" w:hint="default"/>
      </w:rPr>
    </w:lvl>
    <w:lvl w:ilvl="7" w:tplc="FFFFFFFF" w:tentative="1">
      <w:start w:val="1"/>
      <w:numFmt w:val="bullet"/>
      <w:lvlText w:val=""/>
      <w:lvlJc w:val="left"/>
      <w:pPr>
        <w:ind w:left="7580" w:hanging="440"/>
      </w:pPr>
      <w:rPr>
        <w:rFonts w:ascii="Wingdings" w:hAnsi="Wingdings" w:hint="default"/>
      </w:rPr>
    </w:lvl>
    <w:lvl w:ilvl="8" w:tplc="FFFFFFFF" w:tentative="1">
      <w:start w:val="1"/>
      <w:numFmt w:val="bullet"/>
      <w:lvlText w:val=""/>
      <w:lvlJc w:val="left"/>
      <w:pPr>
        <w:ind w:left="8020" w:hanging="440"/>
      </w:pPr>
      <w:rPr>
        <w:rFonts w:ascii="Wingdings" w:hAnsi="Wingdings" w:hint="default"/>
      </w:rPr>
    </w:lvl>
  </w:abstractNum>
  <w:abstractNum w:abstractNumId="14" w15:restartNumberingAfterBreak="0">
    <w:nsid w:val="731365E4"/>
    <w:multiLevelType w:val="multilevel"/>
    <w:tmpl w:val="7602CCC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6A409A"/>
    <w:multiLevelType w:val="hybridMultilevel"/>
    <w:tmpl w:val="E57EBC30"/>
    <w:lvl w:ilvl="0" w:tplc="FB72D206">
      <w:start w:val="5"/>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7E431557"/>
    <w:multiLevelType w:val="hybridMultilevel"/>
    <w:tmpl w:val="03C4D06E"/>
    <w:lvl w:ilvl="0" w:tplc="B8181A52">
      <w:numFmt w:val="bullet"/>
      <w:lvlText w:val="-"/>
      <w:lvlJc w:val="left"/>
      <w:pPr>
        <w:ind w:left="1160" w:hanging="360"/>
      </w:pPr>
      <w:rPr>
        <w:rFonts w:ascii="Times New Roman" w:eastAsia="楷体" w:hAnsi="Times New Roman" w:cs="Times New Roman" w:hint="default"/>
      </w:rPr>
    </w:lvl>
    <w:lvl w:ilvl="1" w:tplc="04090003" w:tentative="1">
      <w:start w:val="1"/>
      <w:numFmt w:val="bullet"/>
      <w:lvlText w:val=""/>
      <w:lvlJc w:val="left"/>
      <w:pPr>
        <w:ind w:left="1680" w:hanging="440"/>
      </w:pPr>
      <w:rPr>
        <w:rFonts w:ascii="Wingdings" w:hAnsi="Wingdings" w:hint="default"/>
      </w:rPr>
    </w:lvl>
    <w:lvl w:ilvl="2" w:tplc="04090005"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3" w:tentative="1">
      <w:start w:val="1"/>
      <w:numFmt w:val="bullet"/>
      <w:lvlText w:val=""/>
      <w:lvlJc w:val="left"/>
      <w:pPr>
        <w:ind w:left="3000" w:hanging="440"/>
      </w:pPr>
      <w:rPr>
        <w:rFonts w:ascii="Wingdings" w:hAnsi="Wingdings" w:hint="default"/>
      </w:rPr>
    </w:lvl>
    <w:lvl w:ilvl="5" w:tplc="04090005"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3" w:tentative="1">
      <w:start w:val="1"/>
      <w:numFmt w:val="bullet"/>
      <w:lvlText w:val=""/>
      <w:lvlJc w:val="left"/>
      <w:pPr>
        <w:ind w:left="4320" w:hanging="440"/>
      </w:pPr>
      <w:rPr>
        <w:rFonts w:ascii="Wingdings" w:hAnsi="Wingdings" w:hint="default"/>
      </w:rPr>
    </w:lvl>
    <w:lvl w:ilvl="8" w:tplc="04090005" w:tentative="1">
      <w:start w:val="1"/>
      <w:numFmt w:val="bullet"/>
      <w:lvlText w:val=""/>
      <w:lvlJc w:val="left"/>
      <w:pPr>
        <w:ind w:left="4760" w:hanging="440"/>
      </w:pPr>
      <w:rPr>
        <w:rFonts w:ascii="Wingdings" w:hAnsi="Wingdings" w:hint="default"/>
      </w:rPr>
    </w:lvl>
  </w:abstractNum>
  <w:num w:numId="1" w16cid:durableId="1614560216">
    <w:abstractNumId w:val="6"/>
  </w:num>
  <w:num w:numId="2" w16cid:durableId="803083500">
    <w:abstractNumId w:val="15"/>
  </w:num>
  <w:num w:numId="3" w16cid:durableId="1602641034">
    <w:abstractNumId w:val="2"/>
  </w:num>
  <w:num w:numId="4" w16cid:durableId="1914197986">
    <w:abstractNumId w:val="8"/>
  </w:num>
  <w:num w:numId="5" w16cid:durableId="1813257291">
    <w:abstractNumId w:val="11"/>
  </w:num>
  <w:num w:numId="6" w16cid:durableId="503403353">
    <w:abstractNumId w:val="5"/>
  </w:num>
  <w:num w:numId="7" w16cid:durableId="310597557">
    <w:abstractNumId w:val="13"/>
  </w:num>
  <w:num w:numId="8" w16cid:durableId="868295357">
    <w:abstractNumId w:val="16"/>
  </w:num>
  <w:num w:numId="9" w16cid:durableId="1495759100">
    <w:abstractNumId w:val="3"/>
  </w:num>
  <w:num w:numId="10" w16cid:durableId="2144692019">
    <w:abstractNumId w:val="0"/>
  </w:num>
  <w:num w:numId="11" w16cid:durableId="748815959">
    <w:abstractNumId w:val="12"/>
  </w:num>
  <w:num w:numId="12" w16cid:durableId="2078673660">
    <w:abstractNumId w:val="1"/>
  </w:num>
  <w:num w:numId="13" w16cid:durableId="775757813">
    <w:abstractNumId w:val="7"/>
  </w:num>
  <w:num w:numId="14" w16cid:durableId="787315646">
    <w:abstractNumId w:val="4"/>
  </w:num>
  <w:num w:numId="15" w16cid:durableId="1263495450">
    <w:abstractNumId w:val="14"/>
  </w:num>
  <w:num w:numId="16" w16cid:durableId="591744274">
    <w:abstractNumId w:val="10"/>
  </w:num>
  <w:num w:numId="17" w16cid:durableId="1642539394">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C5"/>
    <w:rsid w:val="00000437"/>
    <w:rsid w:val="00000C03"/>
    <w:rsid w:val="000016A8"/>
    <w:rsid w:val="00001AFA"/>
    <w:rsid w:val="00002ACC"/>
    <w:rsid w:val="00002E84"/>
    <w:rsid w:val="000033CA"/>
    <w:rsid w:val="000038A9"/>
    <w:rsid w:val="0000546A"/>
    <w:rsid w:val="0000569B"/>
    <w:rsid w:val="0000635C"/>
    <w:rsid w:val="00007789"/>
    <w:rsid w:val="0001080C"/>
    <w:rsid w:val="00012A58"/>
    <w:rsid w:val="000130C0"/>
    <w:rsid w:val="00014AC4"/>
    <w:rsid w:val="00015071"/>
    <w:rsid w:val="00020ADE"/>
    <w:rsid w:val="00021B10"/>
    <w:rsid w:val="00022FB1"/>
    <w:rsid w:val="00024D73"/>
    <w:rsid w:val="00025FCA"/>
    <w:rsid w:val="0002720C"/>
    <w:rsid w:val="00027A9B"/>
    <w:rsid w:val="00027CAC"/>
    <w:rsid w:val="00030A0E"/>
    <w:rsid w:val="00032724"/>
    <w:rsid w:val="000334C6"/>
    <w:rsid w:val="0003422A"/>
    <w:rsid w:val="00037911"/>
    <w:rsid w:val="00037B51"/>
    <w:rsid w:val="00037B8C"/>
    <w:rsid w:val="00040143"/>
    <w:rsid w:val="0004146A"/>
    <w:rsid w:val="0004291E"/>
    <w:rsid w:val="00043847"/>
    <w:rsid w:val="0004415C"/>
    <w:rsid w:val="00044305"/>
    <w:rsid w:val="00050554"/>
    <w:rsid w:val="00050A0B"/>
    <w:rsid w:val="000519AD"/>
    <w:rsid w:val="00051EAB"/>
    <w:rsid w:val="00051EBA"/>
    <w:rsid w:val="000524DC"/>
    <w:rsid w:val="000545A7"/>
    <w:rsid w:val="00054F51"/>
    <w:rsid w:val="0005510F"/>
    <w:rsid w:val="00055F3D"/>
    <w:rsid w:val="00056292"/>
    <w:rsid w:val="00056AA5"/>
    <w:rsid w:val="000634A8"/>
    <w:rsid w:val="00063505"/>
    <w:rsid w:val="00063CB5"/>
    <w:rsid w:val="0006405A"/>
    <w:rsid w:val="00066AE4"/>
    <w:rsid w:val="00066F85"/>
    <w:rsid w:val="00067325"/>
    <w:rsid w:val="000676D4"/>
    <w:rsid w:val="00067AE7"/>
    <w:rsid w:val="00071664"/>
    <w:rsid w:val="000729B8"/>
    <w:rsid w:val="000732A8"/>
    <w:rsid w:val="0007504E"/>
    <w:rsid w:val="00076889"/>
    <w:rsid w:val="0008024A"/>
    <w:rsid w:val="00080769"/>
    <w:rsid w:val="00080A92"/>
    <w:rsid w:val="00080E44"/>
    <w:rsid w:val="00081EBE"/>
    <w:rsid w:val="00082A41"/>
    <w:rsid w:val="0008395B"/>
    <w:rsid w:val="00083BD2"/>
    <w:rsid w:val="00084254"/>
    <w:rsid w:val="00084F4A"/>
    <w:rsid w:val="000852BF"/>
    <w:rsid w:val="00085B70"/>
    <w:rsid w:val="00085E5E"/>
    <w:rsid w:val="00086493"/>
    <w:rsid w:val="00086946"/>
    <w:rsid w:val="00086DF9"/>
    <w:rsid w:val="000872F4"/>
    <w:rsid w:val="00093C77"/>
    <w:rsid w:val="00094A89"/>
    <w:rsid w:val="00094DA2"/>
    <w:rsid w:val="00095EDB"/>
    <w:rsid w:val="00096C2E"/>
    <w:rsid w:val="000A03F7"/>
    <w:rsid w:val="000A4A19"/>
    <w:rsid w:val="000A4B52"/>
    <w:rsid w:val="000A5FBD"/>
    <w:rsid w:val="000A7D94"/>
    <w:rsid w:val="000B1CCA"/>
    <w:rsid w:val="000B2C6A"/>
    <w:rsid w:val="000B33A7"/>
    <w:rsid w:val="000B5E27"/>
    <w:rsid w:val="000B78D4"/>
    <w:rsid w:val="000C13F0"/>
    <w:rsid w:val="000C4259"/>
    <w:rsid w:val="000C4A3A"/>
    <w:rsid w:val="000C5F73"/>
    <w:rsid w:val="000C6148"/>
    <w:rsid w:val="000C6910"/>
    <w:rsid w:val="000C6C0A"/>
    <w:rsid w:val="000D0398"/>
    <w:rsid w:val="000D0773"/>
    <w:rsid w:val="000D0AC8"/>
    <w:rsid w:val="000D2B65"/>
    <w:rsid w:val="000D356D"/>
    <w:rsid w:val="000D395D"/>
    <w:rsid w:val="000D4984"/>
    <w:rsid w:val="000D4AF9"/>
    <w:rsid w:val="000D5738"/>
    <w:rsid w:val="000D6755"/>
    <w:rsid w:val="000D6D37"/>
    <w:rsid w:val="000D6D51"/>
    <w:rsid w:val="000E0E37"/>
    <w:rsid w:val="000E295A"/>
    <w:rsid w:val="000E35A9"/>
    <w:rsid w:val="000E36ED"/>
    <w:rsid w:val="000E3D49"/>
    <w:rsid w:val="000E3FAF"/>
    <w:rsid w:val="000E6388"/>
    <w:rsid w:val="000F010F"/>
    <w:rsid w:val="000F0619"/>
    <w:rsid w:val="000F1B9B"/>
    <w:rsid w:val="000F21CF"/>
    <w:rsid w:val="000F2532"/>
    <w:rsid w:val="000F2919"/>
    <w:rsid w:val="000F35E6"/>
    <w:rsid w:val="000F3956"/>
    <w:rsid w:val="000F4444"/>
    <w:rsid w:val="000F50ED"/>
    <w:rsid w:val="000F53F1"/>
    <w:rsid w:val="000F7B46"/>
    <w:rsid w:val="001005D1"/>
    <w:rsid w:val="001007D8"/>
    <w:rsid w:val="00100BFA"/>
    <w:rsid w:val="00100CA9"/>
    <w:rsid w:val="00102521"/>
    <w:rsid w:val="001030BE"/>
    <w:rsid w:val="00103B7A"/>
    <w:rsid w:val="00104F91"/>
    <w:rsid w:val="00110288"/>
    <w:rsid w:val="00111359"/>
    <w:rsid w:val="00111EC8"/>
    <w:rsid w:val="0011266F"/>
    <w:rsid w:val="00112F65"/>
    <w:rsid w:val="00113921"/>
    <w:rsid w:val="00114733"/>
    <w:rsid w:val="00114F9C"/>
    <w:rsid w:val="001159BA"/>
    <w:rsid w:val="00116DF0"/>
    <w:rsid w:val="001217A7"/>
    <w:rsid w:val="00122C4C"/>
    <w:rsid w:val="001251D5"/>
    <w:rsid w:val="00125668"/>
    <w:rsid w:val="001306AC"/>
    <w:rsid w:val="00130883"/>
    <w:rsid w:val="0013206A"/>
    <w:rsid w:val="0013317E"/>
    <w:rsid w:val="00134261"/>
    <w:rsid w:val="00134CAA"/>
    <w:rsid w:val="00134E34"/>
    <w:rsid w:val="001361A6"/>
    <w:rsid w:val="00136F33"/>
    <w:rsid w:val="00137BC5"/>
    <w:rsid w:val="001416E1"/>
    <w:rsid w:val="00141E15"/>
    <w:rsid w:val="00142070"/>
    <w:rsid w:val="00143709"/>
    <w:rsid w:val="0014388A"/>
    <w:rsid w:val="00144B55"/>
    <w:rsid w:val="00145211"/>
    <w:rsid w:val="001452A7"/>
    <w:rsid w:val="00146850"/>
    <w:rsid w:val="001508AD"/>
    <w:rsid w:val="00154C2C"/>
    <w:rsid w:val="0015582C"/>
    <w:rsid w:val="00155870"/>
    <w:rsid w:val="00155AE4"/>
    <w:rsid w:val="00155BC5"/>
    <w:rsid w:val="00155C45"/>
    <w:rsid w:val="0015640B"/>
    <w:rsid w:val="00156BF2"/>
    <w:rsid w:val="00157367"/>
    <w:rsid w:val="001601C0"/>
    <w:rsid w:val="00160640"/>
    <w:rsid w:val="0016135B"/>
    <w:rsid w:val="001613FA"/>
    <w:rsid w:val="00161965"/>
    <w:rsid w:val="00162260"/>
    <w:rsid w:val="00162C62"/>
    <w:rsid w:val="00162DF3"/>
    <w:rsid w:val="0016320B"/>
    <w:rsid w:val="0016340B"/>
    <w:rsid w:val="00164204"/>
    <w:rsid w:val="00166495"/>
    <w:rsid w:val="001677E8"/>
    <w:rsid w:val="00170E84"/>
    <w:rsid w:val="00173174"/>
    <w:rsid w:val="0017348C"/>
    <w:rsid w:val="001735EC"/>
    <w:rsid w:val="00173841"/>
    <w:rsid w:val="001752DE"/>
    <w:rsid w:val="00176404"/>
    <w:rsid w:val="0017691B"/>
    <w:rsid w:val="00176F41"/>
    <w:rsid w:val="00177893"/>
    <w:rsid w:val="00177BDD"/>
    <w:rsid w:val="001800C9"/>
    <w:rsid w:val="00180123"/>
    <w:rsid w:val="001805F7"/>
    <w:rsid w:val="00180A4F"/>
    <w:rsid w:val="00180A86"/>
    <w:rsid w:val="001814BD"/>
    <w:rsid w:val="00181B14"/>
    <w:rsid w:val="001835BE"/>
    <w:rsid w:val="00183D53"/>
    <w:rsid w:val="001849F4"/>
    <w:rsid w:val="001854E9"/>
    <w:rsid w:val="001868F8"/>
    <w:rsid w:val="00186F02"/>
    <w:rsid w:val="001903C7"/>
    <w:rsid w:val="00192C86"/>
    <w:rsid w:val="00192F40"/>
    <w:rsid w:val="001947D3"/>
    <w:rsid w:val="00194809"/>
    <w:rsid w:val="00194A4B"/>
    <w:rsid w:val="00195007"/>
    <w:rsid w:val="00195394"/>
    <w:rsid w:val="001964EB"/>
    <w:rsid w:val="001A1148"/>
    <w:rsid w:val="001A1189"/>
    <w:rsid w:val="001A4053"/>
    <w:rsid w:val="001A59BF"/>
    <w:rsid w:val="001A6E1B"/>
    <w:rsid w:val="001B0553"/>
    <w:rsid w:val="001B0844"/>
    <w:rsid w:val="001B1B94"/>
    <w:rsid w:val="001B299F"/>
    <w:rsid w:val="001B384F"/>
    <w:rsid w:val="001B3B74"/>
    <w:rsid w:val="001B57DA"/>
    <w:rsid w:val="001B5DCC"/>
    <w:rsid w:val="001B6FA8"/>
    <w:rsid w:val="001B707F"/>
    <w:rsid w:val="001C0047"/>
    <w:rsid w:val="001C0CC5"/>
    <w:rsid w:val="001C3012"/>
    <w:rsid w:val="001C4416"/>
    <w:rsid w:val="001C597C"/>
    <w:rsid w:val="001C5A04"/>
    <w:rsid w:val="001C5E0B"/>
    <w:rsid w:val="001C639E"/>
    <w:rsid w:val="001C684B"/>
    <w:rsid w:val="001D09F3"/>
    <w:rsid w:val="001D1AE4"/>
    <w:rsid w:val="001D1E04"/>
    <w:rsid w:val="001D231A"/>
    <w:rsid w:val="001D24E8"/>
    <w:rsid w:val="001D4AFE"/>
    <w:rsid w:val="001D52AD"/>
    <w:rsid w:val="001D5BC5"/>
    <w:rsid w:val="001D5EE0"/>
    <w:rsid w:val="001D5F49"/>
    <w:rsid w:val="001D615D"/>
    <w:rsid w:val="001D6546"/>
    <w:rsid w:val="001D6945"/>
    <w:rsid w:val="001D69C9"/>
    <w:rsid w:val="001D76B7"/>
    <w:rsid w:val="001E0D6F"/>
    <w:rsid w:val="001E181A"/>
    <w:rsid w:val="001E2BE0"/>
    <w:rsid w:val="001E3319"/>
    <w:rsid w:val="001E352E"/>
    <w:rsid w:val="001E3990"/>
    <w:rsid w:val="001E3FDC"/>
    <w:rsid w:val="001E425D"/>
    <w:rsid w:val="001E48A4"/>
    <w:rsid w:val="001E5D03"/>
    <w:rsid w:val="001E5D37"/>
    <w:rsid w:val="001E6007"/>
    <w:rsid w:val="001E69D4"/>
    <w:rsid w:val="001E7BAA"/>
    <w:rsid w:val="001F1540"/>
    <w:rsid w:val="001F2166"/>
    <w:rsid w:val="001F2272"/>
    <w:rsid w:val="001F25BF"/>
    <w:rsid w:val="001F2DF2"/>
    <w:rsid w:val="001F3437"/>
    <w:rsid w:val="001F5184"/>
    <w:rsid w:val="001F531D"/>
    <w:rsid w:val="001F54C2"/>
    <w:rsid w:val="001F5F68"/>
    <w:rsid w:val="001F6D3A"/>
    <w:rsid w:val="001F7D28"/>
    <w:rsid w:val="00200134"/>
    <w:rsid w:val="00200D57"/>
    <w:rsid w:val="00201137"/>
    <w:rsid w:val="0020130F"/>
    <w:rsid w:val="00201631"/>
    <w:rsid w:val="0020239A"/>
    <w:rsid w:val="002042E8"/>
    <w:rsid w:val="00204A43"/>
    <w:rsid w:val="00206AC6"/>
    <w:rsid w:val="00206EEF"/>
    <w:rsid w:val="0021001E"/>
    <w:rsid w:val="00211763"/>
    <w:rsid w:val="00212367"/>
    <w:rsid w:val="00212DB9"/>
    <w:rsid w:val="00215542"/>
    <w:rsid w:val="0021674D"/>
    <w:rsid w:val="002167D6"/>
    <w:rsid w:val="00216869"/>
    <w:rsid w:val="002169AE"/>
    <w:rsid w:val="00216B05"/>
    <w:rsid w:val="00216C72"/>
    <w:rsid w:val="00221227"/>
    <w:rsid w:val="00222E67"/>
    <w:rsid w:val="0022397C"/>
    <w:rsid w:val="00223E59"/>
    <w:rsid w:val="0022539C"/>
    <w:rsid w:val="00225BA4"/>
    <w:rsid w:val="00226000"/>
    <w:rsid w:val="00226193"/>
    <w:rsid w:val="00226B25"/>
    <w:rsid w:val="002276B4"/>
    <w:rsid w:val="00227B02"/>
    <w:rsid w:val="00231422"/>
    <w:rsid w:val="00234D7D"/>
    <w:rsid w:val="002353BB"/>
    <w:rsid w:val="0023576F"/>
    <w:rsid w:val="00236014"/>
    <w:rsid w:val="00236B23"/>
    <w:rsid w:val="00236D6F"/>
    <w:rsid w:val="00240BA1"/>
    <w:rsid w:val="00241504"/>
    <w:rsid w:val="00241807"/>
    <w:rsid w:val="00243048"/>
    <w:rsid w:val="00245734"/>
    <w:rsid w:val="00246686"/>
    <w:rsid w:val="00246D87"/>
    <w:rsid w:val="00250A19"/>
    <w:rsid w:val="00251485"/>
    <w:rsid w:val="00252034"/>
    <w:rsid w:val="00252EE9"/>
    <w:rsid w:val="00254DDC"/>
    <w:rsid w:val="00255939"/>
    <w:rsid w:val="00256177"/>
    <w:rsid w:val="002561B6"/>
    <w:rsid w:val="0025747C"/>
    <w:rsid w:val="002576E5"/>
    <w:rsid w:val="002605D2"/>
    <w:rsid w:val="0026221D"/>
    <w:rsid w:val="0026255B"/>
    <w:rsid w:val="002635E0"/>
    <w:rsid w:val="00263EF6"/>
    <w:rsid w:val="00265537"/>
    <w:rsid w:val="00267D7C"/>
    <w:rsid w:val="00271533"/>
    <w:rsid w:val="002720B6"/>
    <w:rsid w:val="0027506E"/>
    <w:rsid w:val="002753A8"/>
    <w:rsid w:val="00275BAA"/>
    <w:rsid w:val="00276F2E"/>
    <w:rsid w:val="00277C4E"/>
    <w:rsid w:val="00280CE2"/>
    <w:rsid w:val="00282EAB"/>
    <w:rsid w:val="00283272"/>
    <w:rsid w:val="002856D2"/>
    <w:rsid w:val="00285E74"/>
    <w:rsid w:val="00286B7C"/>
    <w:rsid w:val="002879A6"/>
    <w:rsid w:val="00290659"/>
    <w:rsid w:val="00291736"/>
    <w:rsid w:val="002923D5"/>
    <w:rsid w:val="002942CB"/>
    <w:rsid w:val="00294370"/>
    <w:rsid w:val="002944F8"/>
    <w:rsid w:val="00294ACF"/>
    <w:rsid w:val="00294B13"/>
    <w:rsid w:val="00294BB6"/>
    <w:rsid w:val="00295FB4"/>
    <w:rsid w:val="0029728B"/>
    <w:rsid w:val="00297300"/>
    <w:rsid w:val="002A08F3"/>
    <w:rsid w:val="002A1979"/>
    <w:rsid w:val="002A252A"/>
    <w:rsid w:val="002A2937"/>
    <w:rsid w:val="002A3668"/>
    <w:rsid w:val="002A3E91"/>
    <w:rsid w:val="002A46D2"/>
    <w:rsid w:val="002A5236"/>
    <w:rsid w:val="002A5C8D"/>
    <w:rsid w:val="002A6C1B"/>
    <w:rsid w:val="002B344A"/>
    <w:rsid w:val="002B359E"/>
    <w:rsid w:val="002B3704"/>
    <w:rsid w:val="002B389A"/>
    <w:rsid w:val="002B3E77"/>
    <w:rsid w:val="002B44B1"/>
    <w:rsid w:val="002B4E9D"/>
    <w:rsid w:val="002B57F4"/>
    <w:rsid w:val="002B768E"/>
    <w:rsid w:val="002B791C"/>
    <w:rsid w:val="002C0698"/>
    <w:rsid w:val="002C1997"/>
    <w:rsid w:val="002C51BA"/>
    <w:rsid w:val="002C53BD"/>
    <w:rsid w:val="002C6360"/>
    <w:rsid w:val="002C7EEB"/>
    <w:rsid w:val="002D276B"/>
    <w:rsid w:val="002D2B22"/>
    <w:rsid w:val="002D5060"/>
    <w:rsid w:val="002E2865"/>
    <w:rsid w:val="002E375D"/>
    <w:rsid w:val="002E4BCA"/>
    <w:rsid w:val="002E573F"/>
    <w:rsid w:val="002E65B3"/>
    <w:rsid w:val="002E6651"/>
    <w:rsid w:val="002F045C"/>
    <w:rsid w:val="002F0603"/>
    <w:rsid w:val="002F09A2"/>
    <w:rsid w:val="002F2255"/>
    <w:rsid w:val="002F2B31"/>
    <w:rsid w:val="002F3280"/>
    <w:rsid w:val="002F3C52"/>
    <w:rsid w:val="002F43D0"/>
    <w:rsid w:val="002F6C1B"/>
    <w:rsid w:val="002F7564"/>
    <w:rsid w:val="003002A2"/>
    <w:rsid w:val="00301C5C"/>
    <w:rsid w:val="003022B0"/>
    <w:rsid w:val="00302A16"/>
    <w:rsid w:val="00302EF7"/>
    <w:rsid w:val="003032C0"/>
    <w:rsid w:val="003048FD"/>
    <w:rsid w:val="00305D2B"/>
    <w:rsid w:val="003075A2"/>
    <w:rsid w:val="00307F18"/>
    <w:rsid w:val="00310342"/>
    <w:rsid w:val="00310B1E"/>
    <w:rsid w:val="00311809"/>
    <w:rsid w:val="00313761"/>
    <w:rsid w:val="00313B04"/>
    <w:rsid w:val="00313E0A"/>
    <w:rsid w:val="003142BD"/>
    <w:rsid w:val="00314813"/>
    <w:rsid w:val="003151C9"/>
    <w:rsid w:val="0031531E"/>
    <w:rsid w:val="00315562"/>
    <w:rsid w:val="003161F0"/>
    <w:rsid w:val="003220CE"/>
    <w:rsid w:val="00323898"/>
    <w:rsid w:val="00323ECF"/>
    <w:rsid w:val="00324585"/>
    <w:rsid w:val="00324776"/>
    <w:rsid w:val="00324AB4"/>
    <w:rsid w:val="00326630"/>
    <w:rsid w:val="003269CA"/>
    <w:rsid w:val="00327B55"/>
    <w:rsid w:val="003304BA"/>
    <w:rsid w:val="0033054A"/>
    <w:rsid w:val="0033177A"/>
    <w:rsid w:val="00332EEC"/>
    <w:rsid w:val="00334D69"/>
    <w:rsid w:val="0033550A"/>
    <w:rsid w:val="00335551"/>
    <w:rsid w:val="00337A67"/>
    <w:rsid w:val="00337BAC"/>
    <w:rsid w:val="00340458"/>
    <w:rsid w:val="0034072E"/>
    <w:rsid w:val="00341429"/>
    <w:rsid w:val="00342066"/>
    <w:rsid w:val="00342459"/>
    <w:rsid w:val="0034440A"/>
    <w:rsid w:val="00344F0D"/>
    <w:rsid w:val="003468C2"/>
    <w:rsid w:val="00346B69"/>
    <w:rsid w:val="00347707"/>
    <w:rsid w:val="003500EB"/>
    <w:rsid w:val="00350248"/>
    <w:rsid w:val="003502EF"/>
    <w:rsid w:val="003506C0"/>
    <w:rsid w:val="003509F0"/>
    <w:rsid w:val="003510EC"/>
    <w:rsid w:val="00351AFF"/>
    <w:rsid w:val="003541CE"/>
    <w:rsid w:val="003600A9"/>
    <w:rsid w:val="00360B49"/>
    <w:rsid w:val="00361C5C"/>
    <w:rsid w:val="00361C62"/>
    <w:rsid w:val="003621AA"/>
    <w:rsid w:val="0036284A"/>
    <w:rsid w:val="00362FF2"/>
    <w:rsid w:val="0036354E"/>
    <w:rsid w:val="003644A9"/>
    <w:rsid w:val="003657C6"/>
    <w:rsid w:val="0036645F"/>
    <w:rsid w:val="003671E5"/>
    <w:rsid w:val="003702DB"/>
    <w:rsid w:val="00370801"/>
    <w:rsid w:val="00370D88"/>
    <w:rsid w:val="003714D4"/>
    <w:rsid w:val="003721BF"/>
    <w:rsid w:val="00372737"/>
    <w:rsid w:val="0037603E"/>
    <w:rsid w:val="0037649A"/>
    <w:rsid w:val="00376557"/>
    <w:rsid w:val="00381D50"/>
    <w:rsid w:val="00383BC5"/>
    <w:rsid w:val="0038502F"/>
    <w:rsid w:val="003850E6"/>
    <w:rsid w:val="00386272"/>
    <w:rsid w:val="00391356"/>
    <w:rsid w:val="00391E83"/>
    <w:rsid w:val="0039264F"/>
    <w:rsid w:val="003927C7"/>
    <w:rsid w:val="00392F17"/>
    <w:rsid w:val="00393BB7"/>
    <w:rsid w:val="00393D07"/>
    <w:rsid w:val="0039439A"/>
    <w:rsid w:val="003955C3"/>
    <w:rsid w:val="003A0222"/>
    <w:rsid w:val="003A0412"/>
    <w:rsid w:val="003A15CB"/>
    <w:rsid w:val="003A2BC9"/>
    <w:rsid w:val="003A3690"/>
    <w:rsid w:val="003A506C"/>
    <w:rsid w:val="003A5692"/>
    <w:rsid w:val="003A57A5"/>
    <w:rsid w:val="003A6A47"/>
    <w:rsid w:val="003A6B3A"/>
    <w:rsid w:val="003B02DE"/>
    <w:rsid w:val="003B1C50"/>
    <w:rsid w:val="003B24D2"/>
    <w:rsid w:val="003B5A7F"/>
    <w:rsid w:val="003B7197"/>
    <w:rsid w:val="003B7D7B"/>
    <w:rsid w:val="003B7FE3"/>
    <w:rsid w:val="003C0730"/>
    <w:rsid w:val="003C1BB6"/>
    <w:rsid w:val="003C522E"/>
    <w:rsid w:val="003C7EFB"/>
    <w:rsid w:val="003D1D7C"/>
    <w:rsid w:val="003D5AED"/>
    <w:rsid w:val="003D798D"/>
    <w:rsid w:val="003E1788"/>
    <w:rsid w:val="003E1B30"/>
    <w:rsid w:val="003E2105"/>
    <w:rsid w:val="003E2AD6"/>
    <w:rsid w:val="003E3862"/>
    <w:rsid w:val="003E4802"/>
    <w:rsid w:val="003E50FF"/>
    <w:rsid w:val="003E5CB5"/>
    <w:rsid w:val="003E6041"/>
    <w:rsid w:val="003E7387"/>
    <w:rsid w:val="003E7854"/>
    <w:rsid w:val="003F0F7D"/>
    <w:rsid w:val="003F2600"/>
    <w:rsid w:val="003F2D7B"/>
    <w:rsid w:val="003F3EC7"/>
    <w:rsid w:val="003F53CE"/>
    <w:rsid w:val="003F5515"/>
    <w:rsid w:val="003F563C"/>
    <w:rsid w:val="003F5A64"/>
    <w:rsid w:val="003F5C4A"/>
    <w:rsid w:val="004008A9"/>
    <w:rsid w:val="00403573"/>
    <w:rsid w:val="004046E3"/>
    <w:rsid w:val="00404A54"/>
    <w:rsid w:val="00405275"/>
    <w:rsid w:val="00405724"/>
    <w:rsid w:val="00407755"/>
    <w:rsid w:val="00410A43"/>
    <w:rsid w:val="00411B47"/>
    <w:rsid w:val="00411C91"/>
    <w:rsid w:val="004126D4"/>
    <w:rsid w:val="0041344D"/>
    <w:rsid w:val="004139D2"/>
    <w:rsid w:val="00413E49"/>
    <w:rsid w:val="00415515"/>
    <w:rsid w:val="00415579"/>
    <w:rsid w:val="004156D3"/>
    <w:rsid w:val="0041684B"/>
    <w:rsid w:val="00417450"/>
    <w:rsid w:val="00417BAB"/>
    <w:rsid w:val="00417F32"/>
    <w:rsid w:val="00421783"/>
    <w:rsid w:val="004218F7"/>
    <w:rsid w:val="00421A46"/>
    <w:rsid w:val="00421C5C"/>
    <w:rsid w:val="00423BD3"/>
    <w:rsid w:val="00423CDF"/>
    <w:rsid w:val="00426C58"/>
    <w:rsid w:val="0042777C"/>
    <w:rsid w:val="004306D1"/>
    <w:rsid w:val="0043108F"/>
    <w:rsid w:val="00434351"/>
    <w:rsid w:val="0043543D"/>
    <w:rsid w:val="00435CDC"/>
    <w:rsid w:val="0043669F"/>
    <w:rsid w:val="00437065"/>
    <w:rsid w:val="004378BB"/>
    <w:rsid w:val="004379C5"/>
    <w:rsid w:val="00437B4A"/>
    <w:rsid w:val="00440207"/>
    <w:rsid w:val="00440369"/>
    <w:rsid w:val="00440772"/>
    <w:rsid w:val="00440FF3"/>
    <w:rsid w:val="00441477"/>
    <w:rsid w:val="00442BDD"/>
    <w:rsid w:val="0044328B"/>
    <w:rsid w:val="004437AA"/>
    <w:rsid w:val="0044414E"/>
    <w:rsid w:val="00444FBD"/>
    <w:rsid w:val="004462EB"/>
    <w:rsid w:val="0044708D"/>
    <w:rsid w:val="0045092B"/>
    <w:rsid w:val="00451BC5"/>
    <w:rsid w:val="00452A2D"/>
    <w:rsid w:val="00452EF1"/>
    <w:rsid w:val="00453BB8"/>
    <w:rsid w:val="00454376"/>
    <w:rsid w:val="0045647C"/>
    <w:rsid w:val="004564B0"/>
    <w:rsid w:val="00457577"/>
    <w:rsid w:val="00457679"/>
    <w:rsid w:val="0045774E"/>
    <w:rsid w:val="00462621"/>
    <w:rsid w:val="004627C2"/>
    <w:rsid w:val="004638FB"/>
    <w:rsid w:val="00463B04"/>
    <w:rsid w:val="00463C19"/>
    <w:rsid w:val="00463C9B"/>
    <w:rsid w:val="00463CFB"/>
    <w:rsid w:val="00463FB7"/>
    <w:rsid w:val="00464AC2"/>
    <w:rsid w:val="00464EB5"/>
    <w:rsid w:val="004651F5"/>
    <w:rsid w:val="00465273"/>
    <w:rsid w:val="00465440"/>
    <w:rsid w:val="00465477"/>
    <w:rsid w:val="0046565D"/>
    <w:rsid w:val="004657A3"/>
    <w:rsid w:val="0046593B"/>
    <w:rsid w:val="00466084"/>
    <w:rsid w:val="004666BC"/>
    <w:rsid w:val="00466B44"/>
    <w:rsid w:val="0046720D"/>
    <w:rsid w:val="0046724C"/>
    <w:rsid w:val="00471435"/>
    <w:rsid w:val="004721D5"/>
    <w:rsid w:val="00474B7E"/>
    <w:rsid w:val="00474BC3"/>
    <w:rsid w:val="00475531"/>
    <w:rsid w:val="004756A2"/>
    <w:rsid w:val="004757EC"/>
    <w:rsid w:val="004769EC"/>
    <w:rsid w:val="00476BED"/>
    <w:rsid w:val="004808A1"/>
    <w:rsid w:val="00480906"/>
    <w:rsid w:val="0048196B"/>
    <w:rsid w:val="00481D35"/>
    <w:rsid w:val="00483BD3"/>
    <w:rsid w:val="004846F6"/>
    <w:rsid w:val="00484890"/>
    <w:rsid w:val="00485225"/>
    <w:rsid w:val="00486215"/>
    <w:rsid w:val="0048710D"/>
    <w:rsid w:val="004873B1"/>
    <w:rsid w:val="0049060A"/>
    <w:rsid w:val="00493E8A"/>
    <w:rsid w:val="00495C43"/>
    <w:rsid w:val="004960E9"/>
    <w:rsid w:val="004971EF"/>
    <w:rsid w:val="004A0C26"/>
    <w:rsid w:val="004A0C9F"/>
    <w:rsid w:val="004A10D2"/>
    <w:rsid w:val="004A493B"/>
    <w:rsid w:val="004A5056"/>
    <w:rsid w:val="004A7095"/>
    <w:rsid w:val="004B0586"/>
    <w:rsid w:val="004B1A76"/>
    <w:rsid w:val="004B1F09"/>
    <w:rsid w:val="004B2315"/>
    <w:rsid w:val="004B278F"/>
    <w:rsid w:val="004B2A38"/>
    <w:rsid w:val="004B419F"/>
    <w:rsid w:val="004B60A3"/>
    <w:rsid w:val="004B66BD"/>
    <w:rsid w:val="004B7C51"/>
    <w:rsid w:val="004B7CCF"/>
    <w:rsid w:val="004C06F4"/>
    <w:rsid w:val="004C07AE"/>
    <w:rsid w:val="004C12D3"/>
    <w:rsid w:val="004C1363"/>
    <w:rsid w:val="004C4189"/>
    <w:rsid w:val="004C5AC5"/>
    <w:rsid w:val="004C5B9C"/>
    <w:rsid w:val="004C6B92"/>
    <w:rsid w:val="004D00B8"/>
    <w:rsid w:val="004D0196"/>
    <w:rsid w:val="004D01EE"/>
    <w:rsid w:val="004D05F4"/>
    <w:rsid w:val="004D1340"/>
    <w:rsid w:val="004D3775"/>
    <w:rsid w:val="004D397A"/>
    <w:rsid w:val="004D39E0"/>
    <w:rsid w:val="004D4B45"/>
    <w:rsid w:val="004D590C"/>
    <w:rsid w:val="004D6E0B"/>
    <w:rsid w:val="004D7763"/>
    <w:rsid w:val="004E04C9"/>
    <w:rsid w:val="004E12E5"/>
    <w:rsid w:val="004E1A2C"/>
    <w:rsid w:val="004E2458"/>
    <w:rsid w:val="004E25AE"/>
    <w:rsid w:val="004E2D3D"/>
    <w:rsid w:val="004E30B7"/>
    <w:rsid w:val="004E46DC"/>
    <w:rsid w:val="004E48C4"/>
    <w:rsid w:val="004E5DB7"/>
    <w:rsid w:val="004E61F3"/>
    <w:rsid w:val="004E6521"/>
    <w:rsid w:val="004E6F5C"/>
    <w:rsid w:val="004F062C"/>
    <w:rsid w:val="004F27F9"/>
    <w:rsid w:val="004F41AF"/>
    <w:rsid w:val="004F5065"/>
    <w:rsid w:val="00501424"/>
    <w:rsid w:val="0050194F"/>
    <w:rsid w:val="005032B3"/>
    <w:rsid w:val="00503B00"/>
    <w:rsid w:val="0050434B"/>
    <w:rsid w:val="00505560"/>
    <w:rsid w:val="005056F3"/>
    <w:rsid w:val="00505F2D"/>
    <w:rsid w:val="005068C8"/>
    <w:rsid w:val="00507024"/>
    <w:rsid w:val="005077B2"/>
    <w:rsid w:val="0050797C"/>
    <w:rsid w:val="005079E9"/>
    <w:rsid w:val="00507BB6"/>
    <w:rsid w:val="0051053C"/>
    <w:rsid w:val="00510B71"/>
    <w:rsid w:val="00510DE4"/>
    <w:rsid w:val="00511026"/>
    <w:rsid w:val="005117B4"/>
    <w:rsid w:val="00512589"/>
    <w:rsid w:val="00513206"/>
    <w:rsid w:val="00517F76"/>
    <w:rsid w:val="00520899"/>
    <w:rsid w:val="0052137E"/>
    <w:rsid w:val="00521F0B"/>
    <w:rsid w:val="00522CC7"/>
    <w:rsid w:val="0052313F"/>
    <w:rsid w:val="00523FE4"/>
    <w:rsid w:val="0052525D"/>
    <w:rsid w:val="00526E8D"/>
    <w:rsid w:val="00527842"/>
    <w:rsid w:val="00527C44"/>
    <w:rsid w:val="00527CB6"/>
    <w:rsid w:val="00530441"/>
    <w:rsid w:val="00530B41"/>
    <w:rsid w:val="00532777"/>
    <w:rsid w:val="00532D50"/>
    <w:rsid w:val="005354E0"/>
    <w:rsid w:val="00535909"/>
    <w:rsid w:val="005362CB"/>
    <w:rsid w:val="00536CD9"/>
    <w:rsid w:val="00537D3B"/>
    <w:rsid w:val="00537FC2"/>
    <w:rsid w:val="005401E4"/>
    <w:rsid w:val="005405E7"/>
    <w:rsid w:val="005419F0"/>
    <w:rsid w:val="0054261E"/>
    <w:rsid w:val="00543B66"/>
    <w:rsid w:val="00544CDD"/>
    <w:rsid w:val="00545725"/>
    <w:rsid w:val="00545FA3"/>
    <w:rsid w:val="0054799C"/>
    <w:rsid w:val="00547D20"/>
    <w:rsid w:val="00547E7E"/>
    <w:rsid w:val="00550B05"/>
    <w:rsid w:val="00550F40"/>
    <w:rsid w:val="00551215"/>
    <w:rsid w:val="005512EA"/>
    <w:rsid w:val="00551503"/>
    <w:rsid w:val="005520A2"/>
    <w:rsid w:val="00555667"/>
    <w:rsid w:val="00555A6F"/>
    <w:rsid w:val="00556410"/>
    <w:rsid w:val="00557C1F"/>
    <w:rsid w:val="00557E4B"/>
    <w:rsid w:val="005606AD"/>
    <w:rsid w:val="00560723"/>
    <w:rsid w:val="00560C77"/>
    <w:rsid w:val="00561BA8"/>
    <w:rsid w:val="0056413D"/>
    <w:rsid w:val="00564848"/>
    <w:rsid w:val="00564DB3"/>
    <w:rsid w:val="00564F70"/>
    <w:rsid w:val="00565600"/>
    <w:rsid w:val="00565D2E"/>
    <w:rsid w:val="00565F14"/>
    <w:rsid w:val="0056662C"/>
    <w:rsid w:val="00566722"/>
    <w:rsid w:val="00567446"/>
    <w:rsid w:val="005723F2"/>
    <w:rsid w:val="005732EC"/>
    <w:rsid w:val="00574892"/>
    <w:rsid w:val="00574C82"/>
    <w:rsid w:val="00577904"/>
    <w:rsid w:val="00580C5C"/>
    <w:rsid w:val="00580CA5"/>
    <w:rsid w:val="00582F32"/>
    <w:rsid w:val="00583D0A"/>
    <w:rsid w:val="005847F1"/>
    <w:rsid w:val="00584D45"/>
    <w:rsid w:val="005852DA"/>
    <w:rsid w:val="00585D1F"/>
    <w:rsid w:val="00586AE5"/>
    <w:rsid w:val="00593B6A"/>
    <w:rsid w:val="0059442B"/>
    <w:rsid w:val="00595865"/>
    <w:rsid w:val="005972A7"/>
    <w:rsid w:val="005A0481"/>
    <w:rsid w:val="005A1243"/>
    <w:rsid w:val="005A1E34"/>
    <w:rsid w:val="005A2A2E"/>
    <w:rsid w:val="005A3A37"/>
    <w:rsid w:val="005A4505"/>
    <w:rsid w:val="005A476E"/>
    <w:rsid w:val="005A4ACD"/>
    <w:rsid w:val="005A5872"/>
    <w:rsid w:val="005A6A9D"/>
    <w:rsid w:val="005B21A5"/>
    <w:rsid w:val="005B2A86"/>
    <w:rsid w:val="005B2B29"/>
    <w:rsid w:val="005B2DD9"/>
    <w:rsid w:val="005B3251"/>
    <w:rsid w:val="005B3B88"/>
    <w:rsid w:val="005B4AF4"/>
    <w:rsid w:val="005B4BD6"/>
    <w:rsid w:val="005B59FF"/>
    <w:rsid w:val="005B6F10"/>
    <w:rsid w:val="005B7255"/>
    <w:rsid w:val="005C3626"/>
    <w:rsid w:val="005C52C2"/>
    <w:rsid w:val="005C6E84"/>
    <w:rsid w:val="005C7738"/>
    <w:rsid w:val="005D1CC0"/>
    <w:rsid w:val="005D5079"/>
    <w:rsid w:val="005D521D"/>
    <w:rsid w:val="005D7A10"/>
    <w:rsid w:val="005D7BB1"/>
    <w:rsid w:val="005E0762"/>
    <w:rsid w:val="005E0A36"/>
    <w:rsid w:val="005E1118"/>
    <w:rsid w:val="005E28D0"/>
    <w:rsid w:val="005E347E"/>
    <w:rsid w:val="005E3FE3"/>
    <w:rsid w:val="005E410A"/>
    <w:rsid w:val="005E4761"/>
    <w:rsid w:val="005E4A46"/>
    <w:rsid w:val="005E4A8F"/>
    <w:rsid w:val="005E535F"/>
    <w:rsid w:val="005E5F54"/>
    <w:rsid w:val="005E623C"/>
    <w:rsid w:val="005E7564"/>
    <w:rsid w:val="005E76FA"/>
    <w:rsid w:val="005F06F0"/>
    <w:rsid w:val="005F0A55"/>
    <w:rsid w:val="005F0EDE"/>
    <w:rsid w:val="005F1AA6"/>
    <w:rsid w:val="005F3316"/>
    <w:rsid w:val="005F511F"/>
    <w:rsid w:val="005F551F"/>
    <w:rsid w:val="005F58B2"/>
    <w:rsid w:val="005F737E"/>
    <w:rsid w:val="006028D4"/>
    <w:rsid w:val="00602F14"/>
    <w:rsid w:val="00605C33"/>
    <w:rsid w:val="00607561"/>
    <w:rsid w:val="00607C6B"/>
    <w:rsid w:val="00610313"/>
    <w:rsid w:val="006132CE"/>
    <w:rsid w:val="00613AA1"/>
    <w:rsid w:val="00613FDF"/>
    <w:rsid w:val="006156FA"/>
    <w:rsid w:val="00616FC6"/>
    <w:rsid w:val="00620100"/>
    <w:rsid w:val="00621ACC"/>
    <w:rsid w:val="00621D3F"/>
    <w:rsid w:val="006240F4"/>
    <w:rsid w:val="00624323"/>
    <w:rsid w:val="006248E3"/>
    <w:rsid w:val="00624E1E"/>
    <w:rsid w:val="006255D4"/>
    <w:rsid w:val="006256E7"/>
    <w:rsid w:val="00625E85"/>
    <w:rsid w:val="00626075"/>
    <w:rsid w:val="00626245"/>
    <w:rsid w:val="006266C4"/>
    <w:rsid w:val="006266FF"/>
    <w:rsid w:val="006277BF"/>
    <w:rsid w:val="00627B10"/>
    <w:rsid w:val="00630A76"/>
    <w:rsid w:val="00630C0D"/>
    <w:rsid w:val="00631D7C"/>
    <w:rsid w:val="00632484"/>
    <w:rsid w:val="0063311C"/>
    <w:rsid w:val="0063338E"/>
    <w:rsid w:val="006371CB"/>
    <w:rsid w:val="00637593"/>
    <w:rsid w:val="00637D35"/>
    <w:rsid w:val="0064030A"/>
    <w:rsid w:val="00641ABD"/>
    <w:rsid w:val="00641B6E"/>
    <w:rsid w:val="00641ECF"/>
    <w:rsid w:val="0064316C"/>
    <w:rsid w:val="006450E9"/>
    <w:rsid w:val="00646D48"/>
    <w:rsid w:val="00646E63"/>
    <w:rsid w:val="006470A4"/>
    <w:rsid w:val="00647B81"/>
    <w:rsid w:val="00647EC9"/>
    <w:rsid w:val="00651045"/>
    <w:rsid w:val="0065145C"/>
    <w:rsid w:val="00651C36"/>
    <w:rsid w:val="00652CF9"/>
    <w:rsid w:val="0065367C"/>
    <w:rsid w:val="006553A0"/>
    <w:rsid w:val="006566B4"/>
    <w:rsid w:val="00660B9C"/>
    <w:rsid w:val="00660FA2"/>
    <w:rsid w:val="0066244A"/>
    <w:rsid w:val="006649DA"/>
    <w:rsid w:val="00664B03"/>
    <w:rsid w:val="00664D4F"/>
    <w:rsid w:val="00665349"/>
    <w:rsid w:val="0066635D"/>
    <w:rsid w:val="00666692"/>
    <w:rsid w:val="0067280A"/>
    <w:rsid w:val="00673557"/>
    <w:rsid w:val="00673593"/>
    <w:rsid w:val="00673A55"/>
    <w:rsid w:val="00674368"/>
    <w:rsid w:val="006747F0"/>
    <w:rsid w:val="00674832"/>
    <w:rsid w:val="006762E6"/>
    <w:rsid w:val="006805C3"/>
    <w:rsid w:val="0068081C"/>
    <w:rsid w:val="00680B96"/>
    <w:rsid w:val="006818E4"/>
    <w:rsid w:val="006829A5"/>
    <w:rsid w:val="006829DB"/>
    <w:rsid w:val="0068356E"/>
    <w:rsid w:val="00683595"/>
    <w:rsid w:val="00685061"/>
    <w:rsid w:val="00685F23"/>
    <w:rsid w:val="006862DF"/>
    <w:rsid w:val="00686632"/>
    <w:rsid w:val="00686B25"/>
    <w:rsid w:val="006870C0"/>
    <w:rsid w:val="00687D9A"/>
    <w:rsid w:val="006901FF"/>
    <w:rsid w:val="006902D4"/>
    <w:rsid w:val="006902DC"/>
    <w:rsid w:val="00690B60"/>
    <w:rsid w:val="006924B9"/>
    <w:rsid w:val="00694351"/>
    <w:rsid w:val="00694E0E"/>
    <w:rsid w:val="00696B98"/>
    <w:rsid w:val="006A01E4"/>
    <w:rsid w:val="006A14EF"/>
    <w:rsid w:val="006A5EFD"/>
    <w:rsid w:val="006A60DB"/>
    <w:rsid w:val="006A6301"/>
    <w:rsid w:val="006A6F9E"/>
    <w:rsid w:val="006A7013"/>
    <w:rsid w:val="006A760C"/>
    <w:rsid w:val="006B02C1"/>
    <w:rsid w:val="006B09AB"/>
    <w:rsid w:val="006B1304"/>
    <w:rsid w:val="006B1899"/>
    <w:rsid w:val="006B2024"/>
    <w:rsid w:val="006B33C8"/>
    <w:rsid w:val="006B3782"/>
    <w:rsid w:val="006B5B55"/>
    <w:rsid w:val="006C066F"/>
    <w:rsid w:val="006C08DD"/>
    <w:rsid w:val="006C0E9C"/>
    <w:rsid w:val="006C0FEC"/>
    <w:rsid w:val="006C1B1D"/>
    <w:rsid w:val="006C24DE"/>
    <w:rsid w:val="006C29B0"/>
    <w:rsid w:val="006C2DB4"/>
    <w:rsid w:val="006C3AD6"/>
    <w:rsid w:val="006C4C88"/>
    <w:rsid w:val="006C5293"/>
    <w:rsid w:val="006C56D4"/>
    <w:rsid w:val="006C72E1"/>
    <w:rsid w:val="006D0BCA"/>
    <w:rsid w:val="006D1811"/>
    <w:rsid w:val="006D22F3"/>
    <w:rsid w:val="006D3E39"/>
    <w:rsid w:val="006D49DD"/>
    <w:rsid w:val="006D705E"/>
    <w:rsid w:val="006D7272"/>
    <w:rsid w:val="006D7FA0"/>
    <w:rsid w:val="006E1C0D"/>
    <w:rsid w:val="006E1CEA"/>
    <w:rsid w:val="006E2CC9"/>
    <w:rsid w:val="006E39C9"/>
    <w:rsid w:val="006E3B25"/>
    <w:rsid w:val="006E5769"/>
    <w:rsid w:val="006E59A3"/>
    <w:rsid w:val="006E5EE7"/>
    <w:rsid w:val="006E64AD"/>
    <w:rsid w:val="006E6E1C"/>
    <w:rsid w:val="006E7F9B"/>
    <w:rsid w:val="006F1850"/>
    <w:rsid w:val="006F2098"/>
    <w:rsid w:val="006F2A5B"/>
    <w:rsid w:val="006F2A8C"/>
    <w:rsid w:val="006F4ECD"/>
    <w:rsid w:val="006F7930"/>
    <w:rsid w:val="006F7DE9"/>
    <w:rsid w:val="00700A3A"/>
    <w:rsid w:val="00700E5B"/>
    <w:rsid w:val="00701BA1"/>
    <w:rsid w:val="007036DB"/>
    <w:rsid w:val="00703ABF"/>
    <w:rsid w:val="00706210"/>
    <w:rsid w:val="0070643D"/>
    <w:rsid w:val="007112A7"/>
    <w:rsid w:val="0071135D"/>
    <w:rsid w:val="00711865"/>
    <w:rsid w:val="00711934"/>
    <w:rsid w:val="007119F9"/>
    <w:rsid w:val="007122B8"/>
    <w:rsid w:val="00713A02"/>
    <w:rsid w:val="007146C7"/>
    <w:rsid w:val="00714B73"/>
    <w:rsid w:val="0071532C"/>
    <w:rsid w:val="0071562E"/>
    <w:rsid w:val="00716349"/>
    <w:rsid w:val="00717564"/>
    <w:rsid w:val="0071760F"/>
    <w:rsid w:val="007209F1"/>
    <w:rsid w:val="00720A99"/>
    <w:rsid w:val="00721333"/>
    <w:rsid w:val="00721527"/>
    <w:rsid w:val="0072162D"/>
    <w:rsid w:val="00722201"/>
    <w:rsid w:val="007227A0"/>
    <w:rsid w:val="00722932"/>
    <w:rsid w:val="00722A05"/>
    <w:rsid w:val="007246D4"/>
    <w:rsid w:val="00724DC6"/>
    <w:rsid w:val="0072658D"/>
    <w:rsid w:val="00726758"/>
    <w:rsid w:val="007271D7"/>
    <w:rsid w:val="007274B3"/>
    <w:rsid w:val="00731591"/>
    <w:rsid w:val="00731E76"/>
    <w:rsid w:val="007323B4"/>
    <w:rsid w:val="00732D96"/>
    <w:rsid w:val="00734146"/>
    <w:rsid w:val="00734198"/>
    <w:rsid w:val="007341C9"/>
    <w:rsid w:val="0073441A"/>
    <w:rsid w:val="00734BEC"/>
    <w:rsid w:val="007368DC"/>
    <w:rsid w:val="00741B41"/>
    <w:rsid w:val="00741BB5"/>
    <w:rsid w:val="007421E6"/>
    <w:rsid w:val="00743F4A"/>
    <w:rsid w:val="00744534"/>
    <w:rsid w:val="00744C14"/>
    <w:rsid w:val="00744E3D"/>
    <w:rsid w:val="0074517F"/>
    <w:rsid w:val="00745BC7"/>
    <w:rsid w:val="0074717F"/>
    <w:rsid w:val="00747775"/>
    <w:rsid w:val="007479D2"/>
    <w:rsid w:val="00750489"/>
    <w:rsid w:val="00752DC3"/>
    <w:rsid w:val="007537C5"/>
    <w:rsid w:val="00753D67"/>
    <w:rsid w:val="0075461E"/>
    <w:rsid w:val="007547EF"/>
    <w:rsid w:val="00756279"/>
    <w:rsid w:val="00756D9A"/>
    <w:rsid w:val="00756E24"/>
    <w:rsid w:val="007614E0"/>
    <w:rsid w:val="007630D6"/>
    <w:rsid w:val="00763ACD"/>
    <w:rsid w:val="007647D1"/>
    <w:rsid w:val="00764F07"/>
    <w:rsid w:val="0076517E"/>
    <w:rsid w:val="00765833"/>
    <w:rsid w:val="00765C02"/>
    <w:rsid w:val="007660CC"/>
    <w:rsid w:val="00770193"/>
    <w:rsid w:val="00770B8C"/>
    <w:rsid w:val="00770C17"/>
    <w:rsid w:val="00772487"/>
    <w:rsid w:val="0077426B"/>
    <w:rsid w:val="00774658"/>
    <w:rsid w:val="00774D07"/>
    <w:rsid w:val="007753AE"/>
    <w:rsid w:val="00775579"/>
    <w:rsid w:val="00775A52"/>
    <w:rsid w:val="00776C64"/>
    <w:rsid w:val="00776E18"/>
    <w:rsid w:val="0077700F"/>
    <w:rsid w:val="007770CD"/>
    <w:rsid w:val="00777546"/>
    <w:rsid w:val="007803A0"/>
    <w:rsid w:val="0078183D"/>
    <w:rsid w:val="00781A58"/>
    <w:rsid w:val="00783C77"/>
    <w:rsid w:val="00783F1E"/>
    <w:rsid w:val="00784916"/>
    <w:rsid w:val="007850CE"/>
    <w:rsid w:val="00785413"/>
    <w:rsid w:val="007868A4"/>
    <w:rsid w:val="00786CBF"/>
    <w:rsid w:val="00787877"/>
    <w:rsid w:val="0079105F"/>
    <w:rsid w:val="00791720"/>
    <w:rsid w:val="00791946"/>
    <w:rsid w:val="00794AB4"/>
    <w:rsid w:val="007968EF"/>
    <w:rsid w:val="007A0072"/>
    <w:rsid w:val="007A1668"/>
    <w:rsid w:val="007A185F"/>
    <w:rsid w:val="007A1B04"/>
    <w:rsid w:val="007A1C0A"/>
    <w:rsid w:val="007A26FD"/>
    <w:rsid w:val="007A312F"/>
    <w:rsid w:val="007A3343"/>
    <w:rsid w:val="007A360A"/>
    <w:rsid w:val="007A3DD0"/>
    <w:rsid w:val="007A65AF"/>
    <w:rsid w:val="007A70D1"/>
    <w:rsid w:val="007A7401"/>
    <w:rsid w:val="007A76BA"/>
    <w:rsid w:val="007B1574"/>
    <w:rsid w:val="007B211F"/>
    <w:rsid w:val="007B50EC"/>
    <w:rsid w:val="007C0BB8"/>
    <w:rsid w:val="007C4490"/>
    <w:rsid w:val="007C4F6A"/>
    <w:rsid w:val="007C5F59"/>
    <w:rsid w:val="007C627C"/>
    <w:rsid w:val="007C67C7"/>
    <w:rsid w:val="007C6E61"/>
    <w:rsid w:val="007C7228"/>
    <w:rsid w:val="007D107E"/>
    <w:rsid w:val="007D3283"/>
    <w:rsid w:val="007D4AF5"/>
    <w:rsid w:val="007D5350"/>
    <w:rsid w:val="007D775A"/>
    <w:rsid w:val="007E096B"/>
    <w:rsid w:val="007E1843"/>
    <w:rsid w:val="007E2744"/>
    <w:rsid w:val="007E2AB6"/>
    <w:rsid w:val="007E2BB8"/>
    <w:rsid w:val="007E2EF9"/>
    <w:rsid w:val="007E2FCE"/>
    <w:rsid w:val="007E2FF8"/>
    <w:rsid w:val="007E31F2"/>
    <w:rsid w:val="007E473C"/>
    <w:rsid w:val="007E4BC7"/>
    <w:rsid w:val="007E53EF"/>
    <w:rsid w:val="007E69E6"/>
    <w:rsid w:val="007E6F5B"/>
    <w:rsid w:val="007E7155"/>
    <w:rsid w:val="007E7A13"/>
    <w:rsid w:val="007F0EA6"/>
    <w:rsid w:val="007F4176"/>
    <w:rsid w:val="007F41AF"/>
    <w:rsid w:val="007F599A"/>
    <w:rsid w:val="007F6233"/>
    <w:rsid w:val="007F66BF"/>
    <w:rsid w:val="007F7999"/>
    <w:rsid w:val="007F7A98"/>
    <w:rsid w:val="00800EC5"/>
    <w:rsid w:val="008018C4"/>
    <w:rsid w:val="00802FFC"/>
    <w:rsid w:val="00804176"/>
    <w:rsid w:val="00805B96"/>
    <w:rsid w:val="008068ED"/>
    <w:rsid w:val="00806906"/>
    <w:rsid w:val="008075ED"/>
    <w:rsid w:val="0080769B"/>
    <w:rsid w:val="00807D91"/>
    <w:rsid w:val="00811156"/>
    <w:rsid w:val="00812833"/>
    <w:rsid w:val="0081364D"/>
    <w:rsid w:val="00816CD1"/>
    <w:rsid w:val="0081749D"/>
    <w:rsid w:val="008214FD"/>
    <w:rsid w:val="00821CF9"/>
    <w:rsid w:val="00822E9A"/>
    <w:rsid w:val="00826531"/>
    <w:rsid w:val="0083020D"/>
    <w:rsid w:val="00830B2E"/>
    <w:rsid w:val="00831ED0"/>
    <w:rsid w:val="0083330B"/>
    <w:rsid w:val="00834692"/>
    <w:rsid w:val="00836706"/>
    <w:rsid w:val="0083750E"/>
    <w:rsid w:val="00837E4F"/>
    <w:rsid w:val="00840A35"/>
    <w:rsid w:val="00840FF3"/>
    <w:rsid w:val="00841FDB"/>
    <w:rsid w:val="008422B2"/>
    <w:rsid w:val="0084450D"/>
    <w:rsid w:val="008449C4"/>
    <w:rsid w:val="00845AAC"/>
    <w:rsid w:val="00847628"/>
    <w:rsid w:val="00847C09"/>
    <w:rsid w:val="00847F10"/>
    <w:rsid w:val="008512A2"/>
    <w:rsid w:val="0085477F"/>
    <w:rsid w:val="0085493B"/>
    <w:rsid w:val="00854A00"/>
    <w:rsid w:val="00857A79"/>
    <w:rsid w:val="00861315"/>
    <w:rsid w:val="00861DA6"/>
    <w:rsid w:val="008626F4"/>
    <w:rsid w:val="0086327E"/>
    <w:rsid w:val="00863464"/>
    <w:rsid w:val="00863B48"/>
    <w:rsid w:val="00864338"/>
    <w:rsid w:val="00865307"/>
    <w:rsid w:val="00866C55"/>
    <w:rsid w:val="00871BC5"/>
    <w:rsid w:val="00872A1F"/>
    <w:rsid w:val="008733CF"/>
    <w:rsid w:val="0087366D"/>
    <w:rsid w:val="00873677"/>
    <w:rsid w:val="008739DA"/>
    <w:rsid w:val="00874397"/>
    <w:rsid w:val="008749E3"/>
    <w:rsid w:val="00874E4F"/>
    <w:rsid w:val="00874F22"/>
    <w:rsid w:val="00876697"/>
    <w:rsid w:val="00876925"/>
    <w:rsid w:val="00877097"/>
    <w:rsid w:val="0087759B"/>
    <w:rsid w:val="0088290A"/>
    <w:rsid w:val="00882E97"/>
    <w:rsid w:val="008838A0"/>
    <w:rsid w:val="00884CE6"/>
    <w:rsid w:val="00886005"/>
    <w:rsid w:val="0088623C"/>
    <w:rsid w:val="00886E73"/>
    <w:rsid w:val="00887A05"/>
    <w:rsid w:val="00887A5D"/>
    <w:rsid w:val="00887B7F"/>
    <w:rsid w:val="00887F2B"/>
    <w:rsid w:val="008907E4"/>
    <w:rsid w:val="00890A00"/>
    <w:rsid w:val="00890E7B"/>
    <w:rsid w:val="008912F1"/>
    <w:rsid w:val="008914DA"/>
    <w:rsid w:val="008921FB"/>
    <w:rsid w:val="00894A22"/>
    <w:rsid w:val="00894B8F"/>
    <w:rsid w:val="008950A3"/>
    <w:rsid w:val="008969E5"/>
    <w:rsid w:val="008A0BE2"/>
    <w:rsid w:val="008A0C6B"/>
    <w:rsid w:val="008A18FC"/>
    <w:rsid w:val="008A4035"/>
    <w:rsid w:val="008A51DB"/>
    <w:rsid w:val="008A69C8"/>
    <w:rsid w:val="008A7352"/>
    <w:rsid w:val="008A7927"/>
    <w:rsid w:val="008B2700"/>
    <w:rsid w:val="008B2982"/>
    <w:rsid w:val="008B381C"/>
    <w:rsid w:val="008B4B42"/>
    <w:rsid w:val="008B5829"/>
    <w:rsid w:val="008B64C0"/>
    <w:rsid w:val="008B7795"/>
    <w:rsid w:val="008B7E26"/>
    <w:rsid w:val="008C03A9"/>
    <w:rsid w:val="008C0547"/>
    <w:rsid w:val="008C1827"/>
    <w:rsid w:val="008C1ACF"/>
    <w:rsid w:val="008C201F"/>
    <w:rsid w:val="008C26D1"/>
    <w:rsid w:val="008C36C6"/>
    <w:rsid w:val="008C73E0"/>
    <w:rsid w:val="008C79BA"/>
    <w:rsid w:val="008D0335"/>
    <w:rsid w:val="008D0E17"/>
    <w:rsid w:val="008D109D"/>
    <w:rsid w:val="008D2A00"/>
    <w:rsid w:val="008D3B48"/>
    <w:rsid w:val="008D44C2"/>
    <w:rsid w:val="008D4BFA"/>
    <w:rsid w:val="008D533C"/>
    <w:rsid w:val="008D6C4C"/>
    <w:rsid w:val="008D72ED"/>
    <w:rsid w:val="008D76C3"/>
    <w:rsid w:val="008D7A69"/>
    <w:rsid w:val="008D7DDD"/>
    <w:rsid w:val="008E26DD"/>
    <w:rsid w:val="008E53ED"/>
    <w:rsid w:val="008E548F"/>
    <w:rsid w:val="008E5AB8"/>
    <w:rsid w:val="008E5EEA"/>
    <w:rsid w:val="008E6F1C"/>
    <w:rsid w:val="008E7F1C"/>
    <w:rsid w:val="008F4E3D"/>
    <w:rsid w:val="008F518B"/>
    <w:rsid w:val="008F51FC"/>
    <w:rsid w:val="008F5255"/>
    <w:rsid w:val="008F5545"/>
    <w:rsid w:val="008F5D90"/>
    <w:rsid w:val="008F6794"/>
    <w:rsid w:val="008F6D95"/>
    <w:rsid w:val="008F707E"/>
    <w:rsid w:val="008F7370"/>
    <w:rsid w:val="009007F6"/>
    <w:rsid w:val="00901D0F"/>
    <w:rsid w:val="00902BD6"/>
    <w:rsid w:val="00902CE9"/>
    <w:rsid w:val="00902DB0"/>
    <w:rsid w:val="0090303E"/>
    <w:rsid w:val="009065D1"/>
    <w:rsid w:val="009066FF"/>
    <w:rsid w:val="00907A9A"/>
    <w:rsid w:val="00910181"/>
    <w:rsid w:val="00910397"/>
    <w:rsid w:val="00910715"/>
    <w:rsid w:val="00913DC3"/>
    <w:rsid w:val="00914FC6"/>
    <w:rsid w:val="00917029"/>
    <w:rsid w:val="00917977"/>
    <w:rsid w:val="00917CCE"/>
    <w:rsid w:val="009206CE"/>
    <w:rsid w:val="009208C1"/>
    <w:rsid w:val="009236C5"/>
    <w:rsid w:val="00923C14"/>
    <w:rsid w:val="009270F6"/>
    <w:rsid w:val="009309CE"/>
    <w:rsid w:val="00930F21"/>
    <w:rsid w:val="00931E8F"/>
    <w:rsid w:val="0093272D"/>
    <w:rsid w:val="00932BD9"/>
    <w:rsid w:val="00933A6B"/>
    <w:rsid w:val="00933ABD"/>
    <w:rsid w:val="00934235"/>
    <w:rsid w:val="0093470A"/>
    <w:rsid w:val="00934B11"/>
    <w:rsid w:val="009350F7"/>
    <w:rsid w:val="00935EF2"/>
    <w:rsid w:val="00936D78"/>
    <w:rsid w:val="009376BF"/>
    <w:rsid w:val="009377B6"/>
    <w:rsid w:val="00940EEF"/>
    <w:rsid w:val="009423B3"/>
    <w:rsid w:val="009438D9"/>
    <w:rsid w:val="00944E9C"/>
    <w:rsid w:val="00945552"/>
    <w:rsid w:val="00946147"/>
    <w:rsid w:val="0094777A"/>
    <w:rsid w:val="009506C5"/>
    <w:rsid w:val="00951EDA"/>
    <w:rsid w:val="00952BD6"/>
    <w:rsid w:val="009532B6"/>
    <w:rsid w:val="00953E19"/>
    <w:rsid w:val="009555DF"/>
    <w:rsid w:val="009556EB"/>
    <w:rsid w:val="00956DF7"/>
    <w:rsid w:val="00956F3B"/>
    <w:rsid w:val="00956F9D"/>
    <w:rsid w:val="00960BB4"/>
    <w:rsid w:val="00962EB5"/>
    <w:rsid w:val="009644A8"/>
    <w:rsid w:val="00964972"/>
    <w:rsid w:val="0097049D"/>
    <w:rsid w:val="0097209B"/>
    <w:rsid w:val="00974E68"/>
    <w:rsid w:val="009755D6"/>
    <w:rsid w:val="009757AA"/>
    <w:rsid w:val="00975C40"/>
    <w:rsid w:val="00975DAC"/>
    <w:rsid w:val="00976BE2"/>
    <w:rsid w:val="00983F62"/>
    <w:rsid w:val="009865CA"/>
    <w:rsid w:val="00986B66"/>
    <w:rsid w:val="009870C8"/>
    <w:rsid w:val="0099019E"/>
    <w:rsid w:val="0099037B"/>
    <w:rsid w:val="00990EAB"/>
    <w:rsid w:val="009910E9"/>
    <w:rsid w:val="009919F0"/>
    <w:rsid w:val="00993CD1"/>
    <w:rsid w:val="00993EFD"/>
    <w:rsid w:val="00994B5C"/>
    <w:rsid w:val="00995CEF"/>
    <w:rsid w:val="009964F1"/>
    <w:rsid w:val="0099786D"/>
    <w:rsid w:val="009A1918"/>
    <w:rsid w:val="009A2E0C"/>
    <w:rsid w:val="009A3B33"/>
    <w:rsid w:val="009A4B24"/>
    <w:rsid w:val="009A4F63"/>
    <w:rsid w:val="009A5417"/>
    <w:rsid w:val="009A62A8"/>
    <w:rsid w:val="009A6D44"/>
    <w:rsid w:val="009A7AAB"/>
    <w:rsid w:val="009A7AC4"/>
    <w:rsid w:val="009B0F65"/>
    <w:rsid w:val="009B1161"/>
    <w:rsid w:val="009B2624"/>
    <w:rsid w:val="009B4220"/>
    <w:rsid w:val="009B48EF"/>
    <w:rsid w:val="009B4B39"/>
    <w:rsid w:val="009B4B88"/>
    <w:rsid w:val="009B4EFD"/>
    <w:rsid w:val="009B5309"/>
    <w:rsid w:val="009B6003"/>
    <w:rsid w:val="009B697E"/>
    <w:rsid w:val="009B69C2"/>
    <w:rsid w:val="009B6B19"/>
    <w:rsid w:val="009B6DA3"/>
    <w:rsid w:val="009B7E76"/>
    <w:rsid w:val="009C1FF8"/>
    <w:rsid w:val="009C23CD"/>
    <w:rsid w:val="009C2E66"/>
    <w:rsid w:val="009C394D"/>
    <w:rsid w:val="009C3A80"/>
    <w:rsid w:val="009C44E7"/>
    <w:rsid w:val="009C4849"/>
    <w:rsid w:val="009C4ADA"/>
    <w:rsid w:val="009C51F4"/>
    <w:rsid w:val="009C52E5"/>
    <w:rsid w:val="009C6244"/>
    <w:rsid w:val="009C6864"/>
    <w:rsid w:val="009D06AC"/>
    <w:rsid w:val="009D0B94"/>
    <w:rsid w:val="009D1B56"/>
    <w:rsid w:val="009D288F"/>
    <w:rsid w:val="009D2BF8"/>
    <w:rsid w:val="009D309B"/>
    <w:rsid w:val="009E0FFE"/>
    <w:rsid w:val="009E170C"/>
    <w:rsid w:val="009E254D"/>
    <w:rsid w:val="009E292B"/>
    <w:rsid w:val="009E2B3A"/>
    <w:rsid w:val="009E3BB4"/>
    <w:rsid w:val="009E40F2"/>
    <w:rsid w:val="009E52A2"/>
    <w:rsid w:val="009E6451"/>
    <w:rsid w:val="009E7755"/>
    <w:rsid w:val="009F0B8F"/>
    <w:rsid w:val="009F1BCD"/>
    <w:rsid w:val="009F375E"/>
    <w:rsid w:val="009F4282"/>
    <w:rsid w:val="009F4C85"/>
    <w:rsid w:val="009F5CA2"/>
    <w:rsid w:val="009F606A"/>
    <w:rsid w:val="009F6893"/>
    <w:rsid w:val="009F7428"/>
    <w:rsid w:val="009F7607"/>
    <w:rsid w:val="009F7DA1"/>
    <w:rsid w:val="00A003DA"/>
    <w:rsid w:val="00A00EF2"/>
    <w:rsid w:val="00A02023"/>
    <w:rsid w:val="00A02024"/>
    <w:rsid w:val="00A0256D"/>
    <w:rsid w:val="00A044E5"/>
    <w:rsid w:val="00A04B74"/>
    <w:rsid w:val="00A04F64"/>
    <w:rsid w:val="00A06209"/>
    <w:rsid w:val="00A0777D"/>
    <w:rsid w:val="00A10E94"/>
    <w:rsid w:val="00A11B92"/>
    <w:rsid w:val="00A12503"/>
    <w:rsid w:val="00A1494F"/>
    <w:rsid w:val="00A157DF"/>
    <w:rsid w:val="00A16554"/>
    <w:rsid w:val="00A17412"/>
    <w:rsid w:val="00A204D5"/>
    <w:rsid w:val="00A205D1"/>
    <w:rsid w:val="00A20823"/>
    <w:rsid w:val="00A21313"/>
    <w:rsid w:val="00A22C84"/>
    <w:rsid w:val="00A23A4E"/>
    <w:rsid w:val="00A2435E"/>
    <w:rsid w:val="00A2467E"/>
    <w:rsid w:val="00A250D9"/>
    <w:rsid w:val="00A308BC"/>
    <w:rsid w:val="00A31EF3"/>
    <w:rsid w:val="00A32FF2"/>
    <w:rsid w:val="00A33533"/>
    <w:rsid w:val="00A34764"/>
    <w:rsid w:val="00A35615"/>
    <w:rsid w:val="00A37241"/>
    <w:rsid w:val="00A407DD"/>
    <w:rsid w:val="00A40CC1"/>
    <w:rsid w:val="00A41418"/>
    <w:rsid w:val="00A41C22"/>
    <w:rsid w:val="00A41E50"/>
    <w:rsid w:val="00A4270E"/>
    <w:rsid w:val="00A50903"/>
    <w:rsid w:val="00A51393"/>
    <w:rsid w:val="00A51AD8"/>
    <w:rsid w:val="00A51DD0"/>
    <w:rsid w:val="00A53730"/>
    <w:rsid w:val="00A537AA"/>
    <w:rsid w:val="00A53BB0"/>
    <w:rsid w:val="00A54E56"/>
    <w:rsid w:val="00A5527F"/>
    <w:rsid w:val="00A553AA"/>
    <w:rsid w:val="00A55687"/>
    <w:rsid w:val="00A55D84"/>
    <w:rsid w:val="00A56B6C"/>
    <w:rsid w:val="00A57420"/>
    <w:rsid w:val="00A574A4"/>
    <w:rsid w:val="00A60138"/>
    <w:rsid w:val="00A6016F"/>
    <w:rsid w:val="00A6030B"/>
    <w:rsid w:val="00A612C5"/>
    <w:rsid w:val="00A62FF1"/>
    <w:rsid w:val="00A63864"/>
    <w:rsid w:val="00A651E7"/>
    <w:rsid w:val="00A66A2B"/>
    <w:rsid w:val="00A66C53"/>
    <w:rsid w:val="00A71563"/>
    <w:rsid w:val="00A718E5"/>
    <w:rsid w:val="00A72C43"/>
    <w:rsid w:val="00A72FFA"/>
    <w:rsid w:val="00A74411"/>
    <w:rsid w:val="00A75546"/>
    <w:rsid w:val="00A806C6"/>
    <w:rsid w:val="00A8193F"/>
    <w:rsid w:val="00A81EB8"/>
    <w:rsid w:val="00A82949"/>
    <w:rsid w:val="00A833F8"/>
    <w:rsid w:val="00A83FA5"/>
    <w:rsid w:val="00A86FC0"/>
    <w:rsid w:val="00A90DE9"/>
    <w:rsid w:val="00A91F5D"/>
    <w:rsid w:val="00A92DD8"/>
    <w:rsid w:val="00A9360D"/>
    <w:rsid w:val="00A937C4"/>
    <w:rsid w:val="00A9464E"/>
    <w:rsid w:val="00A950A6"/>
    <w:rsid w:val="00A960C5"/>
    <w:rsid w:val="00A96EEE"/>
    <w:rsid w:val="00A96F17"/>
    <w:rsid w:val="00AA0C99"/>
    <w:rsid w:val="00AA19A1"/>
    <w:rsid w:val="00AA23EB"/>
    <w:rsid w:val="00AA4737"/>
    <w:rsid w:val="00AA47F0"/>
    <w:rsid w:val="00AA4C68"/>
    <w:rsid w:val="00AA639E"/>
    <w:rsid w:val="00AA6498"/>
    <w:rsid w:val="00AA6686"/>
    <w:rsid w:val="00AA77DF"/>
    <w:rsid w:val="00AA79E4"/>
    <w:rsid w:val="00AB01C1"/>
    <w:rsid w:val="00AB08F5"/>
    <w:rsid w:val="00AB21CC"/>
    <w:rsid w:val="00AB3633"/>
    <w:rsid w:val="00AB37DB"/>
    <w:rsid w:val="00AB4EC7"/>
    <w:rsid w:val="00AB644F"/>
    <w:rsid w:val="00AB6E2E"/>
    <w:rsid w:val="00AB7091"/>
    <w:rsid w:val="00AB77A3"/>
    <w:rsid w:val="00AC0CCA"/>
    <w:rsid w:val="00AC0D21"/>
    <w:rsid w:val="00AC1372"/>
    <w:rsid w:val="00AC23A1"/>
    <w:rsid w:val="00AC3571"/>
    <w:rsid w:val="00AC6230"/>
    <w:rsid w:val="00AC6A07"/>
    <w:rsid w:val="00AC6DC0"/>
    <w:rsid w:val="00AC79B4"/>
    <w:rsid w:val="00AC7FC2"/>
    <w:rsid w:val="00AD04D6"/>
    <w:rsid w:val="00AD0578"/>
    <w:rsid w:val="00AD12A0"/>
    <w:rsid w:val="00AD12A2"/>
    <w:rsid w:val="00AD2334"/>
    <w:rsid w:val="00AD3AA4"/>
    <w:rsid w:val="00AD441A"/>
    <w:rsid w:val="00AD493D"/>
    <w:rsid w:val="00AD7A54"/>
    <w:rsid w:val="00AE0488"/>
    <w:rsid w:val="00AE1908"/>
    <w:rsid w:val="00AE25E4"/>
    <w:rsid w:val="00AE27E2"/>
    <w:rsid w:val="00AE2CB2"/>
    <w:rsid w:val="00AE3808"/>
    <w:rsid w:val="00AE720D"/>
    <w:rsid w:val="00AE76D4"/>
    <w:rsid w:val="00AF0EC2"/>
    <w:rsid w:val="00AF1143"/>
    <w:rsid w:val="00AF510F"/>
    <w:rsid w:val="00AF5ACB"/>
    <w:rsid w:val="00AF5B0B"/>
    <w:rsid w:val="00AF5D4B"/>
    <w:rsid w:val="00AF71F1"/>
    <w:rsid w:val="00B000F7"/>
    <w:rsid w:val="00B0022A"/>
    <w:rsid w:val="00B00593"/>
    <w:rsid w:val="00B00C56"/>
    <w:rsid w:val="00B014BF"/>
    <w:rsid w:val="00B02F9C"/>
    <w:rsid w:val="00B039E0"/>
    <w:rsid w:val="00B043F7"/>
    <w:rsid w:val="00B0476A"/>
    <w:rsid w:val="00B05042"/>
    <w:rsid w:val="00B05A22"/>
    <w:rsid w:val="00B06254"/>
    <w:rsid w:val="00B112A3"/>
    <w:rsid w:val="00B13B88"/>
    <w:rsid w:val="00B13D02"/>
    <w:rsid w:val="00B174A3"/>
    <w:rsid w:val="00B208AE"/>
    <w:rsid w:val="00B20970"/>
    <w:rsid w:val="00B21D75"/>
    <w:rsid w:val="00B21D9B"/>
    <w:rsid w:val="00B22482"/>
    <w:rsid w:val="00B226BA"/>
    <w:rsid w:val="00B234D2"/>
    <w:rsid w:val="00B23E4C"/>
    <w:rsid w:val="00B25C0A"/>
    <w:rsid w:val="00B27C4C"/>
    <w:rsid w:val="00B32630"/>
    <w:rsid w:val="00B32C2E"/>
    <w:rsid w:val="00B33DFA"/>
    <w:rsid w:val="00B35118"/>
    <w:rsid w:val="00B354EC"/>
    <w:rsid w:val="00B359A9"/>
    <w:rsid w:val="00B35ACE"/>
    <w:rsid w:val="00B363AE"/>
    <w:rsid w:val="00B36AE0"/>
    <w:rsid w:val="00B37724"/>
    <w:rsid w:val="00B4078A"/>
    <w:rsid w:val="00B408B2"/>
    <w:rsid w:val="00B40BC7"/>
    <w:rsid w:val="00B40CD0"/>
    <w:rsid w:val="00B4168C"/>
    <w:rsid w:val="00B43987"/>
    <w:rsid w:val="00B46571"/>
    <w:rsid w:val="00B467A3"/>
    <w:rsid w:val="00B476DC"/>
    <w:rsid w:val="00B47FC0"/>
    <w:rsid w:val="00B51344"/>
    <w:rsid w:val="00B514A1"/>
    <w:rsid w:val="00B52D9F"/>
    <w:rsid w:val="00B535B2"/>
    <w:rsid w:val="00B53F30"/>
    <w:rsid w:val="00B548CE"/>
    <w:rsid w:val="00B55336"/>
    <w:rsid w:val="00B55EE9"/>
    <w:rsid w:val="00B5786B"/>
    <w:rsid w:val="00B57875"/>
    <w:rsid w:val="00B60D71"/>
    <w:rsid w:val="00B63565"/>
    <w:rsid w:val="00B636D1"/>
    <w:rsid w:val="00B6397D"/>
    <w:rsid w:val="00B66892"/>
    <w:rsid w:val="00B66D85"/>
    <w:rsid w:val="00B705DA"/>
    <w:rsid w:val="00B705DC"/>
    <w:rsid w:val="00B707EA"/>
    <w:rsid w:val="00B7101A"/>
    <w:rsid w:val="00B71C61"/>
    <w:rsid w:val="00B73568"/>
    <w:rsid w:val="00B7366E"/>
    <w:rsid w:val="00B73A8D"/>
    <w:rsid w:val="00B74569"/>
    <w:rsid w:val="00B747CD"/>
    <w:rsid w:val="00B75F07"/>
    <w:rsid w:val="00B76C99"/>
    <w:rsid w:val="00B76F91"/>
    <w:rsid w:val="00B77B05"/>
    <w:rsid w:val="00B8187F"/>
    <w:rsid w:val="00B82E58"/>
    <w:rsid w:val="00B83E4F"/>
    <w:rsid w:val="00B8464B"/>
    <w:rsid w:val="00B84920"/>
    <w:rsid w:val="00B851A9"/>
    <w:rsid w:val="00B85E25"/>
    <w:rsid w:val="00B86A18"/>
    <w:rsid w:val="00B86FD7"/>
    <w:rsid w:val="00B875AE"/>
    <w:rsid w:val="00B912CF"/>
    <w:rsid w:val="00B91C6B"/>
    <w:rsid w:val="00B93C91"/>
    <w:rsid w:val="00B9403D"/>
    <w:rsid w:val="00B9422B"/>
    <w:rsid w:val="00B94A0F"/>
    <w:rsid w:val="00B94C47"/>
    <w:rsid w:val="00B94DF0"/>
    <w:rsid w:val="00B95FD6"/>
    <w:rsid w:val="00BA1254"/>
    <w:rsid w:val="00BA1ABD"/>
    <w:rsid w:val="00BA274B"/>
    <w:rsid w:val="00BA2C6F"/>
    <w:rsid w:val="00BA4317"/>
    <w:rsid w:val="00BA50C5"/>
    <w:rsid w:val="00BA7565"/>
    <w:rsid w:val="00BB2657"/>
    <w:rsid w:val="00BB2A57"/>
    <w:rsid w:val="00BB2F75"/>
    <w:rsid w:val="00BB306F"/>
    <w:rsid w:val="00BB393A"/>
    <w:rsid w:val="00BB4980"/>
    <w:rsid w:val="00BB5182"/>
    <w:rsid w:val="00BB5B27"/>
    <w:rsid w:val="00BB6F85"/>
    <w:rsid w:val="00BC045E"/>
    <w:rsid w:val="00BC1A03"/>
    <w:rsid w:val="00BC261A"/>
    <w:rsid w:val="00BC2F4A"/>
    <w:rsid w:val="00BC355F"/>
    <w:rsid w:val="00BC5289"/>
    <w:rsid w:val="00BC65DE"/>
    <w:rsid w:val="00BD009E"/>
    <w:rsid w:val="00BD18F0"/>
    <w:rsid w:val="00BD19A1"/>
    <w:rsid w:val="00BD2B8C"/>
    <w:rsid w:val="00BD2D88"/>
    <w:rsid w:val="00BD5598"/>
    <w:rsid w:val="00BD6BBD"/>
    <w:rsid w:val="00BE003A"/>
    <w:rsid w:val="00BE11F8"/>
    <w:rsid w:val="00BE1233"/>
    <w:rsid w:val="00BE1377"/>
    <w:rsid w:val="00BE1E90"/>
    <w:rsid w:val="00BE1EE8"/>
    <w:rsid w:val="00BE32FD"/>
    <w:rsid w:val="00BE39B3"/>
    <w:rsid w:val="00BE3BC6"/>
    <w:rsid w:val="00BE50D9"/>
    <w:rsid w:val="00BE5625"/>
    <w:rsid w:val="00BE5D60"/>
    <w:rsid w:val="00BE6536"/>
    <w:rsid w:val="00BF0783"/>
    <w:rsid w:val="00BF0BA8"/>
    <w:rsid w:val="00BF15DE"/>
    <w:rsid w:val="00BF2E32"/>
    <w:rsid w:val="00BF3B1E"/>
    <w:rsid w:val="00BF3EC0"/>
    <w:rsid w:val="00BF3FAC"/>
    <w:rsid w:val="00BF48FA"/>
    <w:rsid w:val="00BF494B"/>
    <w:rsid w:val="00C01096"/>
    <w:rsid w:val="00C02165"/>
    <w:rsid w:val="00C02B4A"/>
    <w:rsid w:val="00C02E3B"/>
    <w:rsid w:val="00C03774"/>
    <w:rsid w:val="00C042E2"/>
    <w:rsid w:val="00C06583"/>
    <w:rsid w:val="00C0681A"/>
    <w:rsid w:val="00C06903"/>
    <w:rsid w:val="00C06C10"/>
    <w:rsid w:val="00C12597"/>
    <w:rsid w:val="00C137E2"/>
    <w:rsid w:val="00C13EE4"/>
    <w:rsid w:val="00C20B4D"/>
    <w:rsid w:val="00C20C02"/>
    <w:rsid w:val="00C20F79"/>
    <w:rsid w:val="00C21E7B"/>
    <w:rsid w:val="00C222B1"/>
    <w:rsid w:val="00C2359F"/>
    <w:rsid w:val="00C23F31"/>
    <w:rsid w:val="00C24B27"/>
    <w:rsid w:val="00C2571C"/>
    <w:rsid w:val="00C25A63"/>
    <w:rsid w:val="00C26F21"/>
    <w:rsid w:val="00C27426"/>
    <w:rsid w:val="00C30EBB"/>
    <w:rsid w:val="00C31245"/>
    <w:rsid w:val="00C3228C"/>
    <w:rsid w:val="00C32328"/>
    <w:rsid w:val="00C323F0"/>
    <w:rsid w:val="00C338D1"/>
    <w:rsid w:val="00C34B8D"/>
    <w:rsid w:val="00C40838"/>
    <w:rsid w:val="00C42963"/>
    <w:rsid w:val="00C4304E"/>
    <w:rsid w:val="00C43C35"/>
    <w:rsid w:val="00C46B50"/>
    <w:rsid w:val="00C504E4"/>
    <w:rsid w:val="00C51725"/>
    <w:rsid w:val="00C52A2E"/>
    <w:rsid w:val="00C53358"/>
    <w:rsid w:val="00C54657"/>
    <w:rsid w:val="00C54C82"/>
    <w:rsid w:val="00C54F38"/>
    <w:rsid w:val="00C5560F"/>
    <w:rsid w:val="00C56B41"/>
    <w:rsid w:val="00C56C2A"/>
    <w:rsid w:val="00C56D70"/>
    <w:rsid w:val="00C5717B"/>
    <w:rsid w:val="00C571AC"/>
    <w:rsid w:val="00C60B96"/>
    <w:rsid w:val="00C62C5A"/>
    <w:rsid w:val="00C635A1"/>
    <w:rsid w:val="00C64ECA"/>
    <w:rsid w:val="00C65F24"/>
    <w:rsid w:val="00C66273"/>
    <w:rsid w:val="00C667F9"/>
    <w:rsid w:val="00C67629"/>
    <w:rsid w:val="00C701A4"/>
    <w:rsid w:val="00C70337"/>
    <w:rsid w:val="00C70CF6"/>
    <w:rsid w:val="00C71496"/>
    <w:rsid w:val="00C71C7A"/>
    <w:rsid w:val="00C72493"/>
    <w:rsid w:val="00C73097"/>
    <w:rsid w:val="00C7344A"/>
    <w:rsid w:val="00C7453B"/>
    <w:rsid w:val="00C7559A"/>
    <w:rsid w:val="00C77B75"/>
    <w:rsid w:val="00C805E0"/>
    <w:rsid w:val="00C80AFA"/>
    <w:rsid w:val="00C80E6B"/>
    <w:rsid w:val="00C819A2"/>
    <w:rsid w:val="00C82042"/>
    <w:rsid w:val="00C83033"/>
    <w:rsid w:val="00C85CEA"/>
    <w:rsid w:val="00C8725D"/>
    <w:rsid w:val="00C909CF"/>
    <w:rsid w:val="00C92DBC"/>
    <w:rsid w:val="00C93F8C"/>
    <w:rsid w:val="00C96113"/>
    <w:rsid w:val="00C964EA"/>
    <w:rsid w:val="00C965BE"/>
    <w:rsid w:val="00C96B00"/>
    <w:rsid w:val="00C97E63"/>
    <w:rsid w:val="00CA009B"/>
    <w:rsid w:val="00CA0E01"/>
    <w:rsid w:val="00CA1481"/>
    <w:rsid w:val="00CA23E6"/>
    <w:rsid w:val="00CA4464"/>
    <w:rsid w:val="00CA4F7D"/>
    <w:rsid w:val="00CA64CF"/>
    <w:rsid w:val="00CA7D57"/>
    <w:rsid w:val="00CB017A"/>
    <w:rsid w:val="00CB01AE"/>
    <w:rsid w:val="00CB0892"/>
    <w:rsid w:val="00CB08BE"/>
    <w:rsid w:val="00CB0A9F"/>
    <w:rsid w:val="00CB0DD3"/>
    <w:rsid w:val="00CB1D6E"/>
    <w:rsid w:val="00CB1D82"/>
    <w:rsid w:val="00CB3171"/>
    <w:rsid w:val="00CB42CE"/>
    <w:rsid w:val="00CB4669"/>
    <w:rsid w:val="00CB5446"/>
    <w:rsid w:val="00CB641B"/>
    <w:rsid w:val="00CB6926"/>
    <w:rsid w:val="00CB7756"/>
    <w:rsid w:val="00CB7A9B"/>
    <w:rsid w:val="00CC0014"/>
    <w:rsid w:val="00CC07B8"/>
    <w:rsid w:val="00CC07D7"/>
    <w:rsid w:val="00CC2178"/>
    <w:rsid w:val="00CC2230"/>
    <w:rsid w:val="00CC25EA"/>
    <w:rsid w:val="00CC31C5"/>
    <w:rsid w:val="00CC3C1B"/>
    <w:rsid w:val="00CC5F5C"/>
    <w:rsid w:val="00CC69F0"/>
    <w:rsid w:val="00CC726D"/>
    <w:rsid w:val="00CC7FD7"/>
    <w:rsid w:val="00CD0CCF"/>
    <w:rsid w:val="00CD12ED"/>
    <w:rsid w:val="00CD2C85"/>
    <w:rsid w:val="00CD3277"/>
    <w:rsid w:val="00CD3340"/>
    <w:rsid w:val="00CD4F3F"/>
    <w:rsid w:val="00CD56BE"/>
    <w:rsid w:val="00CD67AB"/>
    <w:rsid w:val="00CD6970"/>
    <w:rsid w:val="00CD6A05"/>
    <w:rsid w:val="00CD6D94"/>
    <w:rsid w:val="00CD7DF0"/>
    <w:rsid w:val="00CE0356"/>
    <w:rsid w:val="00CE0470"/>
    <w:rsid w:val="00CE0902"/>
    <w:rsid w:val="00CE1548"/>
    <w:rsid w:val="00CE22A1"/>
    <w:rsid w:val="00CE2DC7"/>
    <w:rsid w:val="00CE31EF"/>
    <w:rsid w:val="00CE466C"/>
    <w:rsid w:val="00CE5142"/>
    <w:rsid w:val="00CE5ECC"/>
    <w:rsid w:val="00CE67B2"/>
    <w:rsid w:val="00CE7574"/>
    <w:rsid w:val="00CE7A04"/>
    <w:rsid w:val="00CF19DB"/>
    <w:rsid w:val="00CF421E"/>
    <w:rsid w:val="00CF52F9"/>
    <w:rsid w:val="00CF7F64"/>
    <w:rsid w:val="00D00FD7"/>
    <w:rsid w:val="00D015A6"/>
    <w:rsid w:val="00D01AE5"/>
    <w:rsid w:val="00D01D15"/>
    <w:rsid w:val="00D02774"/>
    <w:rsid w:val="00D029E4"/>
    <w:rsid w:val="00D02C73"/>
    <w:rsid w:val="00D062FB"/>
    <w:rsid w:val="00D07ED0"/>
    <w:rsid w:val="00D07F40"/>
    <w:rsid w:val="00D114A8"/>
    <w:rsid w:val="00D115AD"/>
    <w:rsid w:val="00D12E1E"/>
    <w:rsid w:val="00D141E8"/>
    <w:rsid w:val="00D14AC3"/>
    <w:rsid w:val="00D1572E"/>
    <w:rsid w:val="00D212FD"/>
    <w:rsid w:val="00D21427"/>
    <w:rsid w:val="00D2220A"/>
    <w:rsid w:val="00D2355F"/>
    <w:rsid w:val="00D23FC4"/>
    <w:rsid w:val="00D2526C"/>
    <w:rsid w:val="00D25527"/>
    <w:rsid w:val="00D30F84"/>
    <w:rsid w:val="00D31BFB"/>
    <w:rsid w:val="00D32ABB"/>
    <w:rsid w:val="00D32B23"/>
    <w:rsid w:val="00D34B37"/>
    <w:rsid w:val="00D35FDB"/>
    <w:rsid w:val="00D40B01"/>
    <w:rsid w:val="00D41D87"/>
    <w:rsid w:val="00D41F0F"/>
    <w:rsid w:val="00D44165"/>
    <w:rsid w:val="00D441BB"/>
    <w:rsid w:val="00D454D2"/>
    <w:rsid w:val="00D45D3D"/>
    <w:rsid w:val="00D46BF0"/>
    <w:rsid w:val="00D47CF3"/>
    <w:rsid w:val="00D50738"/>
    <w:rsid w:val="00D50BB5"/>
    <w:rsid w:val="00D50EE3"/>
    <w:rsid w:val="00D51005"/>
    <w:rsid w:val="00D52491"/>
    <w:rsid w:val="00D52BFA"/>
    <w:rsid w:val="00D52CA5"/>
    <w:rsid w:val="00D53425"/>
    <w:rsid w:val="00D53E7C"/>
    <w:rsid w:val="00D54836"/>
    <w:rsid w:val="00D57785"/>
    <w:rsid w:val="00D57E77"/>
    <w:rsid w:val="00D60180"/>
    <w:rsid w:val="00D60CDA"/>
    <w:rsid w:val="00D6133D"/>
    <w:rsid w:val="00D62BB9"/>
    <w:rsid w:val="00D64795"/>
    <w:rsid w:val="00D64F4D"/>
    <w:rsid w:val="00D707F3"/>
    <w:rsid w:val="00D70B0B"/>
    <w:rsid w:val="00D70CAA"/>
    <w:rsid w:val="00D71731"/>
    <w:rsid w:val="00D73014"/>
    <w:rsid w:val="00D74855"/>
    <w:rsid w:val="00D74BA2"/>
    <w:rsid w:val="00D74F0E"/>
    <w:rsid w:val="00D77035"/>
    <w:rsid w:val="00D77877"/>
    <w:rsid w:val="00D80DB6"/>
    <w:rsid w:val="00D82905"/>
    <w:rsid w:val="00D82F55"/>
    <w:rsid w:val="00D8318C"/>
    <w:rsid w:val="00D83C5A"/>
    <w:rsid w:val="00D84E3B"/>
    <w:rsid w:val="00D84FE0"/>
    <w:rsid w:val="00D86D1E"/>
    <w:rsid w:val="00D87180"/>
    <w:rsid w:val="00D87353"/>
    <w:rsid w:val="00D878D6"/>
    <w:rsid w:val="00D87B2A"/>
    <w:rsid w:val="00D94655"/>
    <w:rsid w:val="00D95821"/>
    <w:rsid w:val="00D95BA9"/>
    <w:rsid w:val="00D95F7A"/>
    <w:rsid w:val="00D96C42"/>
    <w:rsid w:val="00D970EE"/>
    <w:rsid w:val="00DA02EF"/>
    <w:rsid w:val="00DA2348"/>
    <w:rsid w:val="00DA243F"/>
    <w:rsid w:val="00DA3462"/>
    <w:rsid w:val="00DA357F"/>
    <w:rsid w:val="00DA4E33"/>
    <w:rsid w:val="00DA745A"/>
    <w:rsid w:val="00DA7D3B"/>
    <w:rsid w:val="00DA7EB4"/>
    <w:rsid w:val="00DB254A"/>
    <w:rsid w:val="00DB2943"/>
    <w:rsid w:val="00DB2AEE"/>
    <w:rsid w:val="00DB347C"/>
    <w:rsid w:val="00DB3826"/>
    <w:rsid w:val="00DB74A6"/>
    <w:rsid w:val="00DBAE16"/>
    <w:rsid w:val="00DC0FC1"/>
    <w:rsid w:val="00DC14D7"/>
    <w:rsid w:val="00DC1804"/>
    <w:rsid w:val="00DC190E"/>
    <w:rsid w:val="00DC1A7C"/>
    <w:rsid w:val="00DC24EE"/>
    <w:rsid w:val="00DC309A"/>
    <w:rsid w:val="00DC31FE"/>
    <w:rsid w:val="00DC4A56"/>
    <w:rsid w:val="00DC539F"/>
    <w:rsid w:val="00DC540F"/>
    <w:rsid w:val="00DC5969"/>
    <w:rsid w:val="00DC5FD6"/>
    <w:rsid w:val="00DC71C4"/>
    <w:rsid w:val="00DD0423"/>
    <w:rsid w:val="00DD0D28"/>
    <w:rsid w:val="00DD0FB2"/>
    <w:rsid w:val="00DD10B2"/>
    <w:rsid w:val="00DD27DF"/>
    <w:rsid w:val="00DD28A7"/>
    <w:rsid w:val="00DD3784"/>
    <w:rsid w:val="00DD41CF"/>
    <w:rsid w:val="00DD4452"/>
    <w:rsid w:val="00DD6BF3"/>
    <w:rsid w:val="00DE00AE"/>
    <w:rsid w:val="00DE11F9"/>
    <w:rsid w:val="00DE17D8"/>
    <w:rsid w:val="00DE32CB"/>
    <w:rsid w:val="00DE391C"/>
    <w:rsid w:val="00DE4741"/>
    <w:rsid w:val="00DE4E91"/>
    <w:rsid w:val="00DE51AF"/>
    <w:rsid w:val="00DE618A"/>
    <w:rsid w:val="00DE64CA"/>
    <w:rsid w:val="00DE7C5F"/>
    <w:rsid w:val="00DE7D26"/>
    <w:rsid w:val="00DF0D50"/>
    <w:rsid w:val="00DF0D54"/>
    <w:rsid w:val="00DF14C3"/>
    <w:rsid w:val="00DF2FD6"/>
    <w:rsid w:val="00DF38AA"/>
    <w:rsid w:val="00DF43D0"/>
    <w:rsid w:val="00DF50E7"/>
    <w:rsid w:val="00DF5D14"/>
    <w:rsid w:val="00DF5D84"/>
    <w:rsid w:val="00DF65A0"/>
    <w:rsid w:val="00DF6D15"/>
    <w:rsid w:val="00DF7475"/>
    <w:rsid w:val="00E00A68"/>
    <w:rsid w:val="00E00B23"/>
    <w:rsid w:val="00E01BE6"/>
    <w:rsid w:val="00E031E3"/>
    <w:rsid w:val="00E04CD5"/>
    <w:rsid w:val="00E05DA0"/>
    <w:rsid w:val="00E07ED1"/>
    <w:rsid w:val="00E100C1"/>
    <w:rsid w:val="00E105FC"/>
    <w:rsid w:val="00E10754"/>
    <w:rsid w:val="00E11178"/>
    <w:rsid w:val="00E11D7B"/>
    <w:rsid w:val="00E13AF0"/>
    <w:rsid w:val="00E1403B"/>
    <w:rsid w:val="00E14903"/>
    <w:rsid w:val="00E14FD7"/>
    <w:rsid w:val="00E150C9"/>
    <w:rsid w:val="00E152DF"/>
    <w:rsid w:val="00E16830"/>
    <w:rsid w:val="00E169F1"/>
    <w:rsid w:val="00E16B10"/>
    <w:rsid w:val="00E178FB"/>
    <w:rsid w:val="00E2041E"/>
    <w:rsid w:val="00E2047B"/>
    <w:rsid w:val="00E20CD1"/>
    <w:rsid w:val="00E22377"/>
    <w:rsid w:val="00E234C7"/>
    <w:rsid w:val="00E2372D"/>
    <w:rsid w:val="00E23D1F"/>
    <w:rsid w:val="00E240CF"/>
    <w:rsid w:val="00E26849"/>
    <w:rsid w:val="00E27771"/>
    <w:rsid w:val="00E279ED"/>
    <w:rsid w:val="00E27B50"/>
    <w:rsid w:val="00E30288"/>
    <w:rsid w:val="00E31963"/>
    <w:rsid w:val="00E321D3"/>
    <w:rsid w:val="00E34E9B"/>
    <w:rsid w:val="00E3748A"/>
    <w:rsid w:val="00E374BB"/>
    <w:rsid w:val="00E37A3B"/>
    <w:rsid w:val="00E40046"/>
    <w:rsid w:val="00E4012F"/>
    <w:rsid w:val="00E40C06"/>
    <w:rsid w:val="00E40D32"/>
    <w:rsid w:val="00E41E93"/>
    <w:rsid w:val="00E4287C"/>
    <w:rsid w:val="00E42D54"/>
    <w:rsid w:val="00E436D8"/>
    <w:rsid w:val="00E43E50"/>
    <w:rsid w:val="00E44387"/>
    <w:rsid w:val="00E45425"/>
    <w:rsid w:val="00E504FA"/>
    <w:rsid w:val="00E505A0"/>
    <w:rsid w:val="00E51164"/>
    <w:rsid w:val="00E5280F"/>
    <w:rsid w:val="00E53ED2"/>
    <w:rsid w:val="00E54478"/>
    <w:rsid w:val="00E54845"/>
    <w:rsid w:val="00E5629A"/>
    <w:rsid w:val="00E56360"/>
    <w:rsid w:val="00E56FEA"/>
    <w:rsid w:val="00E574A2"/>
    <w:rsid w:val="00E5761D"/>
    <w:rsid w:val="00E60BD8"/>
    <w:rsid w:val="00E60FFE"/>
    <w:rsid w:val="00E61DBA"/>
    <w:rsid w:val="00E62E84"/>
    <w:rsid w:val="00E6329E"/>
    <w:rsid w:val="00E63DE6"/>
    <w:rsid w:val="00E640B2"/>
    <w:rsid w:val="00E641F8"/>
    <w:rsid w:val="00E64A9B"/>
    <w:rsid w:val="00E668BF"/>
    <w:rsid w:val="00E7030E"/>
    <w:rsid w:val="00E7049E"/>
    <w:rsid w:val="00E70874"/>
    <w:rsid w:val="00E710DC"/>
    <w:rsid w:val="00E71DD6"/>
    <w:rsid w:val="00E72CC9"/>
    <w:rsid w:val="00E73804"/>
    <w:rsid w:val="00E746A3"/>
    <w:rsid w:val="00E74934"/>
    <w:rsid w:val="00E756FC"/>
    <w:rsid w:val="00E76F4A"/>
    <w:rsid w:val="00E77275"/>
    <w:rsid w:val="00E80035"/>
    <w:rsid w:val="00E808FA"/>
    <w:rsid w:val="00E810C3"/>
    <w:rsid w:val="00E82315"/>
    <w:rsid w:val="00E83380"/>
    <w:rsid w:val="00E85631"/>
    <w:rsid w:val="00E85E1D"/>
    <w:rsid w:val="00E87522"/>
    <w:rsid w:val="00E90EB6"/>
    <w:rsid w:val="00E90F11"/>
    <w:rsid w:val="00E92C97"/>
    <w:rsid w:val="00E93549"/>
    <w:rsid w:val="00E937F2"/>
    <w:rsid w:val="00E9438B"/>
    <w:rsid w:val="00E94D35"/>
    <w:rsid w:val="00E95632"/>
    <w:rsid w:val="00EA040A"/>
    <w:rsid w:val="00EA04FB"/>
    <w:rsid w:val="00EA1005"/>
    <w:rsid w:val="00EA1939"/>
    <w:rsid w:val="00EA1DB2"/>
    <w:rsid w:val="00EA2887"/>
    <w:rsid w:val="00EA3BB8"/>
    <w:rsid w:val="00EA3C91"/>
    <w:rsid w:val="00EA3EBC"/>
    <w:rsid w:val="00EA4BC2"/>
    <w:rsid w:val="00EA4D24"/>
    <w:rsid w:val="00EA6DE7"/>
    <w:rsid w:val="00EA7F90"/>
    <w:rsid w:val="00EB08F7"/>
    <w:rsid w:val="00EB1CEC"/>
    <w:rsid w:val="00EB286B"/>
    <w:rsid w:val="00EB2E8F"/>
    <w:rsid w:val="00EB45D5"/>
    <w:rsid w:val="00EB5AA1"/>
    <w:rsid w:val="00EB5B8E"/>
    <w:rsid w:val="00EB61FE"/>
    <w:rsid w:val="00EB6E73"/>
    <w:rsid w:val="00EC02F5"/>
    <w:rsid w:val="00EC2D8F"/>
    <w:rsid w:val="00EC3BE6"/>
    <w:rsid w:val="00EC3FAD"/>
    <w:rsid w:val="00EC4127"/>
    <w:rsid w:val="00EC51AB"/>
    <w:rsid w:val="00EC7778"/>
    <w:rsid w:val="00ED0C9E"/>
    <w:rsid w:val="00ED1C1F"/>
    <w:rsid w:val="00ED254D"/>
    <w:rsid w:val="00ED2C7A"/>
    <w:rsid w:val="00ED3295"/>
    <w:rsid w:val="00ED44C4"/>
    <w:rsid w:val="00ED452B"/>
    <w:rsid w:val="00ED4C5B"/>
    <w:rsid w:val="00ED6706"/>
    <w:rsid w:val="00ED69B6"/>
    <w:rsid w:val="00EE0C4E"/>
    <w:rsid w:val="00EE1528"/>
    <w:rsid w:val="00EE1D3F"/>
    <w:rsid w:val="00EE2F72"/>
    <w:rsid w:val="00EE31B8"/>
    <w:rsid w:val="00EE431D"/>
    <w:rsid w:val="00EE4361"/>
    <w:rsid w:val="00EE4455"/>
    <w:rsid w:val="00EE534E"/>
    <w:rsid w:val="00EE55F3"/>
    <w:rsid w:val="00EE5F09"/>
    <w:rsid w:val="00EE6CB5"/>
    <w:rsid w:val="00EF09E4"/>
    <w:rsid w:val="00EF0FF3"/>
    <w:rsid w:val="00EF2F20"/>
    <w:rsid w:val="00EF64B5"/>
    <w:rsid w:val="00EF7EE4"/>
    <w:rsid w:val="00F01056"/>
    <w:rsid w:val="00F023B4"/>
    <w:rsid w:val="00F03C68"/>
    <w:rsid w:val="00F0678A"/>
    <w:rsid w:val="00F06FC3"/>
    <w:rsid w:val="00F0794F"/>
    <w:rsid w:val="00F10B49"/>
    <w:rsid w:val="00F1113F"/>
    <w:rsid w:val="00F114F4"/>
    <w:rsid w:val="00F1326A"/>
    <w:rsid w:val="00F13305"/>
    <w:rsid w:val="00F13571"/>
    <w:rsid w:val="00F14746"/>
    <w:rsid w:val="00F15C43"/>
    <w:rsid w:val="00F16630"/>
    <w:rsid w:val="00F1674E"/>
    <w:rsid w:val="00F170FF"/>
    <w:rsid w:val="00F20774"/>
    <w:rsid w:val="00F211F6"/>
    <w:rsid w:val="00F21900"/>
    <w:rsid w:val="00F21943"/>
    <w:rsid w:val="00F21C35"/>
    <w:rsid w:val="00F21FF8"/>
    <w:rsid w:val="00F22B9D"/>
    <w:rsid w:val="00F22F40"/>
    <w:rsid w:val="00F26281"/>
    <w:rsid w:val="00F26DEA"/>
    <w:rsid w:val="00F274BB"/>
    <w:rsid w:val="00F2758C"/>
    <w:rsid w:val="00F30264"/>
    <w:rsid w:val="00F309E2"/>
    <w:rsid w:val="00F30AF2"/>
    <w:rsid w:val="00F3101F"/>
    <w:rsid w:val="00F32EAF"/>
    <w:rsid w:val="00F3391D"/>
    <w:rsid w:val="00F33C32"/>
    <w:rsid w:val="00F34338"/>
    <w:rsid w:val="00F34E34"/>
    <w:rsid w:val="00F35049"/>
    <w:rsid w:val="00F36A31"/>
    <w:rsid w:val="00F37838"/>
    <w:rsid w:val="00F4069F"/>
    <w:rsid w:val="00F4343B"/>
    <w:rsid w:val="00F43E03"/>
    <w:rsid w:val="00F446B5"/>
    <w:rsid w:val="00F449DB"/>
    <w:rsid w:val="00F44B03"/>
    <w:rsid w:val="00F44C11"/>
    <w:rsid w:val="00F451FD"/>
    <w:rsid w:val="00F45900"/>
    <w:rsid w:val="00F5054E"/>
    <w:rsid w:val="00F5400A"/>
    <w:rsid w:val="00F574A1"/>
    <w:rsid w:val="00F578F9"/>
    <w:rsid w:val="00F6151F"/>
    <w:rsid w:val="00F61A6A"/>
    <w:rsid w:val="00F62425"/>
    <w:rsid w:val="00F62BA4"/>
    <w:rsid w:val="00F635E3"/>
    <w:rsid w:val="00F6552F"/>
    <w:rsid w:val="00F65977"/>
    <w:rsid w:val="00F65FBB"/>
    <w:rsid w:val="00F66346"/>
    <w:rsid w:val="00F67569"/>
    <w:rsid w:val="00F71877"/>
    <w:rsid w:val="00F71A7B"/>
    <w:rsid w:val="00F7223F"/>
    <w:rsid w:val="00F724EA"/>
    <w:rsid w:val="00F73C40"/>
    <w:rsid w:val="00F74DBA"/>
    <w:rsid w:val="00F750D7"/>
    <w:rsid w:val="00F757A4"/>
    <w:rsid w:val="00F7774D"/>
    <w:rsid w:val="00F81073"/>
    <w:rsid w:val="00F81E9C"/>
    <w:rsid w:val="00F833B1"/>
    <w:rsid w:val="00F83FCE"/>
    <w:rsid w:val="00F84505"/>
    <w:rsid w:val="00F84B40"/>
    <w:rsid w:val="00F85EA2"/>
    <w:rsid w:val="00F866C3"/>
    <w:rsid w:val="00F90F4A"/>
    <w:rsid w:val="00F91FF0"/>
    <w:rsid w:val="00F9457F"/>
    <w:rsid w:val="00F9470C"/>
    <w:rsid w:val="00F94BEB"/>
    <w:rsid w:val="00F95198"/>
    <w:rsid w:val="00F96D3A"/>
    <w:rsid w:val="00F97EE3"/>
    <w:rsid w:val="00FA1B6E"/>
    <w:rsid w:val="00FA24C8"/>
    <w:rsid w:val="00FA3F1A"/>
    <w:rsid w:val="00FA3F64"/>
    <w:rsid w:val="00FA5119"/>
    <w:rsid w:val="00FA649D"/>
    <w:rsid w:val="00FA64DF"/>
    <w:rsid w:val="00FB1A15"/>
    <w:rsid w:val="00FB4BD3"/>
    <w:rsid w:val="00FB4C84"/>
    <w:rsid w:val="00FB5737"/>
    <w:rsid w:val="00FB5DA9"/>
    <w:rsid w:val="00FB5EF7"/>
    <w:rsid w:val="00FB64A1"/>
    <w:rsid w:val="00FB7430"/>
    <w:rsid w:val="00FC04F5"/>
    <w:rsid w:val="00FC112F"/>
    <w:rsid w:val="00FC1C6C"/>
    <w:rsid w:val="00FC1F5E"/>
    <w:rsid w:val="00FC3CCC"/>
    <w:rsid w:val="00FC5980"/>
    <w:rsid w:val="00FC692F"/>
    <w:rsid w:val="00FC745D"/>
    <w:rsid w:val="00FC78C0"/>
    <w:rsid w:val="00FD0370"/>
    <w:rsid w:val="00FD0EC3"/>
    <w:rsid w:val="00FD2324"/>
    <w:rsid w:val="00FD3722"/>
    <w:rsid w:val="00FD3AF1"/>
    <w:rsid w:val="00FD4377"/>
    <w:rsid w:val="00FD536E"/>
    <w:rsid w:val="00FD7237"/>
    <w:rsid w:val="00FD7F0C"/>
    <w:rsid w:val="00FE003A"/>
    <w:rsid w:val="00FE141C"/>
    <w:rsid w:val="00FE1C87"/>
    <w:rsid w:val="00FE2A7A"/>
    <w:rsid w:val="00FE3CF0"/>
    <w:rsid w:val="00FE51D3"/>
    <w:rsid w:val="00FE5393"/>
    <w:rsid w:val="00FE7249"/>
    <w:rsid w:val="00FF0127"/>
    <w:rsid w:val="00FF0E56"/>
    <w:rsid w:val="00FF104B"/>
    <w:rsid w:val="00FF12F1"/>
    <w:rsid w:val="00FF201D"/>
    <w:rsid w:val="00FF2EC9"/>
    <w:rsid w:val="00FF2F49"/>
    <w:rsid w:val="00FF574E"/>
    <w:rsid w:val="018F2C7C"/>
    <w:rsid w:val="0223830F"/>
    <w:rsid w:val="02552B95"/>
    <w:rsid w:val="03AA5366"/>
    <w:rsid w:val="03DEA702"/>
    <w:rsid w:val="03E09B19"/>
    <w:rsid w:val="0436B491"/>
    <w:rsid w:val="044C23CC"/>
    <w:rsid w:val="046BB1A0"/>
    <w:rsid w:val="060DE4CE"/>
    <w:rsid w:val="06AA95AC"/>
    <w:rsid w:val="06DB26A1"/>
    <w:rsid w:val="079EAB6E"/>
    <w:rsid w:val="0828172C"/>
    <w:rsid w:val="083BC2A9"/>
    <w:rsid w:val="0855DC1E"/>
    <w:rsid w:val="086BED07"/>
    <w:rsid w:val="08862C90"/>
    <w:rsid w:val="090C2ADA"/>
    <w:rsid w:val="091E0476"/>
    <w:rsid w:val="0C053BF8"/>
    <w:rsid w:val="0E847063"/>
    <w:rsid w:val="0EF8B580"/>
    <w:rsid w:val="0F2511E5"/>
    <w:rsid w:val="0F30B655"/>
    <w:rsid w:val="10C78A19"/>
    <w:rsid w:val="11482078"/>
    <w:rsid w:val="11F2049D"/>
    <w:rsid w:val="11F8D1F8"/>
    <w:rsid w:val="13ABCC2D"/>
    <w:rsid w:val="13B4C578"/>
    <w:rsid w:val="1657A6E4"/>
    <w:rsid w:val="17363740"/>
    <w:rsid w:val="177612BA"/>
    <w:rsid w:val="19F173A4"/>
    <w:rsid w:val="1AD71EF9"/>
    <w:rsid w:val="1ADD3561"/>
    <w:rsid w:val="1AEF8786"/>
    <w:rsid w:val="1B003A64"/>
    <w:rsid w:val="1B520E0C"/>
    <w:rsid w:val="1D4A2E5F"/>
    <w:rsid w:val="1DC5469B"/>
    <w:rsid w:val="1EDED836"/>
    <w:rsid w:val="2022CF09"/>
    <w:rsid w:val="20B4347A"/>
    <w:rsid w:val="20FE5C14"/>
    <w:rsid w:val="21266565"/>
    <w:rsid w:val="21BF9F6E"/>
    <w:rsid w:val="223909F7"/>
    <w:rsid w:val="2395CC85"/>
    <w:rsid w:val="24205648"/>
    <w:rsid w:val="24B610B6"/>
    <w:rsid w:val="24C8ED7E"/>
    <w:rsid w:val="2543E090"/>
    <w:rsid w:val="25F7D34D"/>
    <w:rsid w:val="2787C01C"/>
    <w:rsid w:val="2A57854F"/>
    <w:rsid w:val="2AEB0F2D"/>
    <w:rsid w:val="2B16B5AE"/>
    <w:rsid w:val="2CAF03F0"/>
    <w:rsid w:val="2CB92925"/>
    <w:rsid w:val="2CD38E61"/>
    <w:rsid w:val="2CE65BB5"/>
    <w:rsid w:val="2CF1BB6A"/>
    <w:rsid w:val="302C7385"/>
    <w:rsid w:val="30D4462E"/>
    <w:rsid w:val="3166BD88"/>
    <w:rsid w:val="3194CFAE"/>
    <w:rsid w:val="32551CE6"/>
    <w:rsid w:val="33423D1D"/>
    <w:rsid w:val="33764D40"/>
    <w:rsid w:val="33E3D813"/>
    <w:rsid w:val="34A11309"/>
    <w:rsid w:val="35350AE1"/>
    <w:rsid w:val="35793BCF"/>
    <w:rsid w:val="35AE5CD0"/>
    <w:rsid w:val="36025CB4"/>
    <w:rsid w:val="36595780"/>
    <w:rsid w:val="366E6393"/>
    <w:rsid w:val="383610B4"/>
    <w:rsid w:val="38EA5D45"/>
    <w:rsid w:val="39D43A98"/>
    <w:rsid w:val="3A405198"/>
    <w:rsid w:val="3BD2CB15"/>
    <w:rsid w:val="3C76498E"/>
    <w:rsid w:val="3C978616"/>
    <w:rsid w:val="3E22C235"/>
    <w:rsid w:val="40455841"/>
    <w:rsid w:val="42CE0488"/>
    <w:rsid w:val="42D84A17"/>
    <w:rsid w:val="4307D578"/>
    <w:rsid w:val="45615729"/>
    <w:rsid w:val="4611766F"/>
    <w:rsid w:val="474695F0"/>
    <w:rsid w:val="47BB2A35"/>
    <w:rsid w:val="49A9BA01"/>
    <w:rsid w:val="4A0488F1"/>
    <w:rsid w:val="4CDC50C2"/>
    <w:rsid w:val="50F031AA"/>
    <w:rsid w:val="53534A9C"/>
    <w:rsid w:val="53B7B48F"/>
    <w:rsid w:val="53F9A2DF"/>
    <w:rsid w:val="56A89708"/>
    <w:rsid w:val="595FCE6E"/>
    <w:rsid w:val="5A61B064"/>
    <w:rsid w:val="5B4137B9"/>
    <w:rsid w:val="5BA9BBC6"/>
    <w:rsid w:val="5C2E801C"/>
    <w:rsid w:val="5D1631A7"/>
    <w:rsid w:val="5DC5B595"/>
    <w:rsid w:val="61187632"/>
    <w:rsid w:val="6234D193"/>
    <w:rsid w:val="6CCC45C6"/>
    <w:rsid w:val="6EA00B8A"/>
    <w:rsid w:val="6F2B5800"/>
    <w:rsid w:val="6F8048FF"/>
    <w:rsid w:val="6F9005FC"/>
    <w:rsid w:val="71085E5A"/>
    <w:rsid w:val="71414F15"/>
    <w:rsid w:val="72499451"/>
    <w:rsid w:val="726446B4"/>
    <w:rsid w:val="728DBCC9"/>
    <w:rsid w:val="7331984B"/>
    <w:rsid w:val="7457EB84"/>
    <w:rsid w:val="745A0F75"/>
    <w:rsid w:val="74B60CF0"/>
    <w:rsid w:val="752734A6"/>
    <w:rsid w:val="773DEA55"/>
    <w:rsid w:val="781D3B24"/>
    <w:rsid w:val="7970BC4C"/>
    <w:rsid w:val="7AD583FC"/>
    <w:rsid w:val="7B976168"/>
    <w:rsid w:val="7BC0CA22"/>
    <w:rsid w:val="7BE2FE4E"/>
    <w:rsid w:val="7C02FFD6"/>
    <w:rsid w:val="7C7462DF"/>
    <w:rsid w:val="7C8BECE2"/>
    <w:rsid w:val="7E31909D"/>
    <w:rsid w:val="7EF3CB26"/>
    <w:rsid w:val="7FAD0579"/>
    <w:rsid w:val="7FF5F37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D0A0D"/>
  <w15:docId w15:val="{CA5A5B48-738C-4548-AF03-7A211BE2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589"/>
  </w:style>
  <w:style w:type="paragraph" w:styleId="1">
    <w:name w:val="heading 1"/>
    <w:basedOn w:val="a"/>
    <w:next w:val="a"/>
    <w:link w:val="10"/>
    <w:uiPriority w:val="9"/>
    <w:qFormat/>
    <w:rsid w:val="004E2D3D"/>
    <w:pPr>
      <w:keepNext/>
      <w:keepLines/>
      <w:spacing w:before="340" w:after="330" w:line="578" w:lineRule="auto"/>
      <w:jc w:val="both"/>
      <w:outlineLvl w:val="0"/>
    </w:pPr>
    <w:rPr>
      <w:rFonts w:ascii="等线" w:eastAsia="等线" w:hAnsi="等线" w:cs="宋体"/>
      <w:b/>
      <w:bCs/>
      <w:kern w:val="44"/>
      <w:sz w:val="44"/>
      <w:szCs w:val="4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3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26B25"/>
    <w:pPr>
      <w:pBdr>
        <w:bottom w:val="single" w:sz="6" w:space="1" w:color="auto"/>
      </w:pBdr>
      <w:tabs>
        <w:tab w:val="center" w:pos="4153"/>
        <w:tab w:val="right" w:pos="8306"/>
      </w:tabs>
      <w:snapToGrid w:val="0"/>
      <w:spacing w:line="240" w:lineRule="auto"/>
      <w:jc w:val="center"/>
    </w:pPr>
    <w:rPr>
      <w:sz w:val="18"/>
      <w:szCs w:val="18"/>
    </w:rPr>
  </w:style>
  <w:style w:type="character" w:customStyle="1" w:styleId="a5">
    <w:name w:val="页眉 字符"/>
    <w:basedOn w:val="a0"/>
    <w:link w:val="a4"/>
    <w:uiPriority w:val="99"/>
    <w:rsid w:val="00226B25"/>
    <w:rPr>
      <w:sz w:val="18"/>
      <w:szCs w:val="18"/>
    </w:rPr>
  </w:style>
  <w:style w:type="paragraph" w:styleId="a6">
    <w:name w:val="footer"/>
    <w:basedOn w:val="a"/>
    <w:link w:val="a7"/>
    <w:uiPriority w:val="99"/>
    <w:unhideWhenUsed/>
    <w:rsid w:val="00226B25"/>
    <w:pPr>
      <w:tabs>
        <w:tab w:val="center" w:pos="4153"/>
        <w:tab w:val="right" w:pos="8306"/>
      </w:tabs>
      <w:snapToGrid w:val="0"/>
      <w:spacing w:line="240" w:lineRule="auto"/>
    </w:pPr>
    <w:rPr>
      <w:sz w:val="18"/>
      <w:szCs w:val="18"/>
    </w:rPr>
  </w:style>
  <w:style w:type="character" w:customStyle="1" w:styleId="a7">
    <w:name w:val="页脚 字符"/>
    <w:basedOn w:val="a0"/>
    <w:link w:val="a6"/>
    <w:uiPriority w:val="99"/>
    <w:rsid w:val="00226B25"/>
    <w:rPr>
      <w:sz w:val="18"/>
      <w:szCs w:val="18"/>
    </w:rPr>
  </w:style>
  <w:style w:type="paragraph" w:styleId="a8">
    <w:name w:val="List Paragraph"/>
    <w:basedOn w:val="a"/>
    <w:link w:val="a9"/>
    <w:uiPriority w:val="34"/>
    <w:qFormat/>
    <w:rsid w:val="00226B25"/>
    <w:pPr>
      <w:widowControl w:val="0"/>
      <w:spacing w:after="0" w:line="240" w:lineRule="auto"/>
      <w:ind w:firstLineChars="200" w:firstLine="420"/>
      <w:jc w:val="both"/>
    </w:pPr>
    <w:rPr>
      <w:rFonts w:ascii="Calibri" w:eastAsia="宋体" w:hAnsi="Calibri" w:cs="Times New Roman"/>
      <w:kern w:val="2"/>
      <w:sz w:val="21"/>
      <w:lang w:val="en-US"/>
    </w:rPr>
  </w:style>
  <w:style w:type="paragraph" w:styleId="aa">
    <w:name w:val="Balloon Text"/>
    <w:basedOn w:val="a"/>
    <w:link w:val="ab"/>
    <w:uiPriority w:val="99"/>
    <w:semiHidden/>
    <w:unhideWhenUsed/>
    <w:rsid w:val="0087759B"/>
    <w:pPr>
      <w:spacing w:after="0" w:line="240" w:lineRule="auto"/>
    </w:pPr>
    <w:rPr>
      <w:rFonts w:ascii="宋体" w:eastAsia="宋体"/>
      <w:sz w:val="18"/>
      <w:szCs w:val="18"/>
    </w:rPr>
  </w:style>
  <w:style w:type="character" w:customStyle="1" w:styleId="ab">
    <w:name w:val="批注框文本 字符"/>
    <w:basedOn w:val="a0"/>
    <w:link w:val="aa"/>
    <w:uiPriority w:val="99"/>
    <w:semiHidden/>
    <w:rsid w:val="0087759B"/>
    <w:rPr>
      <w:rFonts w:ascii="宋体" w:eastAsia="宋体"/>
      <w:sz w:val="18"/>
      <w:szCs w:val="18"/>
    </w:rPr>
  </w:style>
  <w:style w:type="character" w:styleId="ac">
    <w:name w:val="annotation reference"/>
    <w:basedOn w:val="a0"/>
    <w:uiPriority w:val="99"/>
    <w:semiHidden/>
    <w:unhideWhenUsed/>
    <w:rsid w:val="00882E97"/>
    <w:rPr>
      <w:sz w:val="21"/>
      <w:szCs w:val="21"/>
    </w:rPr>
  </w:style>
  <w:style w:type="paragraph" w:styleId="ad">
    <w:name w:val="annotation text"/>
    <w:basedOn w:val="a"/>
    <w:link w:val="ae"/>
    <w:uiPriority w:val="99"/>
    <w:unhideWhenUsed/>
    <w:rsid w:val="00882E97"/>
  </w:style>
  <w:style w:type="character" w:customStyle="1" w:styleId="ae">
    <w:name w:val="批注文字 字符"/>
    <w:basedOn w:val="a0"/>
    <w:link w:val="ad"/>
    <w:uiPriority w:val="99"/>
    <w:rsid w:val="00882E97"/>
  </w:style>
  <w:style w:type="paragraph" w:styleId="af">
    <w:name w:val="annotation subject"/>
    <w:basedOn w:val="ad"/>
    <w:next w:val="ad"/>
    <w:link w:val="af0"/>
    <w:uiPriority w:val="99"/>
    <w:semiHidden/>
    <w:unhideWhenUsed/>
    <w:rsid w:val="00882E97"/>
    <w:rPr>
      <w:b/>
      <w:bCs/>
    </w:rPr>
  </w:style>
  <w:style w:type="character" w:customStyle="1" w:styleId="af0">
    <w:name w:val="批注主题 字符"/>
    <w:basedOn w:val="ae"/>
    <w:link w:val="af"/>
    <w:uiPriority w:val="99"/>
    <w:semiHidden/>
    <w:rsid w:val="00882E97"/>
    <w:rPr>
      <w:b/>
      <w:bCs/>
    </w:rPr>
  </w:style>
  <w:style w:type="paragraph" w:styleId="af1">
    <w:name w:val="Normal (Web)"/>
    <w:basedOn w:val="a"/>
    <w:uiPriority w:val="99"/>
    <w:semiHidden/>
    <w:unhideWhenUsed/>
    <w:rsid w:val="009D0B94"/>
    <w:pPr>
      <w:spacing w:before="100" w:beforeAutospacing="1" w:after="100" w:afterAutospacing="1" w:line="240" w:lineRule="auto"/>
    </w:pPr>
    <w:rPr>
      <w:rFonts w:ascii="Times New Roman" w:hAnsi="Times New Roman" w:cs="Times New Roman"/>
      <w:sz w:val="24"/>
      <w:szCs w:val="24"/>
      <w:lang w:val="en-US"/>
    </w:rPr>
  </w:style>
  <w:style w:type="character" w:customStyle="1" w:styleId="apple-converted-space">
    <w:name w:val="apple-converted-space"/>
    <w:basedOn w:val="a0"/>
    <w:rsid w:val="009D0B94"/>
  </w:style>
  <w:style w:type="paragraph" w:customStyle="1" w:styleId="Default">
    <w:name w:val="Default"/>
    <w:link w:val="DefaultChar"/>
    <w:qFormat/>
    <w:rsid w:val="00282EAB"/>
    <w:pPr>
      <w:autoSpaceDE w:val="0"/>
      <w:autoSpaceDN w:val="0"/>
      <w:adjustRightInd w:val="0"/>
      <w:spacing w:after="0" w:line="240" w:lineRule="auto"/>
    </w:pPr>
    <w:rPr>
      <w:rFonts w:ascii="楷体" w:eastAsia="楷体" w:cs="楷体"/>
      <w:color w:val="000000"/>
      <w:sz w:val="24"/>
      <w:szCs w:val="24"/>
      <w:lang w:val="en-US"/>
    </w:rPr>
  </w:style>
  <w:style w:type="character" w:styleId="af2">
    <w:name w:val="Hyperlink"/>
    <w:basedOn w:val="a0"/>
    <w:uiPriority w:val="99"/>
    <w:unhideWhenUsed/>
    <w:rsid w:val="00480906"/>
    <w:rPr>
      <w:color w:val="0563C1" w:themeColor="hyperlink"/>
      <w:u w:val="single"/>
    </w:rPr>
  </w:style>
  <w:style w:type="character" w:customStyle="1" w:styleId="11">
    <w:name w:val="未处理的提及1"/>
    <w:basedOn w:val="a0"/>
    <w:uiPriority w:val="99"/>
    <w:semiHidden/>
    <w:unhideWhenUsed/>
    <w:rsid w:val="00480906"/>
    <w:rPr>
      <w:color w:val="605E5C"/>
      <w:shd w:val="clear" w:color="auto" w:fill="E1DFDD"/>
    </w:rPr>
  </w:style>
  <w:style w:type="character" w:customStyle="1" w:styleId="markedcontent">
    <w:name w:val="markedcontent"/>
    <w:basedOn w:val="a0"/>
    <w:rsid w:val="00E70874"/>
  </w:style>
  <w:style w:type="character" w:customStyle="1" w:styleId="a9">
    <w:name w:val="列表段落 字符"/>
    <w:basedOn w:val="a0"/>
    <w:link w:val="a8"/>
    <w:uiPriority w:val="34"/>
    <w:locked/>
    <w:rsid w:val="00744E3D"/>
    <w:rPr>
      <w:rFonts w:ascii="Calibri" w:eastAsia="宋体" w:hAnsi="Calibri" w:cs="Times New Roman"/>
      <w:kern w:val="2"/>
      <w:sz w:val="21"/>
      <w:lang w:val="en-US"/>
    </w:rPr>
  </w:style>
  <w:style w:type="character" w:customStyle="1" w:styleId="DefaultChar">
    <w:name w:val="Default Char"/>
    <w:link w:val="Default"/>
    <w:locked/>
    <w:rsid w:val="005520A2"/>
    <w:rPr>
      <w:rFonts w:ascii="楷体" w:eastAsia="楷体" w:cs="楷体"/>
      <w:color w:val="000000"/>
      <w:sz w:val="24"/>
      <w:szCs w:val="24"/>
      <w:lang w:val="en-US"/>
    </w:rPr>
  </w:style>
  <w:style w:type="character" w:customStyle="1" w:styleId="10">
    <w:name w:val="标题 1 字符"/>
    <w:basedOn w:val="a0"/>
    <w:link w:val="1"/>
    <w:uiPriority w:val="9"/>
    <w:rsid w:val="004E2D3D"/>
    <w:rPr>
      <w:rFonts w:ascii="等线" w:eastAsia="等线" w:hAnsi="等线" w:cs="宋体"/>
      <w:b/>
      <w:bCs/>
      <w:kern w:val="44"/>
      <w:sz w:val="44"/>
      <w:szCs w:val="44"/>
      <w:lang w:val="en-US"/>
    </w:rPr>
  </w:style>
  <w:style w:type="paragraph" w:styleId="HTML">
    <w:name w:val="HTML Preformatted"/>
    <w:basedOn w:val="a"/>
    <w:link w:val="HTML0"/>
    <w:uiPriority w:val="99"/>
    <w:unhideWhenUsed/>
    <w:rsid w:val="00D82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eastAsia="宋体" w:hAnsi="宋体" w:cs="宋体"/>
      <w:sz w:val="24"/>
      <w:szCs w:val="24"/>
      <w:lang w:val="en-US"/>
    </w:rPr>
  </w:style>
  <w:style w:type="character" w:customStyle="1" w:styleId="HTML0">
    <w:name w:val="HTML 预设格式 字符"/>
    <w:basedOn w:val="a0"/>
    <w:link w:val="HTML"/>
    <w:uiPriority w:val="99"/>
    <w:rsid w:val="00D82F55"/>
    <w:rPr>
      <w:rFonts w:ascii="宋体" w:eastAsia="宋体" w:hAnsi="宋体" w:cs="宋体"/>
      <w:sz w:val="24"/>
      <w:szCs w:val="24"/>
      <w:lang w:val="en-US"/>
    </w:rPr>
  </w:style>
  <w:style w:type="character" w:customStyle="1" w:styleId="text-only">
    <w:name w:val="text-only"/>
    <w:basedOn w:val="a0"/>
    <w:rsid w:val="00887A05"/>
  </w:style>
  <w:style w:type="paragraph" w:styleId="af3">
    <w:name w:val="Revision"/>
    <w:hidden/>
    <w:uiPriority w:val="99"/>
    <w:semiHidden/>
    <w:rsid w:val="00E5629A"/>
    <w:pPr>
      <w:spacing w:after="0" w:line="240" w:lineRule="auto"/>
    </w:pPr>
  </w:style>
  <w:style w:type="character" w:customStyle="1" w:styleId="normaltextrun">
    <w:name w:val="normaltextrun"/>
    <w:basedOn w:val="a0"/>
    <w:rsid w:val="00D84E3B"/>
  </w:style>
  <w:style w:type="character" w:customStyle="1" w:styleId="eop">
    <w:name w:val="eop"/>
    <w:basedOn w:val="a0"/>
    <w:rsid w:val="00D84E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0375">
      <w:bodyDiv w:val="1"/>
      <w:marLeft w:val="0"/>
      <w:marRight w:val="0"/>
      <w:marTop w:val="0"/>
      <w:marBottom w:val="0"/>
      <w:divBdr>
        <w:top w:val="none" w:sz="0" w:space="0" w:color="auto"/>
        <w:left w:val="none" w:sz="0" w:space="0" w:color="auto"/>
        <w:bottom w:val="none" w:sz="0" w:space="0" w:color="auto"/>
        <w:right w:val="none" w:sz="0" w:space="0" w:color="auto"/>
      </w:divBdr>
    </w:div>
    <w:div w:id="18967468">
      <w:bodyDiv w:val="1"/>
      <w:marLeft w:val="0"/>
      <w:marRight w:val="0"/>
      <w:marTop w:val="0"/>
      <w:marBottom w:val="0"/>
      <w:divBdr>
        <w:top w:val="none" w:sz="0" w:space="0" w:color="auto"/>
        <w:left w:val="none" w:sz="0" w:space="0" w:color="auto"/>
        <w:bottom w:val="none" w:sz="0" w:space="0" w:color="auto"/>
        <w:right w:val="none" w:sz="0" w:space="0" w:color="auto"/>
      </w:divBdr>
    </w:div>
    <w:div w:id="21904233">
      <w:bodyDiv w:val="1"/>
      <w:marLeft w:val="0"/>
      <w:marRight w:val="0"/>
      <w:marTop w:val="0"/>
      <w:marBottom w:val="0"/>
      <w:divBdr>
        <w:top w:val="none" w:sz="0" w:space="0" w:color="auto"/>
        <w:left w:val="none" w:sz="0" w:space="0" w:color="auto"/>
        <w:bottom w:val="none" w:sz="0" w:space="0" w:color="auto"/>
        <w:right w:val="none" w:sz="0" w:space="0" w:color="auto"/>
      </w:divBdr>
      <w:divsChild>
        <w:div w:id="1974169004">
          <w:marLeft w:val="0"/>
          <w:marRight w:val="0"/>
          <w:marTop w:val="0"/>
          <w:marBottom w:val="0"/>
          <w:divBdr>
            <w:top w:val="none" w:sz="0" w:space="0" w:color="auto"/>
            <w:left w:val="none" w:sz="0" w:space="0" w:color="auto"/>
            <w:bottom w:val="none" w:sz="0" w:space="0" w:color="auto"/>
            <w:right w:val="none" w:sz="0" w:space="0" w:color="auto"/>
          </w:divBdr>
        </w:div>
      </w:divsChild>
    </w:div>
    <w:div w:id="38090010">
      <w:bodyDiv w:val="1"/>
      <w:marLeft w:val="0"/>
      <w:marRight w:val="0"/>
      <w:marTop w:val="0"/>
      <w:marBottom w:val="0"/>
      <w:divBdr>
        <w:top w:val="none" w:sz="0" w:space="0" w:color="auto"/>
        <w:left w:val="none" w:sz="0" w:space="0" w:color="auto"/>
        <w:bottom w:val="none" w:sz="0" w:space="0" w:color="auto"/>
        <w:right w:val="none" w:sz="0" w:space="0" w:color="auto"/>
      </w:divBdr>
    </w:div>
    <w:div w:id="59716268">
      <w:bodyDiv w:val="1"/>
      <w:marLeft w:val="0"/>
      <w:marRight w:val="0"/>
      <w:marTop w:val="0"/>
      <w:marBottom w:val="0"/>
      <w:divBdr>
        <w:top w:val="none" w:sz="0" w:space="0" w:color="auto"/>
        <w:left w:val="none" w:sz="0" w:space="0" w:color="auto"/>
        <w:bottom w:val="none" w:sz="0" w:space="0" w:color="auto"/>
        <w:right w:val="none" w:sz="0" w:space="0" w:color="auto"/>
      </w:divBdr>
    </w:div>
    <w:div w:id="97409240">
      <w:bodyDiv w:val="1"/>
      <w:marLeft w:val="0"/>
      <w:marRight w:val="0"/>
      <w:marTop w:val="0"/>
      <w:marBottom w:val="0"/>
      <w:divBdr>
        <w:top w:val="none" w:sz="0" w:space="0" w:color="auto"/>
        <w:left w:val="none" w:sz="0" w:space="0" w:color="auto"/>
        <w:bottom w:val="none" w:sz="0" w:space="0" w:color="auto"/>
        <w:right w:val="none" w:sz="0" w:space="0" w:color="auto"/>
      </w:divBdr>
    </w:div>
    <w:div w:id="116686037">
      <w:bodyDiv w:val="1"/>
      <w:marLeft w:val="0"/>
      <w:marRight w:val="0"/>
      <w:marTop w:val="0"/>
      <w:marBottom w:val="0"/>
      <w:divBdr>
        <w:top w:val="none" w:sz="0" w:space="0" w:color="auto"/>
        <w:left w:val="none" w:sz="0" w:space="0" w:color="auto"/>
        <w:bottom w:val="none" w:sz="0" w:space="0" w:color="auto"/>
        <w:right w:val="none" w:sz="0" w:space="0" w:color="auto"/>
      </w:divBdr>
      <w:divsChild>
        <w:div w:id="1001356127">
          <w:marLeft w:val="0"/>
          <w:marRight w:val="0"/>
          <w:marTop w:val="0"/>
          <w:marBottom w:val="0"/>
          <w:divBdr>
            <w:top w:val="none" w:sz="0" w:space="0" w:color="auto"/>
            <w:left w:val="none" w:sz="0" w:space="0" w:color="auto"/>
            <w:bottom w:val="none" w:sz="0" w:space="0" w:color="auto"/>
            <w:right w:val="none" w:sz="0" w:space="0" w:color="auto"/>
          </w:divBdr>
        </w:div>
      </w:divsChild>
    </w:div>
    <w:div w:id="124392310">
      <w:bodyDiv w:val="1"/>
      <w:marLeft w:val="0"/>
      <w:marRight w:val="0"/>
      <w:marTop w:val="0"/>
      <w:marBottom w:val="0"/>
      <w:divBdr>
        <w:top w:val="none" w:sz="0" w:space="0" w:color="auto"/>
        <w:left w:val="none" w:sz="0" w:space="0" w:color="auto"/>
        <w:bottom w:val="none" w:sz="0" w:space="0" w:color="auto"/>
        <w:right w:val="none" w:sz="0" w:space="0" w:color="auto"/>
      </w:divBdr>
    </w:div>
    <w:div w:id="126895419">
      <w:bodyDiv w:val="1"/>
      <w:marLeft w:val="0"/>
      <w:marRight w:val="0"/>
      <w:marTop w:val="0"/>
      <w:marBottom w:val="0"/>
      <w:divBdr>
        <w:top w:val="none" w:sz="0" w:space="0" w:color="auto"/>
        <w:left w:val="none" w:sz="0" w:space="0" w:color="auto"/>
        <w:bottom w:val="none" w:sz="0" w:space="0" w:color="auto"/>
        <w:right w:val="none" w:sz="0" w:space="0" w:color="auto"/>
      </w:divBdr>
    </w:div>
    <w:div w:id="202133466">
      <w:bodyDiv w:val="1"/>
      <w:marLeft w:val="0"/>
      <w:marRight w:val="0"/>
      <w:marTop w:val="0"/>
      <w:marBottom w:val="0"/>
      <w:divBdr>
        <w:top w:val="none" w:sz="0" w:space="0" w:color="auto"/>
        <w:left w:val="none" w:sz="0" w:space="0" w:color="auto"/>
        <w:bottom w:val="none" w:sz="0" w:space="0" w:color="auto"/>
        <w:right w:val="none" w:sz="0" w:space="0" w:color="auto"/>
      </w:divBdr>
    </w:div>
    <w:div w:id="204564678">
      <w:bodyDiv w:val="1"/>
      <w:marLeft w:val="0"/>
      <w:marRight w:val="0"/>
      <w:marTop w:val="0"/>
      <w:marBottom w:val="0"/>
      <w:divBdr>
        <w:top w:val="none" w:sz="0" w:space="0" w:color="auto"/>
        <w:left w:val="none" w:sz="0" w:space="0" w:color="auto"/>
        <w:bottom w:val="none" w:sz="0" w:space="0" w:color="auto"/>
        <w:right w:val="none" w:sz="0" w:space="0" w:color="auto"/>
      </w:divBdr>
      <w:divsChild>
        <w:div w:id="3242199">
          <w:marLeft w:val="0"/>
          <w:marRight w:val="0"/>
          <w:marTop w:val="0"/>
          <w:marBottom w:val="0"/>
          <w:divBdr>
            <w:top w:val="none" w:sz="0" w:space="0" w:color="auto"/>
            <w:left w:val="none" w:sz="0" w:space="0" w:color="auto"/>
            <w:bottom w:val="none" w:sz="0" w:space="0" w:color="auto"/>
            <w:right w:val="none" w:sz="0" w:space="0" w:color="auto"/>
          </w:divBdr>
        </w:div>
      </w:divsChild>
    </w:div>
    <w:div w:id="215893908">
      <w:bodyDiv w:val="1"/>
      <w:marLeft w:val="0"/>
      <w:marRight w:val="0"/>
      <w:marTop w:val="0"/>
      <w:marBottom w:val="0"/>
      <w:divBdr>
        <w:top w:val="none" w:sz="0" w:space="0" w:color="auto"/>
        <w:left w:val="none" w:sz="0" w:space="0" w:color="auto"/>
        <w:bottom w:val="none" w:sz="0" w:space="0" w:color="auto"/>
        <w:right w:val="none" w:sz="0" w:space="0" w:color="auto"/>
      </w:divBdr>
    </w:div>
    <w:div w:id="271666738">
      <w:bodyDiv w:val="1"/>
      <w:marLeft w:val="0"/>
      <w:marRight w:val="0"/>
      <w:marTop w:val="0"/>
      <w:marBottom w:val="0"/>
      <w:divBdr>
        <w:top w:val="none" w:sz="0" w:space="0" w:color="auto"/>
        <w:left w:val="none" w:sz="0" w:space="0" w:color="auto"/>
        <w:bottom w:val="none" w:sz="0" w:space="0" w:color="auto"/>
        <w:right w:val="none" w:sz="0" w:space="0" w:color="auto"/>
      </w:divBdr>
    </w:div>
    <w:div w:id="285165524">
      <w:bodyDiv w:val="1"/>
      <w:marLeft w:val="0"/>
      <w:marRight w:val="0"/>
      <w:marTop w:val="0"/>
      <w:marBottom w:val="0"/>
      <w:divBdr>
        <w:top w:val="none" w:sz="0" w:space="0" w:color="auto"/>
        <w:left w:val="none" w:sz="0" w:space="0" w:color="auto"/>
        <w:bottom w:val="none" w:sz="0" w:space="0" w:color="auto"/>
        <w:right w:val="none" w:sz="0" w:space="0" w:color="auto"/>
      </w:divBdr>
    </w:div>
    <w:div w:id="307785753">
      <w:bodyDiv w:val="1"/>
      <w:marLeft w:val="0"/>
      <w:marRight w:val="0"/>
      <w:marTop w:val="0"/>
      <w:marBottom w:val="0"/>
      <w:divBdr>
        <w:top w:val="none" w:sz="0" w:space="0" w:color="auto"/>
        <w:left w:val="none" w:sz="0" w:space="0" w:color="auto"/>
        <w:bottom w:val="none" w:sz="0" w:space="0" w:color="auto"/>
        <w:right w:val="none" w:sz="0" w:space="0" w:color="auto"/>
      </w:divBdr>
      <w:divsChild>
        <w:div w:id="956258507">
          <w:marLeft w:val="0"/>
          <w:marRight w:val="0"/>
          <w:marTop w:val="0"/>
          <w:marBottom w:val="0"/>
          <w:divBdr>
            <w:top w:val="none" w:sz="0" w:space="0" w:color="auto"/>
            <w:left w:val="none" w:sz="0" w:space="0" w:color="auto"/>
            <w:bottom w:val="none" w:sz="0" w:space="0" w:color="auto"/>
            <w:right w:val="none" w:sz="0" w:space="0" w:color="auto"/>
          </w:divBdr>
        </w:div>
      </w:divsChild>
    </w:div>
    <w:div w:id="314842450">
      <w:bodyDiv w:val="1"/>
      <w:marLeft w:val="0"/>
      <w:marRight w:val="0"/>
      <w:marTop w:val="0"/>
      <w:marBottom w:val="0"/>
      <w:divBdr>
        <w:top w:val="none" w:sz="0" w:space="0" w:color="auto"/>
        <w:left w:val="none" w:sz="0" w:space="0" w:color="auto"/>
        <w:bottom w:val="none" w:sz="0" w:space="0" w:color="auto"/>
        <w:right w:val="none" w:sz="0" w:space="0" w:color="auto"/>
      </w:divBdr>
    </w:div>
    <w:div w:id="328294580">
      <w:bodyDiv w:val="1"/>
      <w:marLeft w:val="0"/>
      <w:marRight w:val="0"/>
      <w:marTop w:val="0"/>
      <w:marBottom w:val="0"/>
      <w:divBdr>
        <w:top w:val="none" w:sz="0" w:space="0" w:color="auto"/>
        <w:left w:val="none" w:sz="0" w:space="0" w:color="auto"/>
        <w:bottom w:val="none" w:sz="0" w:space="0" w:color="auto"/>
        <w:right w:val="none" w:sz="0" w:space="0" w:color="auto"/>
      </w:divBdr>
    </w:div>
    <w:div w:id="371082477">
      <w:bodyDiv w:val="1"/>
      <w:marLeft w:val="0"/>
      <w:marRight w:val="0"/>
      <w:marTop w:val="0"/>
      <w:marBottom w:val="0"/>
      <w:divBdr>
        <w:top w:val="none" w:sz="0" w:space="0" w:color="auto"/>
        <w:left w:val="none" w:sz="0" w:space="0" w:color="auto"/>
        <w:bottom w:val="none" w:sz="0" w:space="0" w:color="auto"/>
        <w:right w:val="none" w:sz="0" w:space="0" w:color="auto"/>
      </w:divBdr>
      <w:divsChild>
        <w:div w:id="1913614481">
          <w:marLeft w:val="0"/>
          <w:marRight w:val="0"/>
          <w:marTop w:val="0"/>
          <w:marBottom w:val="0"/>
          <w:divBdr>
            <w:top w:val="none" w:sz="0" w:space="0" w:color="auto"/>
            <w:left w:val="none" w:sz="0" w:space="0" w:color="auto"/>
            <w:bottom w:val="none" w:sz="0" w:space="0" w:color="auto"/>
            <w:right w:val="none" w:sz="0" w:space="0" w:color="auto"/>
          </w:divBdr>
        </w:div>
      </w:divsChild>
    </w:div>
    <w:div w:id="407464360">
      <w:bodyDiv w:val="1"/>
      <w:marLeft w:val="0"/>
      <w:marRight w:val="0"/>
      <w:marTop w:val="0"/>
      <w:marBottom w:val="0"/>
      <w:divBdr>
        <w:top w:val="none" w:sz="0" w:space="0" w:color="auto"/>
        <w:left w:val="none" w:sz="0" w:space="0" w:color="auto"/>
        <w:bottom w:val="none" w:sz="0" w:space="0" w:color="auto"/>
        <w:right w:val="none" w:sz="0" w:space="0" w:color="auto"/>
      </w:divBdr>
      <w:divsChild>
        <w:div w:id="262882056">
          <w:marLeft w:val="0"/>
          <w:marRight w:val="0"/>
          <w:marTop w:val="0"/>
          <w:marBottom w:val="0"/>
          <w:divBdr>
            <w:top w:val="none" w:sz="0" w:space="0" w:color="auto"/>
            <w:left w:val="none" w:sz="0" w:space="0" w:color="auto"/>
            <w:bottom w:val="none" w:sz="0" w:space="0" w:color="auto"/>
            <w:right w:val="none" w:sz="0" w:space="0" w:color="auto"/>
          </w:divBdr>
        </w:div>
      </w:divsChild>
    </w:div>
    <w:div w:id="429358464">
      <w:bodyDiv w:val="1"/>
      <w:marLeft w:val="0"/>
      <w:marRight w:val="0"/>
      <w:marTop w:val="0"/>
      <w:marBottom w:val="0"/>
      <w:divBdr>
        <w:top w:val="none" w:sz="0" w:space="0" w:color="auto"/>
        <w:left w:val="none" w:sz="0" w:space="0" w:color="auto"/>
        <w:bottom w:val="none" w:sz="0" w:space="0" w:color="auto"/>
        <w:right w:val="none" w:sz="0" w:space="0" w:color="auto"/>
      </w:divBdr>
    </w:div>
    <w:div w:id="482087820">
      <w:bodyDiv w:val="1"/>
      <w:marLeft w:val="0"/>
      <w:marRight w:val="0"/>
      <w:marTop w:val="0"/>
      <w:marBottom w:val="0"/>
      <w:divBdr>
        <w:top w:val="none" w:sz="0" w:space="0" w:color="auto"/>
        <w:left w:val="none" w:sz="0" w:space="0" w:color="auto"/>
        <w:bottom w:val="none" w:sz="0" w:space="0" w:color="auto"/>
        <w:right w:val="none" w:sz="0" w:space="0" w:color="auto"/>
      </w:divBdr>
    </w:div>
    <w:div w:id="512110069">
      <w:bodyDiv w:val="1"/>
      <w:marLeft w:val="0"/>
      <w:marRight w:val="0"/>
      <w:marTop w:val="0"/>
      <w:marBottom w:val="0"/>
      <w:divBdr>
        <w:top w:val="none" w:sz="0" w:space="0" w:color="auto"/>
        <w:left w:val="none" w:sz="0" w:space="0" w:color="auto"/>
        <w:bottom w:val="none" w:sz="0" w:space="0" w:color="auto"/>
        <w:right w:val="none" w:sz="0" w:space="0" w:color="auto"/>
      </w:divBdr>
    </w:div>
    <w:div w:id="512189189">
      <w:bodyDiv w:val="1"/>
      <w:marLeft w:val="0"/>
      <w:marRight w:val="0"/>
      <w:marTop w:val="0"/>
      <w:marBottom w:val="0"/>
      <w:divBdr>
        <w:top w:val="none" w:sz="0" w:space="0" w:color="auto"/>
        <w:left w:val="none" w:sz="0" w:space="0" w:color="auto"/>
        <w:bottom w:val="none" w:sz="0" w:space="0" w:color="auto"/>
        <w:right w:val="none" w:sz="0" w:space="0" w:color="auto"/>
      </w:divBdr>
    </w:div>
    <w:div w:id="550314770">
      <w:bodyDiv w:val="1"/>
      <w:marLeft w:val="0"/>
      <w:marRight w:val="0"/>
      <w:marTop w:val="0"/>
      <w:marBottom w:val="0"/>
      <w:divBdr>
        <w:top w:val="none" w:sz="0" w:space="0" w:color="auto"/>
        <w:left w:val="none" w:sz="0" w:space="0" w:color="auto"/>
        <w:bottom w:val="none" w:sz="0" w:space="0" w:color="auto"/>
        <w:right w:val="none" w:sz="0" w:space="0" w:color="auto"/>
      </w:divBdr>
    </w:div>
    <w:div w:id="600993909">
      <w:bodyDiv w:val="1"/>
      <w:marLeft w:val="0"/>
      <w:marRight w:val="0"/>
      <w:marTop w:val="0"/>
      <w:marBottom w:val="0"/>
      <w:divBdr>
        <w:top w:val="none" w:sz="0" w:space="0" w:color="auto"/>
        <w:left w:val="none" w:sz="0" w:space="0" w:color="auto"/>
        <w:bottom w:val="none" w:sz="0" w:space="0" w:color="auto"/>
        <w:right w:val="none" w:sz="0" w:space="0" w:color="auto"/>
      </w:divBdr>
    </w:div>
    <w:div w:id="604727994">
      <w:bodyDiv w:val="1"/>
      <w:marLeft w:val="0"/>
      <w:marRight w:val="0"/>
      <w:marTop w:val="0"/>
      <w:marBottom w:val="0"/>
      <w:divBdr>
        <w:top w:val="none" w:sz="0" w:space="0" w:color="auto"/>
        <w:left w:val="none" w:sz="0" w:space="0" w:color="auto"/>
        <w:bottom w:val="none" w:sz="0" w:space="0" w:color="auto"/>
        <w:right w:val="none" w:sz="0" w:space="0" w:color="auto"/>
      </w:divBdr>
      <w:divsChild>
        <w:div w:id="438062570">
          <w:marLeft w:val="0"/>
          <w:marRight w:val="0"/>
          <w:marTop w:val="0"/>
          <w:marBottom w:val="0"/>
          <w:divBdr>
            <w:top w:val="none" w:sz="0" w:space="0" w:color="auto"/>
            <w:left w:val="none" w:sz="0" w:space="0" w:color="auto"/>
            <w:bottom w:val="none" w:sz="0" w:space="0" w:color="auto"/>
            <w:right w:val="none" w:sz="0" w:space="0" w:color="auto"/>
          </w:divBdr>
        </w:div>
      </w:divsChild>
    </w:div>
    <w:div w:id="614562961">
      <w:bodyDiv w:val="1"/>
      <w:marLeft w:val="0"/>
      <w:marRight w:val="0"/>
      <w:marTop w:val="0"/>
      <w:marBottom w:val="0"/>
      <w:divBdr>
        <w:top w:val="none" w:sz="0" w:space="0" w:color="auto"/>
        <w:left w:val="none" w:sz="0" w:space="0" w:color="auto"/>
        <w:bottom w:val="none" w:sz="0" w:space="0" w:color="auto"/>
        <w:right w:val="none" w:sz="0" w:space="0" w:color="auto"/>
      </w:divBdr>
      <w:divsChild>
        <w:div w:id="433285809">
          <w:marLeft w:val="0"/>
          <w:marRight w:val="0"/>
          <w:marTop w:val="0"/>
          <w:marBottom w:val="0"/>
          <w:divBdr>
            <w:top w:val="none" w:sz="0" w:space="0" w:color="auto"/>
            <w:left w:val="none" w:sz="0" w:space="0" w:color="auto"/>
            <w:bottom w:val="none" w:sz="0" w:space="0" w:color="auto"/>
            <w:right w:val="none" w:sz="0" w:space="0" w:color="auto"/>
          </w:divBdr>
        </w:div>
      </w:divsChild>
    </w:div>
    <w:div w:id="642346561">
      <w:bodyDiv w:val="1"/>
      <w:marLeft w:val="0"/>
      <w:marRight w:val="0"/>
      <w:marTop w:val="0"/>
      <w:marBottom w:val="0"/>
      <w:divBdr>
        <w:top w:val="none" w:sz="0" w:space="0" w:color="auto"/>
        <w:left w:val="none" w:sz="0" w:space="0" w:color="auto"/>
        <w:bottom w:val="none" w:sz="0" w:space="0" w:color="auto"/>
        <w:right w:val="none" w:sz="0" w:space="0" w:color="auto"/>
      </w:divBdr>
    </w:div>
    <w:div w:id="664161691">
      <w:bodyDiv w:val="1"/>
      <w:marLeft w:val="0"/>
      <w:marRight w:val="0"/>
      <w:marTop w:val="0"/>
      <w:marBottom w:val="0"/>
      <w:divBdr>
        <w:top w:val="none" w:sz="0" w:space="0" w:color="auto"/>
        <w:left w:val="none" w:sz="0" w:space="0" w:color="auto"/>
        <w:bottom w:val="none" w:sz="0" w:space="0" w:color="auto"/>
        <w:right w:val="none" w:sz="0" w:space="0" w:color="auto"/>
      </w:divBdr>
    </w:div>
    <w:div w:id="691342383">
      <w:bodyDiv w:val="1"/>
      <w:marLeft w:val="0"/>
      <w:marRight w:val="0"/>
      <w:marTop w:val="0"/>
      <w:marBottom w:val="0"/>
      <w:divBdr>
        <w:top w:val="none" w:sz="0" w:space="0" w:color="auto"/>
        <w:left w:val="none" w:sz="0" w:space="0" w:color="auto"/>
        <w:bottom w:val="none" w:sz="0" w:space="0" w:color="auto"/>
        <w:right w:val="none" w:sz="0" w:space="0" w:color="auto"/>
      </w:divBdr>
      <w:divsChild>
        <w:div w:id="1689870671">
          <w:marLeft w:val="0"/>
          <w:marRight w:val="0"/>
          <w:marTop w:val="0"/>
          <w:marBottom w:val="0"/>
          <w:divBdr>
            <w:top w:val="none" w:sz="0" w:space="0" w:color="auto"/>
            <w:left w:val="none" w:sz="0" w:space="0" w:color="auto"/>
            <w:bottom w:val="none" w:sz="0" w:space="0" w:color="auto"/>
            <w:right w:val="none" w:sz="0" w:space="0" w:color="auto"/>
          </w:divBdr>
        </w:div>
      </w:divsChild>
    </w:div>
    <w:div w:id="695813119">
      <w:bodyDiv w:val="1"/>
      <w:marLeft w:val="0"/>
      <w:marRight w:val="0"/>
      <w:marTop w:val="0"/>
      <w:marBottom w:val="0"/>
      <w:divBdr>
        <w:top w:val="none" w:sz="0" w:space="0" w:color="auto"/>
        <w:left w:val="none" w:sz="0" w:space="0" w:color="auto"/>
        <w:bottom w:val="none" w:sz="0" w:space="0" w:color="auto"/>
        <w:right w:val="none" w:sz="0" w:space="0" w:color="auto"/>
      </w:divBdr>
    </w:div>
    <w:div w:id="726608406">
      <w:bodyDiv w:val="1"/>
      <w:marLeft w:val="0"/>
      <w:marRight w:val="0"/>
      <w:marTop w:val="0"/>
      <w:marBottom w:val="0"/>
      <w:divBdr>
        <w:top w:val="none" w:sz="0" w:space="0" w:color="auto"/>
        <w:left w:val="none" w:sz="0" w:space="0" w:color="auto"/>
        <w:bottom w:val="none" w:sz="0" w:space="0" w:color="auto"/>
        <w:right w:val="none" w:sz="0" w:space="0" w:color="auto"/>
      </w:divBdr>
      <w:divsChild>
        <w:div w:id="1535849924">
          <w:marLeft w:val="0"/>
          <w:marRight w:val="0"/>
          <w:marTop w:val="0"/>
          <w:marBottom w:val="0"/>
          <w:divBdr>
            <w:top w:val="none" w:sz="0" w:space="0" w:color="auto"/>
            <w:left w:val="none" w:sz="0" w:space="0" w:color="auto"/>
            <w:bottom w:val="none" w:sz="0" w:space="0" w:color="auto"/>
            <w:right w:val="none" w:sz="0" w:space="0" w:color="auto"/>
          </w:divBdr>
        </w:div>
      </w:divsChild>
    </w:div>
    <w:div w:id="807356410">
      <w:bodyDiv w:val="1"/>
      <w:marLeft w:val="0"/>
      <w:marRight w:val="0"/>
      <w:marTop w:val="0"/>
      <w:marBottom w:val="0"/>
      <w:divBdr>
        <w:top w:val="none" w:sz="0" w:space="0" w:color="auto"/>
        <w:left w:val="none" w:sz="0" w:space="0" w:color="auto"/>
        <w:bottom w:val="none" w:sz="0" w:space="0" w:color="auto"/>
        <w:right w:val="none" w:sz="0" w:space="0" w:color="auto"/>
      </w:divBdr>
    </w:div>
    <w:div w:id="855801809">
      <w:bodyDiv w:val="1"/>
      <w:marLeft w:val="0"/>
      <w:marRight w:val="0"/>
      <w:marTop w:val="0"/>
      <w:marBottom w:val="0"/>
      <w:divBdr>
        <w:top w:val="none" w:sz="0" w:space="0" w:color="auto"/>
        <w:left w:val="none" w:sz="0" w:space="0" w:color="auto"/>
        <w:bottom w:val="none" w:sz="0" w:space="0" w:color="auto"/>
        <w:right w:val="none" w:sz="0" w:space="0" w:color="auto"/>
      </w:divBdr>
    </w:div>
    <w:div w:id="875855027">
      <w:bodyDiv w:val="1"/>
      <w:marLeft w:val="0"/>
      <w:marRight w:val="0"/>
      <w:marTop w:val="0"/>
      <w:marBottom w:val="0"/>
      <w:divBdr>
        <w:top w:val="none" w:sz="0" w:space="0" w:color="auto"/>
        <w:left w:val="none" w:sz="0" w:space="0" w:color="auto"/>
        <w:bottom w:val="none" w:sz="0" w:space="0" w:color="auto"/>
        <w:right w:val="none" w:sz="0" w:space="0" w:color="auto"/>
      </w:divBdr>
      <w:divsChild>
        <w:div w:id="1557622820">
          <w:marLeft w:val="0"/>
          <w:marRight w:val="0"/>
          <w:marTop w:val="0"/>
          <w:marBottom w:val="0"/>
          <w:divBdr>
            <w:top w:val="none" w:sz="0" w:space="0" w:color="auto"/>
            <w:left w:val="none" w:sz="0" w:space="0" w:color="auto"/>
            <w:bottom w:val="none" w:sz="0" w:space="0" w:color="auto"/>
            <w:right w:val="none" w:sz="0" w:space="0" w:color="auto"/>
          </w:divBdr>
        </w:div>
      </w:divsChild>
    </w:div>
    <w:div w:id="887104801">
      <w:bodyDiv w:val="1"/>
      <w:marLeft w:val="0"/>
      <w:marRight w:val="0"/>
      <w:marTop w:val="0"/>
      <w:marBottom w:val="0"/>
      <w:divBdr>
        <w:top w:val="none" w:sz="0" w:space="0" w:color="auto"/>
        <w:left w:val="none" w:sz="0" w:space="0" w:color="auto"/>
        <w:bottom w:val="none" w:sz="0" w:space="0" w:color="auto"/>
        <w:right w:val="none" w:sz="0" w:space="0" w:color="auto"/>
      </w:divBdr>
    </w:div>
    <w:div w:id="890774604">
      <w:bodyDiv w:val="1"/>
      <w:marLeft w:val="0"/>
      <w:marRight w:val="0"/>
      <w:marTop w:val="0"/>
      <w:marBottom w:val="0"/>
      <w:divBdr>
        <w:top w:val="none" w:sz="0" w:space="0" w:color="auto"/>
        <w:left w:val="none" w:sz="0" w:space="0" w:color="auto"/>
        <w:bottom w:val="none" w:sz="0" w:space="0" w:color="auto"/>
        <w:right w:val="none" w:sz="0" w:space="0" w:color="auto"/>
      </w:divBdr>
    </w:div>
    <w:div w:id="892816807">
      <w:bodyDiv w:val="1"/>
      <w:marLeft w:val="0"/>
      <w:marRight w:val="0"/>
      <w:marTop w:val="0"/>
      <w:marBottom w:val="0"/>
      <w:divBdr>
        <w:top w:val="none" w:sz="0" w:space="0" w:color="auto"/>
        <w:left w:val="none" w:sz="0" w:space="0" w:color="auto"/>
        <w:bottom w:val="none" w:sz="0" w:space="0" w:color="auto"/>
        <w:right w:val="none" w:sz="0" w:space="0" w:color="auto"/>
      </w:divBdr>
      <w:divsChild>
        <w:div w:id="719406193">
          <w:marLeft w:val="0"/>
          <w:marRight w:val="0"/>
          <w:marTop w:val="0"/>
          <w:marBottom w:val="0"/>
          <w:divBdr>
            <w:top w:val="none" w:sz="0" w:space="0" w:color="auto"/>
            <w:left w:val="none" w:sz="0" w:space="0" w:color="auto"/>
            <w:bottom w:val="none" w:sz="0" w:space="0" w:color="auto"/>
            <w:right w:val="none" w:sz="0" w:space="0" w:color="auto"/>
          </w:divBdr>
        </w:div>
      </w:divsChild>
    </w:div>
    <w:div w:id="907694700">
      <w:bodyDiv w:val="1"/>
      <w:marLeft w:val="0"/>
      <w:marRight w:val="0"/>
      <w:marTop w:val="0"/>
      <w:marBottom w:val="0"/>
      <w:divBdr>
        <w:top w:val="none" w:sz="0" w:space="0" w:color="auto"/>
        <w:left w:val="none" w:sz="0" w:space="0" w:color="auto"/>
        <w:bottom w:val="none" w:sz="0" w:space="0" w:color="auto"/>
        <w:right w:val="none" w:sz="0" w:space="0" w:color="auto"/>
      </w:divBdr>
    </w:div>
    <w:div w:id="912470880">
      <w:bodyDiv w:val="1"/>
      <w:marLeft w:val="0"/>
      <w:marRight w:val="0"/>
      <w:marTop w:val="0"/>
      <w:marBottom w:val="0"/>
      <w:divBdr>
        <w:top w:val="none" w:sz="0" w:space="0" w:color="auto"/>
        <w:left w:val="none" w:sz="0" w:space="0" w:color="auto"/>
        <w:bottom w:val="none" w:sz="0" w:space="0" w:color="auto"/>
        <w:right w:val="none" w:sz="0" w:space="0" w:color="auto"/>
      </w:divBdr>
    </w:div>
    <w:div w:id="944725305">
      <w:bodyDiv w:val="1"/>
      <w:marLeft w:val="0"/>
      <w:marRight w:val="0"/>
      <w:marTop w:val="0"/>
      <w:marBottom w:val="0"/>
      <w:divBdr>
        <w:top w:val="none" w:sz="0" w:space="0" w:color="auto"/>
        <w:left w:val="none" w:sz="0" w:space="0" w:color="auto"/>
        <w:bottom w:val="none" w:sz="0" w:space="0" w:color="auto"/>
        <w:right w:val="none" w:sz="0" w:space="0" w:color="auto"/>
      </w:divBdr>
      <w:divsChild>
        <w:div w:id="1516073096">
          <w:marLeft w:val="0"/>
          <w:marRight w:val="0"/>
          <w:marTop w:val="0"/>
          <w:marBottom w:val="0"/>
          <w:divBdr>
            <w:top w:val="none" w:sz="0" w:space="0" w:color="auto"/>
            <w:left w:val="none" w:sz="0" w:space="0" w:color="auto"/>
            <w:bottom w:val="none" w:sz="0" w:space="0" w:color="auto"/>
            <w:right w:val="none" w:sz="0" w:space="0" w:color="auto"/>
          </w:divBdr>
        </w:div>
      </w:divsChild>
    </w:div>
    <w:div w:id="963191378">
      <w:bodyDiv w:val="1"/>
      <w:marLeft w:val="0"/>
      <w:marRight w:val="0"/>
      <w:marTop w:val="0"/>
      <w:marBottom w:val="0"/>
      <w:divBdr>
        <w:top w:val="none" w:sz="0" w:space="0" w:color="auto"/>
        <w:left w:val="none" w:sz="0" w:space="0" w:color="auto"/>
        <w:bottom w:val="none" w:sz="0" w:space="0" w:color="auto"/>
        <w:right w:val="none" w:sz="0" w:space="0" w:color="auto"/>
      </w:divBdr>
    </w:div>
    <w:div w:id="1000036987">
      <w:bodyDiv w:val="1"/>
      <w:marLeft w:val="0"/>
      <w:marRight w:val="0"/>
      <w:marTop w:val="0"/>
      <w:marBottom w:val="0"/>
      <w:divBdr>
        <w:top w:val="none" w:sz="0" w:space="0" w:color="auto"/>
        <w:left w:val="none" w:sz="0" w:space="0" w:color="auto"/>
        <w:bottom w:val="none" w:sz="0" w:space="0" w:color="auto"/>
        <w:right w:val="none" w:sz="0" w:space="0" w:color="auto"/>
      </w:divBdr>
    </w:div>
    <w:div w:id="1012494726">
      <w:bodyDiv w:val="1"/>
      <w:marLeft w:val="0"/>
      <w:marRight w:val="0"/>
      <w:marTop w:val="0"/>
      <w:marBottom w:val="0"/>
      <w:divBdr>
        <w:top w:val="none" w:sz="0" w:space="0" w:color="auto"/>
        <w:left w:val="none" w:sz="0" w:space="0" w:color="auto"/>
        <w:bottom w:val="none" w:sz="0" w:space="0" w:color="auto"/>
        <w:right w:val="none" w:sz="0" w:space="0" w:color="auto"/>
      </w:divBdr>
    </w:div>
    <w:div w:id="1049763572">
      <w:bodyDiv w:val="1"/>
      <w:marLeft w:val="0"/>
      <w:marRight w:val="0"/>
      <w:marTop w:val="0"/>
      <w:marBottom w:val="0"/>
      <w:divBdr>
        <w:top w:val="none" w:sz="0" w:space="0" w:color="auto"/>
        <w:left w:val="none" w:sz="0" w:space="0" w:color="auto"/>
        <w:bottom w:val="none" w:sz="0" w:space="0" w:color="auto"/>
        <w:right w:val="none" w:sz="0" w:space="0" w:color="auto"/>
      </w:divBdr>
    </w:div>
    <w:div w:id="1078163724">
      <w:bodyDiv w:val="1"/>
      <w:marLeft w:val="0"/>
      <w:marRight w:val="0"/>
      <w:marTop w:val="0"/>
      <w:marBottom w:val="0"/>
      <w:divBdr>
        <w:top w:val="none" w:sz="0" w:space="0" w:color="auto"/>
        <w:left w:val="none" w:sz="0" w:space="0" w:color="auto"/>
        <w:bottom w:val="none" w:sz="0" w:space="0" w:color="auto"/>
        <w:right w:val="none" w:sz="0" w:space="0" w:color="auto"/>
      </w:divBdr>
    </w:div>
    <w:div w:id="1123311478">
      <w:bodyDiv w:val="1"/>
      <w:marLeft w:val="0"/>
      <w:marRight w:val="0"/>
      <w:marTop w:val="0"/>
      <w:marBottom w:val="0"/>
      <w:divBdr>
        <w:top w:val="none" w:sz="0" w:space="0" w:color="auto"/>
        <w:left w:val="none" w:sz="0" w:space="0" w:color="auto"/>
        <w:bottom w:val="none" w:sz="0" w:space="0" w:color="auto"/>
        <w:right w:val="none" w:sz="0" w:space="0" w:color="auto"/>
      </w:divBdr>
    </w:div>
    <w:div w:id="1127890204">
      <w:bodyDiv w:val="1"/>
      <w:marLeft w:val="0"/>
      <w:marRight w:val="0"/>
      <w:marTop w:val="0"/>
      <w:marBottom w:val="0"/>
      <w:divBdr>
        <w:top w:val="none" w:sz="0" w:space="0" w:color="auto"/>
        <w:left w:val="none" w:sz="0" w:space="0" w:color="auto"/>
        <w:bottom w:val="none" w:sz="0" w:space="0" w:color="auto"/>
        <w:right w:val="none" w:sz="0" w:space="0" w:color="auto"/>
      </w:divBdr>
    </w:div>
    <w:div w:id="1129470055">
      <w:bodyDiv w:val="1"/>
      <w:marLeft w:val="0"/>
      <w:marRight w:val="0"/>
      <w:marTop w:val="0"/>
      <w:marBottom w:val="0"/>
      <w:divBdr>
        <w:top w:val="none" w:sz="0" w:space="0" w:color="auto"/>
        <w:left w:val="none" w:sz="0" w:space="0" w:color="auto"/>
        <w:bottom w:val="none" w:sz="0" w:space="0" w:color="auto"/>
        <w:right w:val="none" w:sz="0" w:space="0" w:color="auto"/>
      </w:divBdr>
    </w:div>
    <w:div w:id="1164973778">
      <w:bodyDiv w:val="1"/>
      <w:marLeft w:val="0"/>
      <w:marRight w:val="0"/>
      <w:marTop w:val="0"/>
      <w:marBottom w:val="0"/>
      <w:divBdr>
        <w:top w:val="none" w:sz="0" w:space="0" w:color="auto"/>
        <w:left w:val="none" w:sz="0" w:space="0" w:color="auto"/>
        <w:bottom w:val="none" w:sz="0" w:space="0" w:color="auto"/>
        <w:right w:val="none" w:sz="0" w:space="0" w:color="auto"/>
      </w:divBdr>
      <w:divsChild>
        <w:div w:id="1702978976">
          <w:marLeft w:val="0"/>
          <w:marRight w:val="0"/>
          <w:marTop w:val="0"/>
          <w:marBottom w:val="0"/>
          <w:divBdr>
            <w:top w:val="none" w:sz="0" w:space="0" w:color="auto"/>
            <w:left w:val="none" w:sz="0" w:space="0" w:color="auto"/>
            <w:bottom w:val="none" w:sz="0" w:space="0" w:color="auto"/>
            <w:right w:val="none" w:sz="0" w:space="0" w:color="auto"/>
          </w:divBdr>
        </w:div>
      </w:divsChild>
    </w:div>
    <w:div w:id="1238327622">
      <w:bodyDiv w:val="1"/>
      <w:marLeft w:val="0"/>
      <w:marRight w:val="0"/>
      <w:marTop w:val="0"/>
      <w:marBottom w:val="0"/>
      <w:divBdr>
        <w:top w:val="none" w:sz="0" w:space="0" w:color="auto"/>
        <w:left w:val="none" w:sz="0" w:space="0" w:color="auto"/>
        <w:bottom w:val="none" w:sz="0" w:space="0" w:color="auto"/>
        <w:right w:val="none" w:sz="0" w:space="0" w:color="auto"/>
      </w:divBdr>
    </w:div>
    <w:div w:id="1285892339">
      <w:bodyDiv w:val="1"/>
      <w:marLeft w:val="0"/>
      <w:marRight w:val="0"/>
      <w:marTop w:val="0"/>
      <w:marBottom w:val="0"/>
      <w:divBdr>
        <w:top w:val="none" w:sz="0" w:space="0" w:color="auto"/>
        <w:left w:val="none" w:sz="0" w:space="0" w:color="auto"/>
        <w:bottom w:val="none" w:sz="0" w:space="0" w:color="auto"/>
        <w:right w:val="none" w:sz="0" w:space="0" w:color="auto"/>
      </w:divBdr>
      <w:divsChild>
        <w:div w:id="1728721038">
          <w:marLeft w:val="0"/>
          <w:marRight w:val="0"/>
          <w:marTop w:val="0"/>
          <w:marBottom w:val="0"/>
          <w:divBdr>
            <w:top w:val="none" w:sz="0" w:space="0" w:color="auto"/>
            <w:left w:val="none" w:sz="0" w:space="0" w:color="auto"/>
            <w:bottom w:val="none" w:sz="0" w:space="0" w:color="auto"/>
            <w:right w:val="none" w:sz="0" w:space="0" w:color="auto"/>
          </w:divBdr>
        </w:div>
      </w:divsChild>
    </w:div>
    <w:div w:id="1369404930">
      <w:bodyDiv w:val="1"/>
      <w:marLeft w:val="0"/>
      <w:marRight w:val="0"/>
      <w:marTop w:val="0"/>
      <w:marBottom w:val="0"/>
      <w:divBdr>
        <w:top w:val="none" w:sz="0" w:space="0" w:color="auto"/>
        <w:left w:val="none" w:sz="0" w:space="0" w:color="auto"/>
        <w:bottom w:val="none" w:sz="0" w:space="0" w:color="auto"/>
        <w:right w:val="none" w:sz="0" w:space="0" w:color="auto"/>
      </w:divBdr>
      <w:divsChild>
        <w:div w:id="126818474">
          <w:marLeft w:val="0"/>
          <w:marRight w:val="0"/>
          <w:marTop w:val="0"/>
          <w:marBottom w:val="0"/>
          <w:divBdr>
            <w:top w:val="none" w:sz="0" w:space="0" w:color="auto"/>
            <w:left w:val="none" w:sz="0" w:space="0" w:color="auto"/>
            <w:bottom w:val="none" w:sz="0" w:space="0" w:color="auto"/>
            <w:right w:val="none" w:sz="0" w:space="0" w:color="auto"/>
          </w:divBdr>
        </w:div>
      </w:divsChild>
    </w:div>
    <w:div w:id="1374892315">
      <w:bodyDiv w:val="1"/>
      <w:marLeft w:val="0"/>
      <w:marRight w:val="0"/>
      <w:marTop w:val="0"/>
      <w:marBottom w:val="0"/>
      <w:divBdr>
        <w:top w:val="none" w:sz="0" w:space="0" w:color="auto"/>
        <w:left w:val="none" w:sz="0" w:space="0" w:color="auto"/>
        <w:bottom w:val="none" w:sz="0" w:space="0" w:color="auto"/>
        <w:right w:val="none" w:sz="0" w:space="0" w:color="auto"/>
      </w:divBdr>
    </w:div>
    <w:div w:id="1385759058">
      <w:bodyDiv w:val="1"/>
      <w:marLeft w:val="0"/>
      <w:marRight w:val="0"/>
      <w:marTop w:val="0"/>
      <w:marBottom w:val="0"/>
      <w:divBdr>
        <w:top w:val="none" w:sz="0" w:space="0" w:color="auto"/>
        <w:left w:val="none" w:sz="0" w:space="0" w:color="auto"/>
        <w:bottom w:val="none" w:sz="0" w:space="0" w:color="auto"/>
        <w:right w:val="none" w:sz="0" w:space="0" w:color="auto"/>
      </w:divBdr>
    </w:div>
    <w:div w:id="1448965557">
      <w:bodyDiv w:val="1"/>
      <w:marLeft w:val="0"/>
      <w:marRight w:val="0"/>
      <w:marTop w:val="0"/>
      <w:marBottom w:val="0"/>
      <w:divBdr>
        <w:top w:val="none" w:sz="0" w:space="0" w:color="auto"/>
        <w:left w:val="none" w:sz="0" w:space="0" w:color="auto"/>
        <w:bottom w:val="none" w:sz="0" w:space="0" w:color="auto"/>
        <w:right w:val="none" w:sz="0" w:space="0" w:color="auto"/>
      </w:divBdr>
      <w:divsChild>
        <w:div w:id="388455119">
          <w:marLeft w:val="0"/>
          <w:marRight w:val="0"/>
          <w:marTop w:val="0"/>
          <w:marBottom w:val="0"/>
          <w:divBdr>
            <w:top w:val="none" w:sz="0" w:space="0" w:color="auto"/>
            <w:left w:val="none" w:sz="0" w:space="0" w:color="auto"/>
            <w:bottom w:val="none" w:sz="0" w:space="0" w:color="auto"/>
            <w:right w:val="none" w:sz="0" w:space="0" w:color="auto"/>
          </w:divBdr>
        </w:div>
      </w:divsChild>
    </w:div>
    <w:div w:id="1513715978">
      <w:bodyDiv w:val="1"/>
      <w:marLeft w:val="0"/>
      <w:marRight w:val="0"/>
      <w:marTop w:val="0"/>
      <w:marBottom w:val="0"/>
      <w:divBdr>
        <w:top w:val="none" w:sz="0" w:space="0" w:color="auto"/>
        <w:left w:val="none" w:sz="0" w:space="0" w:color="auto"/>
        <w:bottom w:val="none" w:sz="0" w:space="0" w:color="auto"/>
        <w:right w:val="none" w:sz="0" w:space="0" w:color="auto"/>
      </w:divBdr>
      <w:divsChild>
        <w:div w:id="1309164508">
          <w:marLeft w:val="0"/>
          <w:marRight w:val="0"/>
          <w:marTop w:val="0"/>
          <w:marBottom w:val="0"/>
          <w:divBdr>
            <w:top w:val="none" w:sz="0" w:space="0" w:color="auto"/>
            <w:left w:val="none" w:sz="0" w:space="0" w:color="auto"/>
            <w:bottom w:val="none" w:sz="0" w:space="0" w:color="auto"/>
            <w:right w:val="none" w:sz="0" w:space="0" w:color="auto"/>
          </w:divBdr>
        </w:div>
      </w:divsChild>
    </w:div>
    <w:div w:id="1520698441">
      <w:bodyDiv w:val="1"/>
      <w:marLeft w:val="0"/>
      <w:marRight w:val="0"/>
      <w:marTop w:val="0"/>
      <w:marBottom w:val="0"/>
      <w:divBdr>
        <w:top w:val="none" w:sz="0" w:space="0" w:color="auto"/>
        <w:left w:val="none" w:sz="0" w:space="0" w:color="auto"/>
        <w:bottom w:val="none" w:sz="0" w:space="0" w:color="auto"/>
        <w:right w:val="none" w:sz="0" w:space="0" w:color="auto"/>
      </w:divBdr>
    </w:div>
    <w:div w:id="1587499686">
      <w:bodyDiv w:val="1"/>
      <w:marLeft w:val="0"/>
      <w:marRight w:val="0"/>
      <w:marTop w:val="0"/>
      <w:marBottom w:val="0"/>
      <w:divBdr>
        <w:top w:val="none" w:sz="0" w:space="0" w:color="auto"/>
        <w:left w:val="none" w:sz="0" w:space="0" w:color="auto"/>
        <w:bottom w:val="none" w:sz="0" w:space="0" w:color="auto"/>
        <w:right w:val="none" w:sz="0" w:space="0" w:color="auto"/>
      </w:divBdr>
      <w:divsChild>
        <w:div w:id="1313412066">
          <w:marLeft w:val="0"/>
          <w:marRight w:val="0"/>
          <w:marTop w:val="0"/>
          <w:marBottom w:val="0"/>
          <w:divBdr>
            <w:top w:val="none" w:sz="0" w:space="0" w:color="auto"/>
            <w:left w:val="none" w:sz="0" w:space="0" w:color="auto"/>
            <w:bottom w:val="none" w:sz="0" w:space="0" w:color="auto"/>
            <w:right w:val="none" w:sz="0" w:space="0" w:color="auto"/>
          </w:divBdr>
        </w:div>
      </w:divsChild>
    </w:div>
    <w:div w:id="1588883892">
      <w:bodyDiv w:val="1"/>
      <w:marLeft w:val="0"/>
      <w:marRight w:val="0"/>
      <w:marTop w:val="0"/>
      <w:marBottom w:val="0"/>
      <w:divBdr>
        <w:top w:val="none" w:sz="0" w:space="0" w:color="auto"/>
        <w:left w:val="none" w:sz="0" w:space="0" w:color="auto"/>
        <w:bottom w:val="none" w:sz="0" w:space="0" w:color="auto"/>
        <w:right w:val="none" w:sz="0" w:space="0" w:color="auto"/>
      </w:divBdr>
    </w:div>
    <w:div w:id="1630552564">
      <w:bodyDiv w:val="1"/>
      <w:marLeft w:val="0"/>
      <w:marRight w:val="0"/>
      <w:marTop w:val="0"/>
      <w:marBottom w:val="0"/>
      <w:divBdr>
        <w:top w:val="none" w:sz="0" w:space="0" w:color="auto"/>
        <w:left w:val="none" w:sz="0" w:space="0" w:color="auto"/>
        <w:bottom w:val="none" w:sz="0" w:space="0" w:color="auto"/>
        <w:right w:val="none" w:sz="0" w:space="0" w:color="auto"/>
      </w:divBdr>
    </w:div>
    <w:div w:id="1650555730">
      <w:bodyDiv w:val="1"/>
      <w:marLeft w:val="0"/>
      <w:marRight w:val="0"/>
      <w:marTop w:val="0"/>
      <w:marBottom w:val="0"/>
      <w:divBdr>
        <w:top w:val="none" w:sz="0" w:space="0" w:color="auto"/>
        <w:left w:val="none" w:sz="0" w:space="0" w:color="auto"/>
        <w:bottom w:val="none" w:sz="0" w:space="0" w:color="auto"/>
        <w:right w:val="none" w:sz="0" w:space="0" w:color="auto"/>
      </w:divBdr>
    </w:div>
    <w:div w:id="1687243741">
      <w:bodyDiv w:val="1"/>
      <w:marLeft w:val="0"/>
      <w:marRight w:val="0"/>
      <w:marTop w:val="0"/>
      <w:marBottom w:val="0"/>
      <w:divBdr>
        <w:top w:val="none" w:sz="0" w:space="0" w:color="auto"/>
        <w:left w:val="none" w:sz="0" w:space="0" w:color="auto"/>
        <w:bottom w:val="none" w:sz="0" w:space="0" w:color="auto"/>
        <w:right w:val="none" w:sz="0" w:space="0" w:color="auto"/>
      </w:divBdr>
    </w:div>
    <w:div w:id="1690983260">
      <w:bodyDiv w:val="1"/>
      <w:marLeft w:val="0"/>
      <w:marRight w:val="0"/>
      <w:marTop w:val="0"/>
      <w:marBottom w:val="0"/>
      <w:divBdr>
        <w:top w:val="none" w:sz="0" w:space="0" w:color="auto"/>
        <w:left w:val="none" w:sz="0" w:space="0" w:color="auto"/>
        <w:bottom w:val="none" w:sz="0" w:space="0" w:color="auto"/>
        <w:right w:val="none" w:sz="0" w:space="0" w:color="auto"/>
      </w:divBdr>
    </w:div>
    <w:div w:id="1712344029">
      <w:bodyDiv w:val="1"/>
      <w:marLeft w:val="0"/>
      <w:marRight w:val="0"/>
      <w:marTop w:val="0"/>
      <w:marBottom w:val="0"/>
      <w:divBdr>
        <w:top w:val="none" w:sz="0" w:space="0" w:color="auto"/>
        <w:left w:val="none" w:sz="0" w:space="0" w:color="auto"/>
        <w:bottom w:val="none" w:sz="0" w:space="0" w:color="auto"/>
        <w:right w:val="none" w:sz="0" w:space="0" w:color="auto"/>
      </w:divBdr>
    </w:div>
    <w:div w:id="1725251587">
      <w:bodyDiv w:val="1"/>
      <w:marLeft w:val="0"/>
      <w:marRight w:val="0"/>
      <w:marTop w:val="0"/>
      <w:marBottom w:val="0"/>
      <w:divBdr>
        <w:top w:val="none" w:sz="0" w:space="0" w:color="auto"/>
        <w:left w:val="none" w:sz="0" w:space="0" w:color="auto"/>
        <w:bottom w:val="none" w:sz="0" w:space="0" w:color="auto"/>
        <w:right w:val="none" w:sz="0" w:space="0" w:color="auto"/>
      </w:divBdr>
    </w:div>
    <w:div w:id="1728912460">
      <w:bodyDiv w:val="1"/>
      <w:marLeft w:val="0"/>
      <w:marRight w:val="0"/>
      <w:marTop w:val="0"/>
      <w:marBottom w:val="0"/>
      <w:divBdr>
        <w:top w:val="none" w:sz="0" w:space="0" w:color="auto"/>
        <w:left w:val="none" w:sz="0" w:space="0" w:color="auto"/>
        <w:bottom w:val="none" w:sz="0" w:space="0" w:color="auto"/>
        <w:right w:val="none" w:sz="0" w:space="0" w:color="auto"/>
      </w:divBdr>
    </w:div>
    <w:div w:id="1731883478">
      <w:bodyDiv w:val="1"/>
      <w:marLeft w:val="0"/>
      <w:marRight w:val="0"/>
      <w:marTop w:val="0"/>
      <w:marBottom w:val="0"/>
      <w:divBdr>
        <w:top w:val="none" w:sz="0" w:space="0" w:color="auto"/>
        <w:left w:val="none" w:sz="0" w:space="0" w:color="auto"/>
        <w:bottom w:val="none" w:sz="0" w:space="0" w:color="auto"/>
        <w:right w:val="none" w:sz="0" w:space="0" w:color="auto"/>
      </w:divBdr>
    </w:div>
    <w:div w:id="1760251167">
      <w:bodyDiv w:val="1"/>
      <w:marLeft w:val="0"/>
      <w:marRight w:val="0"/>
      <w:marTop w:val="0"/>
      <w:marBottom w:val="0"/>
      <w:divBdr>
        <w:top w:val="none" w:sz="0" w:space="0" w:color="auto"/>
        <w:left w:val="none" w:sz="0" w:space="0" w:color="auto"/>
        <w:bottom w:val="none" w:sz="0" w:space="0" w:color="auto"/>
        <w:right w:val="none" w:sz="0" w:space="0" w:color="auto"/>
      </w:divBdr>
    </w:div>
    <w:div w:id="1858696321">
      <w:bodyDiv w:val="1"/>
      <w:marLeft w:val="0"/>
      <w:marRight w:val="0"/>
      <w:marTop w:val="0"/>
      <w:marBottom w:val="0"/>
      <w:divBdr>
        <w:top w:val="none" w:sz="0" w:space="0" w:color="auto"/>
        <w:left w:val="none" w:sz="0" w:space="0" w:color="auto"/>
        <w:bottom w:val="none" w:sz="0" w:space="0" w:color="auto"/>
        <w:right w:val="none" w:sz="0" w:space="0" w:color="auto"/>
      </w:divBdr>
      <w:divsChild>
        <w:div w:id="922760278">
          <w:marLeft w:val="0"/>
          <w:marRight w:val="0"/>
          <w:marTop w:val="0"/>
          <w:marBottom w:val="0"/>
          <w:divBdr>
            <w:top w:val="none" w:sz="0" w:space="0" w:color="auto"/>
            <w:left w:val="none" w:sz="0" w:space="0" w:color="auto"/>
            <w:bottom w:val="none" w:sz="0" w:space="0" w:color="auto"/>
            <w:right w:val="none" w:sz="0" w:space="0" w:color="auto"/>
          </w:divBdr>
        </w:div>
      </w:divsChild>
    </w:div>
    <w:div w:id="1874536268">
      <w:bodyDiv w:val="1"/>
      <w:marLeft w:val="0"/>
      <w:marRight w:val="0"/>
      <w:marTop w:val="0"/>
      <w:marBottom w:val="0"/>
      <w:divBdr>
        <w:top w:val="none" w:sz="0" w:space="0" w:color="auto"/>
        <w:left w:val="none" w:sz="0" w:space="0" w:color="auto"/>
        <w:bottom w:val="none" w:sz="0" w:space="0" w:color="auto"/>
        <w:right w:val="none" w:sz="0" w:space="0" w:color="auto"/>
      </w:divBdr>
    </w:div>
    <w:div w:id="1907838386">
      <w:bodyDiv w:val="1"/>
      <w:marLeft w:val="0"/>
      <w:marRight w:val="0"/>
      <w:marTop w:val="0"/>
      <w:marBottom w:val="0"/>
      <w:divBdr>
        <w:top w:val="none" w:sz="0" w:space="0" w:color="auto"/>
        <w:left w:val="none" w:sz="0" w:space="0" w:color="auto"/>
        <w:bottom w:val="none" w:sz="0" w:space="0" w:color="auto"/>
        <w:right w:val="none" w:sz="0" w:space="0" w:color="auto"/>
      </w:divBdr>
    </w:div>
    <w:div w:id="1928953540">
      <w:bodyDiv w:val="1"/>
      <w:marLeft w:val="0"/>
      <w:marRight w:val="0"/>
      <w:marTop w:val="0"/>
      <w:marBottom w:val="0"/>
      <w:divBdr>
        <w:top w:val="none" w:sz="0" w:space="0" w:color="auto"/>
        <w:left w:val="none" w:sz="0" w:space="0" w:color="auto"/>
        <w:bottom w:val="none" w:sz="0" w:space="0" w:color="auto"/>
        <w:right w:val="none" w:sz="0" w:space="0" w:color="auto"/>
      </w:divBdr>
      <w:divsChild>
        <w:div w:id="1100101959">
          <w:marLeft w:val="0"/>
          <w:marRight w:val="0"/>
          <w:marTop w:val="0"/>
          <w:marBottom w:val="0"/>
          <w:divBdr>
            <w:top w:val="none" w:sz="0" w:space="0" w:color="auto"/>
            <w:left w:val="none" w:sz="0" w:space="0" w:color="auto"/>
            <w:bottom w:val="none" w:sz="0" w:space="0" w:color="auto"/>
            <w:right w:val="none" w:sz="0" w:space="0" w:color="auto"/>
          </w:divBdr>
        </w:div>
      </w:divsChild>
    </w:div>
    <w:div w:id="1944262043">
      <w:bodyDiv w:val="1"/>
      <w:marLeft w:val="0"/>
      <w:marRight w:val="0"/>
      <w:marTop w:val="0"/>
      <w:marBottom w:val="0"/>
      <w:divBdr>
        <w:top w:val="none" w:sz="0" w:space="0" w:color="auto"/>
        <w:left w:val="none" w:sz="0" w:space="0" w:color="auto"/>
        <w:bottom w:val="none" w:sz="0" w:space="0" w:color="auto"/>
        <w:right w:val="none" w:sz="0" w:space="0" w:color="auto"/>
      </w:divBdr>
    </w:div>
    <w:div w:id="1963731302">
      <w:bodyDiv w:val="1"/>
      <w:marLeft w:val="0"/>
      <w:marRight w:val="0"/>
      <w:marTop w:val="0"/>
      <w:marBottom w:val="0"/>
      <w:divBdr>
        <w:top w:val="none" w:sz="0" w:space="0" w:color="auto"/>
        <w:left w:val="none" w:sz="0" w:space="0" w:color="auto"/>
        <w:bottom w:val="none" w:sz="0" w:space="0" w:color="auto"/>
        <w:right w:val="none" w:sz="0" w:space="0" w:color="auto"/>
      </w:divBdr>
      <w:divsChild>
        <w:div w:id="1072779583">
          <w:marLeft w:val="0"/>
          <w:marRight w:val="0"/>
          <w:marTop w:val="0"/>
          <w:marBottom w:val="0"/>
          <w:divBdr>
            <w:top w:val="none" w:sz="0" w:space="0" w:color="auto"/>
            <w:left w:val="none" w:sz="0" w:space="0" w:color="auto"/>
            <w:bottom w:val="none" w:sz="0" w:space="0" w:color="auto"/>
            <w:right w:val="none" w:sz="0" w:space="0" w:color="auto"/>
          </w:divBdr>
        </w:div>
      </w:divsChild>
    </w:div>
    <w:div w:id="1969161710">
      <w:bodyDiv w:val="1"/>
      <w:marLeft w:val="0"/>
      <w:marRight w:val="0"/>
      <w:marTop w:val="0"/>
      <w:marBottom w:val="0"/>
      <w:divBdr>
        <w:top w:val="none" w:sz="0" w:space="0" w:color="auto"/>
        <w:left w:val="none" w:sz="0" w:space="0" w:color="auto"/>
        <w:bottom w:val="none" w:sz="0" w:space="0" w:color="auto"/>
        <w:right w:val="none" w:sz="0" w:space="0" w:color="auto"/>
      </w:divBdr>
    </w:div>
    <w:div w:id="1971012253">
      <w:bodyDiv w:val="1"/>
      <w:marLeft w:val="0"/>
      <w:marRight w:val="0"/>
      <w:marTop w:val="0"/>
      <w:marBottom w:val="0"/>
      <w:divBdr>
        <w:top w:val="none" w:sz="0" w:space="0" w:color="auto"/>
        <w:left w:val="none" w:sz="0" w:space="0" w:color="auto"/>
        <w:bottom w:val="none" w:sz="0" w:space="0" w:color="auto"/>
        <w:right w:val="none" w:sz="0" w:space="0" w:color="auto"/>
      </w:divBdr>
      <w:divsChild>
        <w:div w:id="199589710">
          <w:marLeft w:val="0"/>
          <w:marRight w:val="0"/>
          <w:marTop w:val="0"/>
          <w:marBottom w:val="0"/>
          <w:divBdr>
            <w:top w:val="none" w:sz="0" w:space="0" w:color="auto"/>
            <w:left w:val="none" w:sz="0" w:space="0" w:color="auto"/>
            <w:bottom w:val="none" w:sz="0" w:space="0" w:color="auto"/>
            <w:right w:val="none" w:sz="0" w:space="0" w:color="auto"/>
          </w:divBdr>
        </w:div>
      </w:divsChild>
    </w:div>
    <w:div w:id="2039351770">
      <w:bodyDiv w:val="1"/>
      <w:marLeft w:val="0"/>
      <w:marRight w:val="0"/>
      <w:marTop w:val="0"/>
      <w:marBottom w:val="0"/>
      <w:divBdr>
        <w:top w:val="none" w:sz="0" w:space="0" w:color="auto"/>
        <w:left w:val="none" w:sz="0" w:space="0" w:color="auto"/>
        <w:bottom w:val="none" w:sz="0" w:space="0" w:color="auto"/>
        <w:right w:val="none" w:sz="0" w:space="0" w:color="auto"/>
      </w:divBdr>
    </w:div>
    <w:div w:id="2039354444">
      <w:bodyDiv w:val="1"/>
      <w:marLeft w:val="0"/>
      <w:marRight w:val="0"/>
      <w:marTop w:val="0"/>
      <w:marBottom w:val="0"/>
      <w:divBdr>
        <w:top w:val="none" w:sz="0" w:space="0" w:color="auto"/>
        <w:left w:val="none" w:sz="0" w:space="0" w:color="auto"/>
        <w:bottom w:val="none" w:sz="0" w:space="0" w:color="auto"/>
        <w:right w:val="none" w:sz="0" w:space="0" w:color="auto"/>
      </w:divBdr>
      <w:divsChild>
        <w:div w:id="1572961735">
          <w:marLeft w:val="0"/>
          <w:marRight w:val="0"/>
          <w:marTop w:val="0"/>
          <w:marBottom w:val="0"/>
          <w:divBdr>
            <w:top w:val="none" w:sz="0" w:space="0" w:color="auto"/>
            <w:left w:val="none" w:sz="0" w:space="0" w:color="auto"/>
            <w:bottom w:val="none" w:sz="0" w:space="0" w:color="auto"/>
            <w:right w:val="none" w:sz="0" w:space="0" w:color="auto"/>
          </w:divBdr>
        </w:div>
      </w:divsChild>
    </w:div>
    <w:div w:id="2066827948">
      <w:bodyDiv w:val="1"/>
      <w:marLeft w:val="0"/>
      <w:marRight w:val="0"/>
      <w:marTop w:val="0"/>
      <w:marBottom w:val="0"/>
      <w:divBdr>
        <w:top w:val="none" w:sz="0" w:space="0" w:color="auto"/>
        <w:left w:val="none" w:sz="0" w:space="0" w:color="auto"/>
        <w:bottom w:val="none" w:sz="0" w:space="0" w:color="auto"/>
        <w:right w:val="none" w:sz="0" w:space="0" w:color="auto"/>
      </w:divBdr>
    </w:div>
    <w:div w:id="2105572036">
      <w:bodyDiv w:val="1"/>
      <w:marLeft w:val="0"/>
      <w:marRight w:val="0"/>
      <w:marTop w:val="0"/>
      <w:marBottom w:val="0"/>
      <w:divBdr>
        <w:top w:val="none" w:sz="0" w:space="0" w:color="auto"/>
        <w:left w:val="none" w:sz="0" w:space="0" w:color="auto"/>
        <w:bottom w:val="none" w:sz="0" w:space="0" w:color="auto"/>
        <w:right w:val="none" w:sz="0" w:space="0" w:color="auto"/>
      </w:divBdr>
      <w:divsChild>
        <w:div w:id="1913352643">
          <w:marLeft w:val="0"/>
          <w:marRight w:val="0"/>
          <w:marTop w:val="0"/>
          <w:marBottom w:val="0"/>
          <w:divBdr>
            <w:top w:val="none" w:sz="0" w:space="0" w:color="auto"/>
            <w:left w:val="none" w:sz="0" w:space="0" w:color="auto"/>
            <w:bottom w:val="none" w:sz="0" w:space="0" w:color="auto"/>
            <w:right w:val="none" w:sz="0" w:space="0" w:color="auto"/>
          </w:divBdr>
        </w:div>
      </w:divsChild>
    </w:div>
    <w:div w:id="214442228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6f8ae3-53cc-4ab8-9fad-329029d15659">
      <Terms xmlns="http://schemas.microsoft.com/office/infopath/2007/PartnerControls"/>
    </lcf76f155ced4ddcb4097134ff3c332f>
    <_Flow_SignoffStatus xmlns="9b6f8ae3-53cc-4ab8-9fad-329029d15659" xsi:nil="true"/>
    <TaxCatchAll xmlns="d038c460-8993-48e5-a417-2855b92a8d8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D1ECE2549D894B921BF74E09A4272A" ma:contentTypeVersion="16" ma:contentTypeDescription="Create a new document." ma:contentTypeScope="" ma:versionID="39affcb34f35c45c68b30ab9a595c0e2">
  <xsd:schema xmlns:xsd="http://www.w3.org/2001/XMLSchema" xmlns:xs="http://www.w3.org/2001/XMLSchema" xmlns:p="http://schemas.microsoft.com/office/2006/metadata/properties" xmlns:ns2="d038c460-8993-48e5-a417-2855b92a8d83" xmlns:ns3="9b6f8ae3-53cc-4ab8-9fad-329029d15659" targetNamespace="http://schemas.microsoft.com/office/2006/metadata/properties" ma:root="true" ma:fieldsID="ca50fa2b1b53494fb260080ec2ca0897" ns2:_="" ns3:_="">
    <xsd:import namespace="d038c460-8993-48e5-a417-2855b92a8d83"/>
    <xsd:import namespace="9b6f8ae3-53cc-4ab8-9fad-329029d1565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38c460-8993-48e5-a417-2855b92a8d8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36ea40e-2c77-45e5-aee5-13b3b213ab65}" ma:internalName="TaxCatchAll" ma:showField="CatchAllData" ma:web="d038c460-8993-48e5-a417-2855b92a8d8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6f8ae3-53cc-4ab8-9fad-329029d156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686690b-76c7-4a06-a501-040c0c3e82c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515258-2538-4ED6-ACAF-B207967AAD35}">
  <ds:schemaRefs>
    <ds:schemaRef ds:uri="http://schemas.microsoft.com/office/2006/metadata/properties"/>
    <ds:schemaRef ds:uri="http://schemas.microsoft.com/office/infopath/2007/PartnerControls"/>
    <ds:schemaRef ds:uri="9b6f8ae3-53cc-4ab8-9fad-329029d15659"/>
    <ds:schemaRef ds:uri="d038c460-8993-48e5-a417-2855b92a8d83"/>
  </ds:schemaRefs>
</ds:datastoreItem>
</file>

<file path=customXml/itemProps2.xml><?xml version="1.0" encoding="utf-8"?>
<ds:datastoreItem xmlns:ds="http://schemas.openxmlformats.org/officeDocument/2006/customXml" ds:itemID="{D755558C-592E-4D44-B4D4-486D81714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38c460-8993-48e5-a417-2855b92a8d83"/>
    <ds:schemaRef ds:uri="9b6f8ae3-53cc-4ab8-9fad-329029d15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6C2BC6-0B75-4E7E-9862-7328DB0C19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996</Words>
  <Characters>5481</Characters>
  <Application>Microsoft Office Word</Application>
  <DocSecurity>0</DocSecurity>
  <Lines>45</Lines>
  <Paragraphs>12</Paragraphs>
  <ScaleCrop>false</ScaleCrop>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Evelyn</dc:creator>
  <cp:keywords/>
  <cp:lastModifiedBy>Tang, Tingting</cp:lastModifiedBy>
  <cp:revision>19</cp:revision>
  <dcterms:created xsi:type="dcterms:W3CDTF">2026-09-08T06:03:00Z</dcterms:created>
  <dcterms:modified xsi:type="dcterms:W3CDTF">2026-09-08T08:10:00Z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0x0101001FD1ECE2549D894B921BF74E09A4272A</vt:lpwstr>
  </property>
  <property fmtid="{D5CDD505-2E9C-101B-9397-08002B2CF9AE}" pid="3" name="MediaServiceImageTags">
    <vt:lpwstr/>
  </property>
</Properties>
</file>