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1BE83">
      <w:pPr>
        <w:pStyle w:val="2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sz w:val="24"/>
          <w:szCs w:val="24"/>
          <w:lang w:val="en-US"/>
        </w:rPr>
        <w:t>证券代码：6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88333</w:t>
      </w:r>
      <w:r>
        <w:rPr>
          <w:rFonts w:ascii="Times New Roman" w:hAnsi="Times New Roman" w:eastAsia="宋体" w:cs="Times New Roman"/>
          <w:sz w:val="24"/>
          <w:szCs w:val="24"/>
          <w:lang w:val="en-US"/>
        </w:rPr>
        <w:t xml:space="preserve">                                 证券简称：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铂力特</w:t>
      </w:r>
    </w:p>
    <w:p w14:paraId="1309F80B"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44"/>
          <w:szCs w:val="44"/>
        </w:rPr>
      </w:pPr>
    </w:p>
    <w:p w14:paraId="2EDE651E">
      <w:pPr>
        <w:spacing w:line="360" w:lineRule="auto"/>
        <w:jc w:val="center"/>
        <w:rPr>
          <w:rFonts w:ascii="Times New Roman" w:hAnsi="Times New Roman" w:eastAsia="黑体" w:cs="Times New Roman"/>
          <w:b/>
          <w:bCs/>
          <w:sz w:val="30"/>
          <w:szCs w:val="30"/>
        </w:rPr>
      </w:pPr>
      <w:r>
        <w:rPr>
          <w:rFonts w:hint="eastAsia" w:ascii="Times New Roman" w:hAnsi="Times New Roman" w:eastAsia="黑体" w:cs="Times New Roman"/>
          <w:b/>
          <w:bCs/>
          <w:sz w:val="30"/>
          <w:szCs w:val="30"/>
          <w:lang w:val="en-US" w:eastAsia="zh-CN"/>
        </w:rPr>
        <w:t>西安铂力特增材技术</w:t>
      </w:r>
      <w:r>
        <w:rPr>
          <w:rFonts w:ascii="Times New Roman" w:hAnsi="Times New Roman" w:eastAsia="黑体" w:cs="Times New Roman"/>
          <w:b/>
          <w:bCs/>
          <w:sz w:val="30"/>
          <w:szCs w:val="30"/>
        </w:rPr>
        <w:t>股份有限公司</w:t>
      </w:r>
    </w:p>
    <w:p w14:paraId="4174C236">
      <w:pPr>
        <w:spacing w:line="360" w:lineRule="auto"/>
        <w:jc w:val="center"/>
        <w:rPr>
          <w:rFonts w:ascii="Times New Roman" w:hAnsi="Times New Roman" w:eastAsia="黑体" w:cs="Times New Roman"/>
          <w:b/>
          <w:bCs/>
          <w:sz w:val="30"/>
          <w:szCs w:val="30"/>
        </w:rPr>
      </w:pPr>
      <w:r>
        <w:rPr>
          <w:rFonts w:ascii="Times New Roman" w:hAnsi="Times New Roman" w:eastAsia="黑体" w:cs="Times New Roman"/>
          <w:b/>
          <w:bCs/>
          <w:sz w:val="30"/>
          <w:szCs w:val="30"/>
        </w:rPr>
        <w:t>投资者关系活动记录表</w:t>
      </w:r>
    </w:p>
    <w:tbl>
      <w:tblPr>
        <w:tblStyle w:val="10"/>
        <w:tblW w:w="85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1696"/>
        <w:gridCol w:w="6829"/>
      </w:tblGrid>
      <w:tr w14:paraId="231D84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077" w:hRule="atLeast"/>
          <w:jc w:val="center"/>
        </w:trPr>
        <w:tc>
          <w:tcPr>
            <w:tcW w:w="1696" w:type="dxa"/>
            <w:vAlign w:val="center"/>
          </w:tcPr>
          <w:p w14:paraId="2CDB7842">
            <w:pPr>
              <w:pStyle w:val="13"/>
              <w:spacing w:before="120" w:beforeLines="50" w:after="120" w:afterLines="50" w:line="360" w:lineRule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  <w:t>投资者关系活动类别</w:t>
            </w:r>
          </w:p>
        </w:tc>
        <w:tc>
          <w:tcPr>
            <w:tcW w:w="6829" w:type="dxa"/>
            <w:vAlign w:val="center"/>
          </w:tcPr>
          <w:p w14:paraId="2A53FC26">
            <w:pPr>
              <w:pStyle w:val="13"/>
              <w:tabs>
                <w:tab w:val="left" w:pos="2418"/>
              </w:tabs>
              <w:spacing w:before="240" w:beforeLines="100" w:after="120" w:afterLines="50" w:line="240" w:lineRule="auto"/>
              <w:ind w:left="108"/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</w:pPr>
            <w:sdt>
              <w:sdtPr>
                <w:rPr>
                  <w:rFonts w:hint="default" w:ascii="Times New Roman" w:hAnsi="Times New Roman" w:cs="Times New Roman" w:eastAsiaTheme="minorEastAsia"/>
                  <w:sz w:val="21"/>
                  <w:szCs w:val="21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cs="Times New Roman" w:eastAsiaTheme="minorEastAsia"/>
                  <w:sz w:val="21"/>
                  <w:szCs w:val="21"/>
                </w:rPr>
              </w:sdtEndPr>
              <w:sdtContent>
                <w:r>
                  <w:rPr>
                    <w:rFonts w:hint="default" w:ascii="Times New Roman" w:hAnsi="Times New Roman" w:eastAsia="MS Gothic" w:cs="Times New Roman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特</w:t>
            </w:r>
            <w:r>
              <w:rPr>
                <w:rFonts w:hint="default" w:ascii="Times New Roman" w:hAnsi="Times New Roman" w:cs="Times New Roman" w:eastAsiaTheme="minorEastAsia"/>
                <w:spacing w:val="-3"/>
                <w:sz w:val="21"/>
                <w:szCs w:val="21"/>
              </w:rPr>
              <w:t>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对</w:t>
            </w:r>
            <w:r>
              <w:rPr>
                <w:rFonts w:hint="default" w:ascii="Times New Roman" w:hAnsi="Times New Roman" w:cs="Times New Roman" w:eastAsiaTheme="minorEastAsia"/>
                <w:spacing w:val="-3"/>
                <w:sz w:val="21"/>
                <w:szCs w:val="21"/>
              </w:rPr>
              <w:t>象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调研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ab/>
            </w:r>
            <w:sdt>
              <w:sdtPr>
                <w:rPr>
                  <w:rFonts w:hint="default" w:ascii="Times New Roman" w:hAnsi="Times New Roman" w:cs="Times New Roman" w:eastAsiaTheme="minorEastAsia"/>
                  <w:sz w:val="21"/>
                  <w:szCs w:val="21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cs="Times New Roman" w:eastAsiaTheme="minorEastAsia"/>
                  <w:sz w:val="21"/>
                  <w:szCs w:val="21"/>
                </w:rPr>
              </w:sdtEndPr>
              <w:sdtContent>
                <w:r>
                  <w:rPr>
                    <w:rFonts w:hint="default" w:ascii="Times New Roman" w:hAnsi="Times New Roman" w:cs="Times New Roman" w:eastAsiaTheme="minor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分</w:t>
            </w:r>
            <w:r>
              <w:rPr>
                <w:rFonts w:hint="default" w:ascii="Times New Roman" w:hAnsi="Times New Roman" w:cs="Times New Roman" w:eastAsiaTheme="minorEastAsia"/>
                <w:spacing w:val="-3"/>
                <w:sz w:val="21"/>
                <w:szCs w:val="21"/>
              </w:rPr>
              <w:t>析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师</w:t>
            </w:r>
            <w:r>
              <w:rPr>
                <w:rFonts w:hint="default" w:ascii="Times New Roman" w:hAnsi="Times New Roman" w:cs="Times New Roman" w:eastAsiaTheme="minorEastAsia"/>
                <w:spacing w:val="-3"/>
                <w:sz w:val="21"/>
                <w:szCs w:val="21"/>
              </w:rPr>
              <w:t>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议</w:t>
            </w:r>
          </w:p>
          <w:p w14:paraId="5D4328F7">
            <w:pPr>
              <w:pStyle w:val="13"/>
              <w:tabs>
                <w:tab w:val="left" w:pos="2418"/>
              </w:tabs>
              <w:spacing w:before="120" w:beforeLines="50" w:after="120" w:afterLines="50" w:line="240" w:lineRule="auto"/>
              <w:ind w:left="107"/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</w:pPr>
            <w:sdt>
              <w:sdtPr>
                <w:rPr>
                  <w:rFonts w:hint="default" w:ascii="Times New Roman" w:hAnsi="Times New Roman" w:cs="Times New Roman" w:eastAsiaTheme="minorEastAsia"/>
                  <w:sz w:val="21"/>
                  <w:szCs w:val="21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cs="Times New Roman" w:eastAsiaTheme="minorEastAsia"/>
                  <w:sz w:val="21"/>
                  <w:szCs w:val="21"/>
                </w:rPr>
              </w:sdtEndPr>
              <w:sdtContent>
                <w:r>
                  <w:rPr>
                    <w:rFonts w:hint="default" w:ascii="Times New Roman" w:hAnsi="Times New Roman" w:cs="Times New Roman" w:eastAsiaTheme="minor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媒</w:t>
            </w:r>
            <w:r>
              <w:rPr>
                <w:rFonts w:hint="default" w:ascii="Times New Roman" w:hAnsi="Times New Roman" w:cs="Times New Roman" w:eastAsiaTheme="minorEastAsia"/>
                <w:spacing w:val="-3"/>
                <w:sz w:val="21"/>
                <w:szCs w:val="21"/>
              </w:rPr>
              <w:t>体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采访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ab/>
            </w:r>
            <w:sdt>
              <w:sdtPr>
                <w:rPr>
                  <w:rFonts w:hint="default" w:ascii="Times New Roman" w:hAnsi="Times New Roman" w:cs="Times New Roman" w:eastAsiaTheme="minorEastAsia"/>
                  <w:sz w:val="21"/>
                  <w:szCs w:val="21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cs="Times New Roman" w:eastAsiaTheme="minorEastAsia"/>
                  <w:sz w:val="21"/>
                  <w:szCs w:val="21"/>
                </w:rPr>
              </w:sdtEndPr>
              <w:sdtContent>
                <w:r>
                  <w:rPr>
                    <w:rFonts w:hint="default" w:ascii="Times New Roman" w:hAnsi="Times New Roman" w:cs="Times New Roman" w:eastAsiaTheme="minorEastAsia"/>
                    <w:sz w:val="21"/>
                    <w:szCs w:val="21"/>
                  </w:rPr>
                  <w:sym w:font="Wingdings 2" w:char="F052"/>
                </w:r>
              </w:sdtContent>
            </w:sdt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业</w:t>
            </w:r>
            <w:r>
              <w:rPr>
                <w:rFonts w:hint="default" w:ascii="Times New Roman" w:hAnsi="Times New Roman" w:cs="Times New Roman" w:eastAsiaTheme="minorEastAsia"/>
                <w:spacing w:val="-3"/>
                <w:sz w:val="21"/>
                <w:szCs w:val="21"/>
              </w:rPr>
              <w:t>绩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说</w:t>
            </w:r>
            <w:r>
              <w:rPr>
                <w:rFonts w:hint="default" w:ascii="Times New Roman" w:hAnsi="Times New Roman" w:cs="Times New Roman" w:eastAsiaTheme="minorEastAsia"/>
                <w:spacing w:val="-3"/>
                <w:sz w:val="21"/>
                <w:szCs w:val="21"/>
              </w:rPr>
              <w:t>明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会</w:t>
            </w:r>
          </w:p>
          <w:p w14:paraId="16238505">
            <w:pPr>
              <w:pStyle w:val="13"/>
              <w:tabs>
                <w:tab w:val="left" w:pos="2418"/>
              </w:tabs>
              <w:spacing w:before="120" w:beforeLines="50" w:after="120" w:afterLines="50" w:line="240" w:lineRule="auto"/>
              <w:ind w:left="107"/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</w:pPr>
            <w:sdt>
              <w:sdtPr>
                <w:rPr>
                  <w:rFonts w:hint="default" w:ascii="Times New Roman" w:hAnsi="Times New Roman" w:cs="Times New Roman" w:eastAsiaTheme="minorEastAsia"/>
                  <w:sz w:val="21"/>
                  <w:szCs w:val="21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cs="Times New Roman" w:eastAsiaTheme="minorEastAsia"/>
                  <w:sz w:val="21"/>
                  <w:szCs w:val="21"/>
                </w:rPr>
              </w:sdtEndPr>
              <w:sdtContent>
                <w:r>
                  <w:rPr>
                    <w:rFonts w:hint="default" w:ascii="Times New Roman" w:hAnsi="Times New Roman" w:cs="Times New Roman" w:eastAsiaTheme="minor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新</w:t>
            </w:r>
            <w:r>
              <w:rPr>
                <w:rFonts w:hint="default" w:ascii="Times New Roman" w:hAnsi="Times New Roman" w:cs="Times New Roman" w:eastAsiaTheme="minorEastAsia"/>
                <w:spacing w:val="-3"/>
                <w:sz w:val="21"/>
                <w:szCs w:val="21"/>
              </w:rPr>
              <w:t>闻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发</w:t>
            </w:r>
            <w:r>
              <w:rPr>
                <w:rFonts w:hint="default" w:ascii="Times New Roman" w:hAnsi="Times New Roman" w:cs="Times New Roman" w:eastAsiaTheme="minorEastAsia"/>
                <w:spacing w:val="-3"/>
                <w:sz w:val="21"/>
                <w:szCs w:val="21"/>
              </w:rPr>
              <w:t>布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ab/>
            </w:r>
            <w:sdt>
              <w:sdtPr>
                <w:rPr>
                  <w:rFonts w:hint="default" w:ascii="Times New Roman" w:hAnsi="Times New Roman" w:cs="Times New Roman" w:eastAsiaTheme="minorEastAsia"/>
                  <w:sz w:val="21"/>
                  <w:szCs w:val="21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cs="Times New Roman" w:eastAsiaTheme="minorEastAsia"/>
                  <w:sz w:val="21"/>
                  <w:szCs w:val="21"/>
                </w:rPr>
              </w:sdtEndPr>
              <w:sdtContent>
                <w:r>
                  <w:rPr>
                    <w:rFonts w:hint="default" w:ascii="Times New Roman" w:hAnsi="Times New Roman" w:cs="Times New Roman" w:eastAsiaTheme="minorEastAsia"/>
                    <w:sz w:val="21"/>
                    <w:szCs w:val="21"/>
                    <w:lang w:val="zh-CN" w:eastAsia="zh-CN" w:bidi="zh-CN"/>
                  </w:rPr>
                  <w:t>☐</w:t>
                </w:r>
              </w:sdtContent>
            </w:sdt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路</w:t>
            </w:r>
            <w:r>
              <w:rPr>
                <w:rFonts w:hint="default" w:ascii="Times New Roman" w:hAnsi="Times New Roman" w:cs="Times New Roman" w:eastAsiaTheme="minorEastAsia"/>
                <w:spacing w:val="-3"/>
                <w:sz w:val="21"/>
                <w:szCs w:val="21"/>
              </w:rPr>
              <w:t>演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活动</w:t>
            </w:r>
          </w:p>
          <w:p w14:paraId="6BFFC255">
            <w:pPr>
              <w:pStyle w:val="13"/>
              <w:spacing w:before="120" w:beforeLines="50" w:after="120" w:afterLines="50" w:line="240" w:lineRule="auto"/>
              <w:ind w:left="107"/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</w:pPr>
            <w:sdt>
              <w:sdtPr>
                <w:rPr>
                  <w:rFonts w:hint="default" w:ascii="Times New Roman" w:hAnsi="Times New Roman" w:cs="Times New Roman" w:eastAsiaTheme="minorEastAsia"/>
                  <w:sz w:val="21"/>
                  <w:szCs w:val="21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cs="Times New Roman" w:eastAsiaTheme="minorEastAsia"/>
                  <w:sz w:val="21"/>
                  <w:szCs w:val="21"/>
                </w:rPr>
              </w:sdtEndPr>
              <w:sdtContent>
                <w:r>
                  <w:rPr>
                    <w:rFonts w:hint="default" w:ascii="Times New Roman" w:hAnsi="Times New Roman" w:eastAsia="MS Gothic" w:cs="Times New Roman"/>
                    <w:sz w:val="21"/>
                    <w:szCs w:val="21"/>
                    <w:lang w:val="zh-CN" w:eastAsia="zh-CN" w:bidi="zh-CN"/>
                  </w:rPr>
                  <w:t>☐</w:t>
                </w:r>
              </w:sdtContent>
            </w:sdt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现场参观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 xml:space="preserve"> </w:t>
            </w:r>
            <w:sdt>
              <w:sdtPr>
                <w:rPr>
                  <w:rFonts w:hint="default" w:ascii="Times New Roman" w:hAnsi="Times New Roman" w:cs="Times New Roman" w:eastAsiaTheme="minorEastAsia"/>
                  <w:sz w:val="21"/>
                  <w:szCs w:val="21"/>
                </w:rPr>
                <w:id w:val="14746920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cs="Times New Roman" w:eastAsiaTheme="minorEastAsia"/>
                  <w:sz w:val="21"/>
                  <w:szCs w:val="21"/>
                </w:rPr>
              </w:sdtEndPr>
              <w:sdtContent>
                <w:r>
                  <w:rPr>
                    <w:rFonts w:hint="default" w:ascii="Times New Roman" w:hAnsi="Times New Roman" w:cs="Times New Roman" w:eastAsiaTheme="minorEastAsia"/>
                    <w:sz w:val="21"/>
                    <w:szCs w:val="21"/>
                    <w:lang w:val="zh-CN" w:eastAsia="zh-CN" w:bidi="zh-CN"/>
                  </w:rPr>
                  <w:t>☐</w:t>
                </w:r>
              </w:sdtContent>
            </w:sdt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其他</w:t>
            </w:r>
          </w:p>
        </w:tc>
      </w:tr>
      <w:tr w14:paraId="6613C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26" w:hRule="atLeast"/>
          <w:jc w:val="center"/>
        </w:trPr>
        <w:tc>
          <w:tcPr>
            <w:tcW w:w="1696" w:type="dxa"/>
            <w:vAlign w:val="center"/>
          </w:tcPr>
          <w:p w14:paraId="67840AC9">
            <w:pPr>
              <w:pStyle w:val="13"/>
              <w:spacing w:before="120" w:beforeLines="50" w:after="120" w:afterLines="50"/>
              <w:ind w:right="96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  <w:t>参与单位名称</w:t>
            </w:r>
          </w:p>
        </w:tc>
        <w:tc>
          <w:tcPr>
            <w:tcW w:w="6829" w:type="dxa"/>
            <w:vAlign w:val="center"/>
          </w:tcPr>
          <w:p w14:paraId="513E70EB">
            <w:pPr>
              <w:spacing w:line="460" w:lineRule="exac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线上参与公司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6年半年度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业绩说明会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highlight w:val="none"/>
              </w:rPr>
              <w:t>的投资者</w:t>
            </w:r>
          </w:p>
        </w:tc>
      </w:tr>
      <w:tr w14:paraId="7F9640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696" w:type="dxa"/>
            <w:vAlign w:val="center"/>
          </w:tcPr>
          <w:p w14:paraId="479F45E2">
            <w:pPr>
              <w:pStyle w:val="13"/>
              <w:spacing w:before="120" w:beforeLines="50" w:after="120" w:afterLines="50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  <w:t>时间</w:t>
            </w:r>
          </w:p>
        </w:tc>
        <w:tc>
          <w:tcPr>
            <w:tcW w:w="6829" w:type="dxa"/>
            <w:vAlign w:val="center"/>
          </w:tcPr>
          <w:p w14:paraId="1D487FBD">
            <w:pPr>
              <w:spacing w:before="120" w:beforeLines="50" w:after="120" w:afterLines="50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月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日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:00-1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:00</w:t>
            </w:r>
          </w:p>
        </w:tc>
      </w:tr>
      <w:tr w14:paraId="013074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696" w:type="dxa"/>
            <w:vAlign w:val="center"/>
          </w:tcPr>
          <w:p w14:paraId="002B733E">
            <w:pPr>
              <w:pStyle w:val="13"/>
              <w:spacing w:before="120" w:beforeLines="50" w:after="120" w:afterLines="50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  <w:t>地点</w:t>
            </w:r>
          </w:p>
        </w:tc>
        <w:tc>
          <w:tcPr>
            <w:tcW w:w="6829" w:type="dxa"/>
            <w:vAlign w:val="center"/>
          </w:tcPr>
          <w:p w14:paraId="10B58080">
            <w:pPr>
              <w:spacing w:line="460" w:lineRule="exact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上海证券交易所上证路演中心网络文字互动</w:t>
            </w:r>
          </w:p>
          <w:p w14:paraId="2545A33B">
            <w:pPr>
              <w:spacing w:line="460" w:lineRule="exact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（网址：https://roadshow.sseinfo.com）</w:t>
            </w:r>
          </w:p>
        </w:tc>
      </w:tr>
      <w:tr w14:paraId="40B9EF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696" w:type="dxa"/>
            <w:vAlign w:val="center"/>
          </w:tcPr>
          <w:p w14:paraId="07164810">
            <w:pPr>
              <w:pStyle w:val="13"/>
              <w:spacing w:before="120" w:beforeLines="50" w:after="120" w:afterLines="50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  <w:t>上市公司接待人员姓名</w:t>
            </w:r>
          </w:p>
        </w:tc>
        <w:tc>
          <w:tcPr>
            <w:tcW w:w="6829" w:type="dxa"/>
            <w:vAlign w:val="center"/>
          </w:tcPr>
          <w:p w14:paraId="2AAD6EB5">
            <w:pPr>
              <w:pStyle w:val="13"/>
              <w:spacing w:before="120" w:beforeLines="50" w:after="120" w:afterLines="50"/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董事长兼总经理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董事会秘书（代行）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：薛蕾先生</w:t>
            </w:r>
          </w:p>
          <w:p w14:paraId="08117034">
            <w:pPr>
              <w:pStyle w:val="13"/>
              <w:spacing w:before="120" w:beforeLines="50" w:after="120" w:afterLines="50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财务总监：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王敏先生</w:t>
            </w:r>
          </w:p>
          <w:p w14:paraId="057D2A0F">
            <w:pPr>
              <w:pStyle w:val="13"/>
              <w:spacing w:before="120" w:beforeLines="50" w:after="120" w:afterLines="50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独立董事：徐亚东先生</w:t>
            </w:r>
          </w:p>
        </w:tc>
      </w:tr>
      <w:tr w14:paraId="369C7F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696" w:type="dxa"/>
          </w:tcPr>
          <w:p w14:paraId="2806C304">
            <w:pPr>
              <w:pStyle w:val="13"/>
              <w:spacing w:before="120" w:beforeLines="50" w:after="120" w:afterLines="50" w:line="360" w:lineRule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</w:pPr>
          </w:p>
          <w:p w14:paraId="21001BE1">
            <w:pPr>
              <w:pStyle w:val="13"/>
              <w:spacing w:before="120" w:beforeLines="50" w:after="120" w:afterLines="50" w:line="360" w:lineRule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</w:pPr>
          </w:p>
          <w:p w14:paraId="72F2DE95">
            <w:pPr>
              <w:pStyle w:val="13"/>
              <w:spacing w:before="120" w:beforeLines="50" w:after="120" w:afterLines="50" w:line="360" w:lineRule="auto"/>
              <w:ind w:right="96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  <w:t>投资者关系活动主要内容介绍</w:t>
            </w:r>
          </w:p>
        </w:tc>
        <w:tc>
          <w:tcPr>
            <w:tcW w:w="6829" w:type="dxa"/>
            <w:vAlign w:val="top"/>
          </w:tcPr>
          <w:p w14:paraId="128886B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460" w:lineRule="exact"/>
              <w:ind w:left="0" w:leftChars="0" w:firstLine="422" w:firstLineChars="20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bookmarkStart w:id="0" w:name="OLE_LINK1"/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问答环节：</w:t>
            </w:r>
          </w:p>
          <w:p w14:paraId="7EE350CD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360" w:lineRule="auto"/>
              <w:ind w:left="0" w:leftChars="0" w:firstLine="422" w:firstLineChars="20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1、公司今年上半年向正时精控实际采购金额并不算高，但7月底突然签了1.51亿元、一年期振镜采购框架，规模明显高于过去。这个采购框架背后的决策依据是什么？更多是已经确定的设备订单和生产计划驱动，还是公司基于行业景气度提前锁定供应链？如果不方便讲具体金额，能否讲一下这批振镜主要对应哪些设备型号和下游应用方向？</w:t>
            </w:r>
          </w:p>
          <w:p w14:paraId="56EEE95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360" w:lineRule="auto"/>
              <w:ind w:left="0" w:leftChars="0" w:firstLine="420" w:firstLineChars="20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答：您好，公司与正时精控签署的《采购框架合同》，是公司依据经营计划开展的业务安排，属于日常经营范畴内的持续性合作。感谢您的关注！</w:t>
            </w:r>
          </w:p>
          <w:p w14:paraId="16C7201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afterLines="50" w:line="360" w:lineRule="auto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2、面向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行业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的批产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化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需求，铂力特做了哪些产业布局，未来有什么规划？</w:t>
            </w:r>
          </w:p>
          <w:bookmarkEnd w:id="0"/>
          <w:p w14:paraId="19B80992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答：您好，公司业务覆盖金属增材制造全产业链，公司持续在航空航天、工业、模具、汽车制造、能源动力、半导体、低空、电子、医疗齿科、高校科研等行业的多个细分领域做持续性开发工作，利用增材制造工艺解决客户痛点，为客户创造价值。充分展现稳定的批量化生产能力，通过设备、材料、软件、过程控制等端到端的整合，构建成熟的全套增材制造解决方案，将创新设计转化为稳定的规模化生产，以可重复性、工艺稳定性及批产一致性，助力各行业降本增效和迭代升级。感谢您的关注！</w:t>
            </w:r>
          </w:p>
          <w:p w14:paraId="47778C83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100" w:line="360" w:lineRule="auto"/>
              <w:ind w:left="0" w:leftChars="0" w:firstLine="422" w:firstLineChars="20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3、能否介绍下贵司关于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三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期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四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期的产能建设以及达成情况？以及该产能对近期的3C板块的贡献</w:t>
            </w:r>
          </w:p>
          <w:p w14:paraId="6B11335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答：您好，公司持续推进产能布局，金属增材制造产业创新能力建设项目（三期）：B区外幕墙、机电设备已建设完成；C区于2025年年底调试运行，2026年正式投入使用；D区的南区主体建设完成，即将施工外幕墙。金属增材制造大规模智能生产基地项目（四期）：E区已投入使用；F区主要厂房主体结构已基本完成。预计项目建成后，将大幅提升公司金属增材定制化产品的产能，全面提升在航空航天、工业等应用领域的批量化生产能力，感谢您的关注！</w:t>
            </w:r>
          </w:p>
          <w:p w14:paraId="56939EF1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</w:p>
          <w:p w14:paraId="72FDEEDA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422" w:firstLineChars="20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预征集问答情况：</w:t>
            </w:r>
          </w:p>
          <w:p w14:paraId="689CB5CD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422" w:firstLineChars="20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1、</w:t>
            </w:r>
            <w:bookmarkStart w:id="1" w:name="OLE_LINK2"/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关于证监会立案调查相关问题</w:t>
            </w:r>
          </w:p>
          <w:p w14:paraId="110FF80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422" w:firstLineChars="20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公司于2025年12月31日收到证监会立案告知书</w:t>
            </w:r>
            <w:bookmarkEnd w:id="1"/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，因涉嫌信息披露违法违规被立案调查，目前相关调查仍在进行中，尚未出具结论性意见。想请问管理层：目前调查的整体进展如何？公司是否已完成相关自查、整改工作？本次立案调查核心涉及的违规事项具体是什么？ 同时，市场较为关注后续风险影响，若本次调查最终被认定为财务造假而非会计差错，是否会触发公司ST风险？该事项是否会对公司后续银行授信、资本市场融资、日常经营合作以及市场投资者情绪造成实质性影响？公司目前是否已制定对应的风险应对及预案措施？</w:t>
            </w:r>
          </w:p>
          <w:p w14:paraId="46F06A30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答：您好，公司将积极配合中国证监会的调查工作，并严格按照相关法律法规及监管要求及时履行信息披露义务。目前公司各项生产经营活动正常有序开展。感谢您的关注!</w:t>
            </w:r>
          </w:p>
          <w:p w14:paraId="56206E40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100" w:line="360" w:lineRule="auto"/>
              <w:ind w:left="0" w:leftChars="0" w:firstLine="422" w:firstLineChars="20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2、关于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相关客户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 xml:space="preserve">订单落地及份额确认问题 </w:t>
            </w:r>
          </w:p>
          <w:p w14:paraId="21AF37E5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422" w:firstLineChars="20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市场消息显示，公司相关订单暂未正式下达，订单份额需至九月底方可最终确认，目前公司仅处于提前备货阶段。想请问管理层：当前备货对应的订单预期份额是否稳定？截至目前，订单落地是否存在不确定性？ 若后续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相关客户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最终分配的订单份额不及前期市场预期和公司备货规划，公司将如何调整生产、备货及产能规划？该情况是否会对公司下半年及全年的营收、业绩兑现产生较大冲击？</w:t>
            </w:r>
          </w:p>
          <w:p w14:paraId="7400B540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答：您好，公司具体业务及与客户合作的具体情况、经营数据，请以公司后续定期报告及公开信息为准。感谢您的关注！</w:t>
            </w:r>
          </w:p>
          <w:p w14:paraId="62426DB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100" w:line="360" w:lineRule="auto"/>
              <w:ind w:left="0" w:leftChars="0" w:firstLine="422" w:firstLineChars="20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 xml:space="preserve">3、关于公司估值及业绩匹配性问题 </w:t>
            </w:r>
          </w:p>
          <w:p w14:paraId="1A371A2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422" w:firstLineChars="20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目前公司动态PE约110倍，处于较高估值水平，市场估值主要依托于公司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相关客户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  <w:t>订单落地、主业业绩增长的预期。想请问管理层：结合当前订单进度、行业行情及公司经营现状，如何看待公司当前的估值水平？ 若后续订单兑现、下游需求复苏节奏不及预期，公司是否存在较大的估值回调压力？公司后续将通过哪些业绩增长点、经营举措来匹配当前高估值，稳定市场预期？</w:t>
            </w:r>
          </w:p>
          <w:p w14:paraId="1C9298EF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答：您好，二级市场估值受宏观环境、行业景气度、市场资金情绪、投资者预期等多重因素共同影响。公司在持续巩固航空航天等战略领域市场地位的同时，大力拓展3C电子、机器人、能源动力、汽车、医疗、模具等新兴民用市场，构建多元化业务结构。针对不同行业及客户的差异化需求，提供从设计优化到终端零部件的全流程解决方案。持续提升产品交付质量、成本竞争力和服务响应能力，发挥金属增材制造全产业链一体化服务优势。通过优化客户服务体系，为客户提供覆盖售前、售中、售后的专业化支持，增强客户黏性与市场渗透能力。感谢您的关注！</w:t>
            </w:r>
          </w:p>
        </w:tc>
      </w:tr>
      <w:tr w14:paraId="39410E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696" w:type="dxa"/>
            <w:vAlign w:val="center"/>
          </w:tcPr>
          <w:p w14:paraId="6CE2242B">
            <w:pPr>
              <w:pStyle w:val="13"/>
              <w:spacing w:before="120" w:beforeLines="50" w:after="120" w:afterLines="50"/>
              <w:ind w:left="107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  <w:t>附件清单（如有）</w:t>
            </w:r>
          </w:p>
        </w:tc>
        <w:tc>
          <w:tcPr>
            <w:tcW w:w="6829" w:type="dxa"/>
            <w:vAlign w:val="center"/>
          </w:tcPr>
          <w:p w14:paraId="60582BAF">
            <w:pPr>
              <w:pStyle w:val="13"/>
              <w:spacing w:before="120" w:beforeLines="50" w:after="120" w:afterLines="50"/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无</w:t>
            </w:r>
          </w:p>
        </w:tc>
      </w:tr>
      <w:tr w14:paraId="57FC1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696" w:type="dxa"/>
            <w:vAlign w:val="center"/>
          </w:tcPr>
          <w:p w14:paraId="0291240C">
            <w:pPr>
              <w:pStyle w:val="13"/>
              <w:spacing w:before="120" w:beforeLines="50" w:after="120" w:afterLines="50"/>
              <w:ind w:left="107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</w:rPr>
              <w:t>日期</w:t>
            </w:r>
          </w:p>
        </w:tc>
        <w:tc>
          <w:tcPr>
            <w:tcW w:w="6829" w:type="dxa"/>
            <w:vAlign w:val="center"/>
          </w:tcPr>
          <w:p w14:paraId="4EE0ABA7">
            <w:pPr>
              <w:pStyle w:val="13"/>
              <w:spacing w:before="120" w:beforeLines="50" w:after="120" w:afterLines="50"/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月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日</w:t>
            </w:r>
          </w:p>
        </w:tc>
      </w:tr>
    </w:tbl>
    <w:p w14:paraId="53793A79">
      <w:pPr>
        <w:tabs>
          <w:tab w:val="left" w:pos="2537"/>
        </w:tabs>
        <w:bidi w:val="0"/>
        <w:jc w:val="left"/>
        <w:rPr>
          <w:rFonts w:hint="eastAsia" w:ascii="仿宋" w:hAnsi="仿宋" w:eastAsia="仿宋" w:cs="仿宋"/>
          <w:sz w:val="22"/>
          <w:szCs w:val="22"/>
          <w:lang w:val="en-US" w:eastAsia="zh-CN" w:bidi="zh-CN"/>
        </w:rPr>
      </w:pPr>
    </w:p>
    <w:sectPr>
      <w:footerReference r:id="rId3" w:type="default"/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Verdana"/>
    <w:panose1 w:val="02010601000101010101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74043263"/>
    </w:sdtPr>
    <w:sdtEndPr>
      <w:rPr>
        <w:rFonts w:ascii="Times New Roman" w:hAnsi="Times New Roman" w:cs="Times New Roman"/>
      </w:rPr>
    </w:sdtEndPr>
    <w:sdtContent>
      <w:p w14:paraId="6093AE4D">
        <w:pPr>
          <w:pStyle w:val="6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4</w:t>
        </w:r>
        <w:r>
          <w:rPr>
            <w:rFonts w:ascii="Times New Roman" w:hAnsi="Times New Roman" w:cs="Times New Roman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VhMGRlZDc1N2Q5MDFjYzM5NTBiYTRlNWNiYWVkMWQifQ=="/>
  </w:docVars>
  <w:rsids>
    <w:rsidRoot w:val="00301D32"/>
    <w:rsid w:val="000015C8"/>
    <w:rsid w:val="00021B5A"/>
    <w:rsid w:val="00026CC3"/>
    <w:rsid w:val="000338C3"/>
    <w:rsid w:val="00036089"/>
    <w:rsid w:val="000506AE"/>
    <w:rsid w:val="00053CFA"/>
    <w:rsid w:val="000633EC"/>
    <w:rsid w:val="00063804"/>
    <w:rsid w:val="000665A2"/>
    <w:rsid w:val="00066747"/>
    <w:rsid w:val="00081D0A"/>
    <w:rsid w:val="00086AEE"/>
    <w:rsid w:val="000877AB"/>
    <w:rsid w:val="000B7C08"/>
    <w:rsid w:val="000D030C"/>
    <w:rsid w:val="000D12CF"/>
    <w:rsid w:val="000D2D88"/>
    <w:rsid w:val="000D698C"/>
    <w:rsid w:val="000E3494"/>
    <w:rsid w:val="000E4B20"/>
    <w:rsid w:val="0011418F"/>
    <w:rsid w:val="00164ED9"/>
    <w:rsid w:val="00172C24"/>
    <w:rsid w:val="001A6E4B"/>
    <w:rsid w:val="001C7401"/>
    <w:rsid w:val="001D7F84"/>
    <w:rsid w:val="001E59D1"/>
    <w:rsid w:val="001E5EA4"/>
    <w:rsid w:val="002042A7"/>
    <w:rsid w:val="00204A6B"/>
    <w:rsid w:val="00204FB5"/>
    <w:rsid w:val="00205911"/>
    <w:rsid w:val="002146AD"/>
    <w:rsid w:val="002146CE"/>
    <w:rsid w:val="00265B9A"/>
    <w:rsid w:val="00274E26"/>
    <w:rsid w:val="00275CB6"/>
    <w:rsid w:val="002800B5"/>
    <w:rsid w:val="00295B29"/>
    <w:rsid w:val="002B243E"/>
    <w:rsid w:val="002C1DF2"/>
    <w:rsid w:val="002D4073"/>
    <w:rsid w:val="002E3ED8"/>
    <w:rsid w:val="002E7098"/>
    <w:rsid w:val="002F75BA"/>
    <w:rsid w:val="00301D32"/>
    <w:rsid w:val="00302DEA"/>
    <w:rsid w:val="0031294E"/>
    <w:rsid w:val="00334B60"/>
    <w:rsid w:val="003613E9"/>
    <w:rsid w:val="00366FAD"/>
    <w:rsid w:val="0037105B"/>
    <w:rsid w:val="00392043"/>
    <w:rsid w:val="003975BA"/>
    <w:rsid w:val="003A51E5"/>
    <w:rsid w:val="003A74E6"/>
    <w:rsid w:val="003B73DD"/>
    <w:rsid w:val="003C3819"/>
    <w:rsid w:val="003D011C"/>
    <w:rsid w:val="003E4B3C"/>
    <w:rsid w:val="004108C7"/>
    <w:rsid w:val="00412DC2"/>
    <w:rsid w:val="00413FEF"/>
    <w:rsid w:val="00432369"/>
    <w:rsid w:val="00440041"/>
    <w:rsid w:val="00451268"/>
    <w:rsid w:val="004515AD"/>
    <w:rsid w:val="00451857"/>
    <w:rsid w:val="00453516"/>
    <w:rsid w:val="00455619"/>
    <w:rsid w:val="00457548"/>
    <w:rsid w:val="00470DB2"/>
    <w:rsid w:val="004925E7"/>
    <w:rsid w:val="00495B11"/>
    <w:rsid w:val="004B3F3A"/>
    <w:rsid w:val="004B43D1"/>
    <w:rsid w:val="004F6FF3"/>
    <w:rsid w:val="00507547"/>
    <w:rsid w:val="00571B49"/>
    <w:rsid w:val="005743AE"/>
    <w:rsid w:val="00577F53"/>
    <w:rsid w:val="005904BC"/>
    <w:rsid w:val="00591B2C"/>
    <w:rsid w:val="005A2653"/>
    <w:rsid w:val="005D64CA"/>
    <w:rsid w:val="005E5717"/>
    <w:rsid w:val="005E6DB2"/>
    <w:rsid w:val="005F5D85"/>
    <w:rsid w:val="00604178"/>
    <w:rsid w:val="00613B9A"/>
    <w:rsid w:val="0061433E"/>
    <w:rsid w:val="00622D13"/>
    <w:rsid w:val="0062751D"/>
    <w:rsid w:val="006354AA"/>
    <w:rsid w:val="00661AFA"/>
    <w:rsid w:val="00662F4E"/>
    <w:rsid w:val="006726BF"/>
    <w:rsid w:val="00677B77"/>
    <w:rsid w:val="00680AD9"/>
    <w:rsid w:val="0068718A"/>
    <w:rsid w:val="006A2739"/>
    <w:rsid w:val="006A7024"/>
    <w:rsid w:val="006B4C95"/>
    <w:rsid w:val="006B5C95"/>
    <w:rsid w:val="006E14B0"/>
    <w:rsid w:val="006F0108"/>
    <w:rsid w:val="006F0FA6"/>
    <w:rsid w:val="006F66DB"/>
    <w:rsid w:val="00702588"/>
    <w:rsid w:val="00703C9C"/>
    <w:rsid w:val="00704AE6"/>
    <w:rsid w:val="007062CF"/>
    <w:rsid w:val="00706E51"/>
    <w:rsid w:val="007153A2"/>
    <w:rsid w:val="007170DA"/>
    <w:rsid w:val="007236E3"/>
    <w:rsid w:val="00724A68"/>
    <w:rsid w:val="007271BF"/>
    <w:rsid w:val="00730DD3"/>
    <w:rsid w:val="00731624"/>
    <w:rsid w:val="00733224"/>
    <w:rsid w:val="00742A49"/>
    <w:rsid w:val="007576B9"/>
    <w:rsid w:val="00764128"/>
    <w:rsid w:val="00770BC5"/>
    <w:rsid w:val="007824B8"/>
    <w:rsid w:val="007910DD"/>
    <w:rsid w:val="0079114A"/>
    <w:rsid w:val="007A3EC1"/>
    <w:rsid w:val="007B3368"/>
    <w:rsid w:val="007B4A7D"/>
    <w:rsid w:val="007D0A69"/>
    <w:rsid w:val="007D3CA9"/>
    <w:rsid w:val="007D6DC4"/>
    <w:rsid w:val="007F56D4"/>
    <w:rsid w:val="00804D9A"/>
    <w:rsid w:val="00805C1B"/>
    <w:rsid w:val="00812387"/>
    <w:rsid w:val="00821B04"/>
    <w:rsid w:val="0083426D"/>
    <w:rsid w:val="00847813"/>
    <w:rsid w:val="00853463"/>
    <w:rsid w:val="00870483"/>
    <w:rsid w:val="008773B2"/>
    <w:rsid w:val="00893F25"/>
    <w:rsid w:val="00895035"/>
    <w:rsid w:val="008B2617"/>
    <w:rsid w:val="008B2B14"/>
    <w:rsid w:val="008C6AED"/>
    <w:rsid w:val="008C7604"/>
    <w:rsid w:val="008E1B27"/>
    <w:rsid w:val="00900828"/>
    <w:rsid w:val="00903379"/>
    <w:rsid w:val="00906975"/>
    <w:rsid w:val="00917F0B"/>
    <w:rsid w:val="00917F8B"/>
    <w:rsid w:val="0092416A"/>
    <w:rsid w:val="00944A0D"/>
    <w:rsid w:val="0094760C"/>
    <w:rsid w:val="00960257"/>
    <w:rsid w:val="00960964"/>
    <w:rsid w:val="00961241"/>
    <w:rsid w:val="00965E4D"/>
    <w:rsid w:val="00981E78"/>
    <w:rsid w:val="009B1D5C"/>
    <w:rsid w:val="009C2E31"/>
    <w:rsid w:val="009E1955"/>
    <w:rsid w:val="009F3A19"/>
    <w:rsid w:val="009F466A"/>
    <w:rsid w:val="00A04A30"/>
    <w:rsid w:val="00A0533D"/>
    <w:rsid w:val="00A11BBC"/>
    <w:rsid w:val="00A1722E"/>
    <w:rsid w:val="00A27639"/>
    <w:rsid w:val="00A36A7C"/>
    <w:rsid w:val="00A46014"/>
    <w:rsid w:val="00A47934"/>
    <w:rsid w:val="00A50379"/>
    <w:rsid w:val="00A51EC4"/>
    <w:rsid w:val="00A527AA"/>
    <w:rsid w:val="00A5684D"/>
    <w:rsid w:val="00A66ED9"/>
    <w:rsid w:val="00A67FC0"/>
    <w:rsid w:val="00A707B2"/>
    <w:rsid w:val="00A75C61"/>
    <w:rsid w:val="00A834BB"/>
    <w:rsid w:val="00A8560F"/>
    <w:rsid w:val="00A9601B"/>
    <w:rsid w:val="00AC7569"/>
    <w:rsid w:val="00AD100E"/>
    <w:rsid w:val="00AE1E36"/>
    <w:rsid w:val="00AE3A9D"/>
    <w:rsid w:val="00AF74AA"/>
    <w:rsid w:val="00B03C2F"/>
    <w:rsid w:val="00B0589B"/>
    <w:rsid w:val="00B15064"/>
    <w:rsid w:val="00B24E41"/>
    <w:rsid w:val="00B340A3"/>
    <w:rsid w:val="00B410F5"/>
    <w:rsid w:val="00B57C18"/>
    <w:rsid w:val="00B6280C"/>
    <w:rsid w:val="00B671A4"/>
    <w:rsid w:val="00B72CD4"/>
    <w:rsid w:val="00B85B00"/>
    <w:rsid w:val="00B934AF"/>
    <w:rsid w:val="00BA6D9B"/>
    <w:rsid w:val="00BD537E"/>
    <w:rsid w:val="00BE16C5"/>
    <w:rsid w:val="00BE6F46"/>
    <w:rsid w:val="00BF132F"/>
    <w:rsid w:val="00C13878"/>
    <w:rsid w:val="00C7670C"/>
    <w:rsid w:val="00C8455F"/>
    <w:rsid w:val="00CA1705"/>
    <w:rsid w:val="00CB0AC9"/>
    <w:rsid w:val="00CC2417"/>
    <w:rsid w:val="00CE1A54"/>
    <w:rsid w:val="00CF5301"/>
    <w:rsid w:val="00CF5FB6"/>
    <w:rsid w:val="00D0137F"/>
    <w:rsid w:val="00D02518"/>
    <w:rsid w:val="00D07713"/>
    <w:rsid w:val="00D1342E"/>
    <w:rsid w:val="00D17454"/>
    <w:rsid w:val="00D33FBC"/>
    <w:rsid w:val="00D34D9E"/>
    <w:rsid w:val="00D43F81"/>
    <w:rsid w:val="00D44426"/>
    <w:rsid w:val="00D56589"/>
    <w:rsid w:val="00D7299B"/>
    <w:rsid w:val="00D7535C"/>
    <w:rsid w:val="00D76302"/>
    <w:rsid w:val="00D778BA"/>
    <w:rsid w:val="00D95051"/>
    <w:rsid w:val="00DA5CE2"/>
    <w:rsid w:val="00DC0267"/>
    <w:rsid w:val="00DD3E82"/>
    <w:rsid w:val="00DE10E8"/>
    <w:rsid w:val="00E07A03"/>
    <w:rsid w:val="00E13662"/>
    <w:rsid w:val="00E13C17"/>
    <w:rsid w:val="00E16FDA"/>
    <w:rsid w:val="00E25FDE"/>
    <w:rsid w:val="00E334DD"/>
    <w:rsid w:val="00E354BA"/>
    <w:rsid w:val="00E35F58"/>
    <w:rsid w:val="00E375F4"/>
    <w:rsid w:val="00E45BD9"/>
    <w:rsid w:val="00E66FFC"/>
    <w:rsid w:val="00E7430E"/>
    <w:rsid w:val="00E759D6"/>
    <w:rsid w:val="00E84A8C"/>
    <w:rsid w:val="00E91A09"/>
    <w:rsid w:val="00E976DE"/>
    <w:rsid w:val="00EA7537"/>
    <w:rsid w:val="00EC0F83"/>
    <w:rsid w:val="00EC5C62"/>
    <w:rsid w:val="00EE3187"/>
    <w:rsid w:val="00EF499B"/>
    <w:rsid w:val="00F118C3"/>
    <w:rsid w:val="00F14977"/>
    <w:rsid w:val="00F47502"/>
    <w:rsid w:val="00F551FD"/>
    <w:rsid w:val="00F7072B"/>
    <w:rsid w:val="00FB0610"/>
    <w:rsid w:val="00FB4A08"/>
    <w:rsid w:val="00FB60B5"/>
    <w:rsid w:val="00FC0C2A"/>
    <w:rsid w:val="00FD7F8E"/>
    <w:rsid w:val="00FE1EB0"/>
    <w:rsid w:val="00FF11E4"/>
    <w:rsid w:val="020C008E"/>
    <w:rsid w:val="02A0095B"/>
    <w:rsid w:val="044F06A2"/>
    <w:rsid w:val="04B072D4"/>
    <w:rsid w:val="05EF65DB"/>
    <w:rsid w:val="05F575D4"/>
    <w:rsid w:val="064249C6"/>
    <w:rsid w:val="072A5AB9"/>
    <w:rsid w:val="072F3EA5"/>
    <w:rsid w:val="076C1B09"/>
    <w:rsid w:val="08641132"/>
    <w:rsid w:val="09186774"/>
    <w:rsid w:val="0945438F"/>
    <w:rsid w:val="0A2F5262"/>
    <w:rsid w:val="0A71587A"/>
    <w:rsid w:val="0B792C38"/>
    <w:rsid w:val="0C28640C"/>
    <w:rsid w:val="0C684A5B"/>
    <w:rsid w:val="0D9D24E2"/>
    <w:rsid w:val="0DAE2D19"/>
    <w:rsid w:val="0E90599A"/>
    <w:rsid w:val="0ED720CD"/>
    <w:rsid w:val="10BB15FD"/>
    <w:rsid w:val="12070CAE"/>
    <w:rsid w:val="13685EC1"/>
    <w:rsid w:val="140343F0"/>
    <w:rsid w:val="145F688C"/>
    <w:rsid w:val="147A17CF"/>
    <w:rsid w:val="15DD2205"/>
    <w:rsid w:val="17072842"/>
    <w:rsid w:val="17A67110"/>
    <w:rsid w:val="183B3024"/>
    <w:rsid w:val="1864189B"/>
    <w:rsid w:val="18D73A7D"/>
    <w:rsid w:val="19557370"/>
    <w:rsid w:val="1B462C8F"/>
    <w:rsid w:val="1BD06B6A"/>
    <w:rsid w:val="1BD21EF1"/>
    <w:rsid w:val="1F782BDE"/>
    <w:rsid w:val="204A6A53"/>
    <w:rsid w:val="20564E9E"/>
    <w:rsid w:val="23317869"/>
    <w:rsid w:val="23B75C54"/>
    <w:rsid w:val="24FD3B3B"/>
    <w:rsid w:val="2556149D"/>
    <w:rsid w:val="25650CAE"/>
    <w:rsid w:val="25767FE9"/>
    <w:rsid w:val="26406598"/>
    <w:rsid w:val="28080056"/>
    <w:rsid w:val="283050FB"/>
    <w:rsid w:val="28734C1A"/>
    <w:rsid w:val="28C72DDD"/>
    <w:rsid w:val="29EE0E64"/>
    <w:rsid w:val="2BC4020A"/>
    <w:rsid w:val="2E7D3F3E"/>
    <w:rsid w:val="2EF90F16"/>
    <w:rsid w:val="2F125C63"/>
    <w:rsid w:val="3029612C"/>
    <w:rsid w:val="302C3D0A"/>
    <w:rsid w:val="3104598F"/>
    <w:rsid w:val="317C315A"/>
    <w:rsid w:val="31927D00"/>
    <w:rsid w:val="33DE31BB"/>
    <w:rsid w:val="343F2255"/>
    <w:rsid w:val="36F661FA"/>
    <w:rsid w:val="37A34A15"/>
    <w:rsid w:val="38084878"/>
    <w:rsid w:val="389C49C0"/>
    <w:rsid w:val="395F496C"/>
    <w:rsid w:val="39BC78F4"/>
    <w:rsid w:val="3AFD268F"/>
    <w:rsid w:val="3B35486F"/>
    <w:rsid w:val="3B845E0B"/>
    <w:rsid w:val="3BEE169A"/>
    <w:rsid w:val="3C2F616B"/>
    <w:rsid w:val="3D1402A5"/>
    <w:rsid w:val="3E54547B"/>
    <w:rsid w:val="3EF1250A"/>
    <w:rsid w:val="40567DB0"/>
    <w:rsid w:val="40FF5CD2"/>
    <w:rsid w:val="428F7D3E"/>
    <w:rsid w:val="42DB40B0"/>
    <w:rsid w:val="434846C3"/>
    <w:rsid w:val="43544286"/>
    <w:rsid w:val="43B71B0A"/>
    <w:rsid w:val="44FA0589"/>
    <w:rsid w:val="45A663E3"/>
    <w:rsid w:val="469F09AF"/>
    <w:rsid w:val="47176886"/>
    <w:rsid w:val="47D50693"/>
    <w:rsid w:val="4B650BC4"/>
    <w:rsid w:val="4B756271"/>
    <w:rsid w:val="4C8E1CA8"/>
    <w:rsid w:val="4D385BFD"/>
    <w:rsid w:val="4D6D36A4"/>
    <w:rsid w:val="4DAA60AA"/>
    <w:rsid w:val="4E5E2FEC"/>
    <w:rsid w:val="4E850579"/>
    <w:rsid w:val="4F336227"/>
    <w:rsid w:val="510903EF"/>
    <w:rsid w:val="52CC08C8"/>
    <w:rsid w:val="52EA7E7B"/>
    <w:rsid w:val="532E08D5"/>
    <w:rsid w:val="53F137F4"/>
    <w:rsid w:val="543A6906"/>
    <w:rsid w:val="56850CBB"/>
    <w:rsid w:val="575C2093"/>
    <w:rsid w:val="58D52212"/>
    <w:rsid w:val="59D8738A"/>
    <w:rsid w:val="5A666D76"/>
    <w:rsid w:val="5B2253C2"/>
    <w:rsid w:val="5CF02E0F"/>
    <w:rsid w:val="5D550569"/>
    <w:rsid w:val="5EBD0945"/>
    <w:rsid w:val="603269D2"/>
    <w:rsid w:val="61A52BCA"/>
    <w:rsid w:val="61F034F0"/>
    <w:rsid w:val="630C06C7"/>
    <w:rsid w:val="646A4041"/>
    <w:rsid w:val="660109D5"/>
    <w:rsid w:val="67095496"/>
    <w:rsid w:val="67780823"/>
    <w:rsid w:val="67ED7463"/>
    <w:rsid w:val="67FD51CC"/>
    <w:rsid w:val="681A546A"/>
    <w:rsid w:val="68E424F2"/>
    <w:rsid w:val="69AA0D1F"/>
    <w:rsid w:val="69CB37D4"/>
    <w:rsid w:val="6A0D5B9B"/>
    <w:rsid w:val="6A3B23B1"/>
    <w:rsid w:val="6A70612A"/>
    <w:rsid w:val="6ADE6911"/>
    <w:rsid w:val="6AEA32DC"/>
    <w:rsid w:val="6CC24AB5"/>
    <w:rsid w:val="6D3A657B"/>
    <w:rsid w:val="6D9271B2"/>
    <w:rsid w:val="6F134790"/>
    <w:rsid w:val="6FE81F5F"/>
    <w:rsid w:val="70C663D9"/>
    <w:rsid w:val="71CB0E92"/>
    <w:rsid w:val="72446028"/>
    <w:rsid w:val="73076EC0"/>
    <w:rsid w:val="73C37F71"/>
    <w:rsid w:val="74210CA6"/>
    <w:rsid w:val="746E0F5D"/>
    <w:rsid w:val="746F4E76"/>
    <w:rsid w:val="76AF03ED"/>
    <w:rsid w:val="76B86E8E"/>
    <w:rsid w:val="76F5258C"/>
    <w:rsid w:val="777D3C34"/>
    <w:rsid w:val="779F1DFC"/>
    <w:rsid w:val="7863107C"/>
    <w:rsid w:val="786F6975"/>
    <w:rsid w:val="788C25F5"/>
    <w:rsid w:val="79386064"/>
    <w:rsid w:val="794744F9"/>
    <w:rsid w:val="79484EF1"/>
    <w:rsid w:val="79F72AA9"/>
    <w:rsid w:val="7A144529"/>
    <w:rsid w:val="7A3F003F"/>
    <w:rsid w:val="7A78685F"/>
    <w:rsid w:val="7DD37FAE"/>
    <w:rsid w:val="7FAE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8"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annotation subject"/>
    <w:basedOn w:val="3"/>
    <w:next w:val="3"/>
    <w:link w:val="17"/>
    <w:qFormat/>
    <w:uiPriority w:val="0"/>
    <w:rPr>
      <w:b/>
      <w:bCs/>
    </w:r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页眉 字符"/>
    <w:basedOn w:val="11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5">
    <w:name w:val="页脚 字符"/>
    <w:basedOn w:val="11"/>
    <w:link w:val="6"/>
    <w:qFormat/>
    <w:uiPriority w:val="99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6">
    <w:name w:val="批注文字 字符"/>
    <w:basedOn w:val="11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7">
    <w:name w:val="批注主题 字符"/>
    <w:basedOn w:val="16"/>
    <w:link w:val="9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8">
    <w:name w:val="批注框文本 字符"/>
    <w:basedOn w:val="11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paragraph" w:customStyle="1" w:styleId="19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CE3CB-BED2-49FC-920B-2756E23DA9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1959</Words>
  <Characters>2030</Characters>
  <Lines>19</Lines>
  <Paragraphs>5</Paragraphs>
  <TotalTime>46</TotalTime>
  <ScaleCrop>false</ScaleCrop>
  <LinksUpToDate>false</LinksUpToDate>
  <CharactersWithSpaces>2091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2023-05-04T08:25:00Z</dcterms:created>
  <dc:creator>jie.huang</dc:creator>
  <cp:lastModifiedBy>D.sy</cp:lastModifiedBy>
  <dcterms:modified xsi:type="dcterms:W3CDTF">2026-09-08T09:18:58Z</dcterms:modified>
  <cp:revision>461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341CD5395CB74DE48B01194B081A126F_13</vt:lpwstr>
  </property>
  <property fmtid="{D5CDD505-2E9C-101B-9397-08002B2CF9AE}" pid="4" name="KSOTemplateDocerSaveRecord">
    <vt:lpwstr>eyJoZGlkIjoiYzFhZGY0ZTViYWQyN2I0ZGJhNDk0OThkMjNkNmQ2MDYiLCJ1c2VySWQiOiIyNTg0MTU0ODMifQ==</vt:lpwstr>
  </property>
</Properties>
</file>