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36DD0">
      <w:pPr>
        <w:pStyle w:val="2"/>
        <w:ind w:right="824"/>
        <w:jc w:val="center"/>
      </w:pPr>
      <w:r>
        <w:rPr>
          <w:rFonts w:hint="eastAsia"/>
          <w:lang w:val="en-US"/>
        </w:rPr>
        <w:t xml:space="preserve">      杭州格林达电子材料</w:t>
      </w:r>
      <w:r>
        <w:t>股份有限公司</w:t>
      </w:r>
    </w:p>
    <w:p w14:paraId="1B760853">
      <w:pPr>
        <w:pStyle w:val="2"/>
        <w:ind w:right="824"/>
        <w:jc w:val="center"/>
      </w:pPr>
      <w:r>
        <w:rPr>
          <w:rFonts w:hint="eastAsia"/>
          <w:lang w:val="en-US"/>
        </w:rPr>
        <w:t xml:space="preserve">       </w:t>
      </w:r>
      <w:r>
        <w:t>投资者关系活动记录表</w:t>
      </w:r>
    </w:p>
    <w:p w14:paraId="5FE55349">
      <w:pPr>
        <w:spacing w:before="154" w:after="32"/>
        <w:ind w:right="679"/>
        <w:jc w:val="right"/>
        <w:rPr>
          <w:sz w:val="28"/>
        </w:rPr>
      </w:pPr>
      <w:r>
        <w:rPr>
          <w:rFonts w:hint="eastAsia"/>
          <w:sz w:val="28"/>
          <w:lang w:val="en-US"/>
        </w:rPr>
        <w:t xml:space="preserve">  </w:t>
      </w:r>
      <w:r>
        <w:rPr>
          <w:rFonts w:hint="eastAsia"/>
          <w:sz w:val="28"/>
          <w:lang w:val="en-US" w:eastAsia="zh-CN"/>
        </w:rPr>
        <w:t xml:space="preserve">   </w:t>
      </w:r>
      <w:r>
        <w:rPr>
          <w:sz w:val="28"/>
        </w:rPr>
        <w:t>编号：</w:t>
      </w:r>
      <w:r>
        <w:rPr>
          <w:rFonts w:hint="eastAsia"/>
          <w:sz w:val="28"/>
        </w:rPr>
        <w:t>2026-009</w:t>
      </w:r>
    </w:p>
    <w:tbl>
      <w:tblPr>
        <w:tblStyle w:val="6"/>
        <w:tblW w:w="8525" w:type="dxa"/>
        <w:tblInd w:w="7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7"/>
        <w:gridCol w:w="6148"/>
      </w:tblGrid>
      <w:tr w14:paraId="77FA1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77" w:hRule="atLeast"/>
        </w:trPr>
        <w:tc>
          <w:tcPr>
            <w:tcW w:w="2377" w:type="dxa"/>
          </w:tcPr>
          <w:p w14:paraId="37704CED">
            <w:pPr>
              <w:pStyle w:val="10"/>
              <w:ind w:left="0"/>
              <w:rPr>
                <w:sz w:val="24"/>
              </w:rPr>
            </w:pPr>
          </w:p>
          <w:p w14:paraId="04B2B0F3">
            <w:pPr>
              <w:pStyle w:val="10"/>
              <w:spacing w:before="12"/>
              <w:ind w:left="0"/>
              <w:rPr>
                <w:sz w:val="31"/>
              </w:rPr>
            </w:pPr>
          </w:p>
          <w:p w14:paraId="168F23A0">
            <w:pPr>
              <w:pStyle w:val="10"/>
              <w:rPr>
                <w:sz w:val="24"/>
              </w:rPr>
            </w:pPr>
            <w:r>
              <w:rPr>
                <w:sz w:val="24"/>
              </w:rPr>
              <w:t>投资者关系活动类别</w:t>
            </w:r>
          </w:p>
        </w:tc>
        <w:tc>
          <w:tcPr>
            <w:tcW w:w="6148" w:type="dxa"/>
          </w:tcPr>
          <w:p w14:paraId="7B399DD2">
            <w:pPr>
              <w:pStyle w:val="10"/>
              <w:tabs>
                <w:tab w:val="left" w:pos="2747"/>
              </w:tabs>
              <w:spacing w:before="64"/>
              <w:rPr>
                <w:sz w:val="24"/>
              </w:rPr>
            </w:pPr>
            <w:r>
              <w:rPr>
                <w:rFonts w:hint="eastAsia"/>
                <w:sz w:val="24"/>
              </w:rPr>
              <w:t>√</w:t>
            </w:r>
            <w:r>
              <w:rPr>
                <w:sz w:val="24"/>
              </w:rPr>
              <w:t>特定对象调研</w:t>
            </w:r>
            <w:r>
              <w:rPr>
                <w:sz w:val="24"/>
              </w:rPr>
              <w:tab/>
            </w:r>
            <w:r>
              <w:rPr>
                <w:sz w:val="24"/>
              </w:rPr>
              <w:t>□分析师会议</w:t>
            </w:r>
          </w:p>
          <w:p w14:paraId="2A00B34F">
            <w:pPr>
              <w:pStyle w:val="10"/>
              <w:tabs>
                <w:tab w:val="left" w:pos="2747"/>
              </w:tabs>
              <w:spacing w:before="130"/>
              <w:rPr>
                <w:sz w:val="24"/>
              </w:rPr>
            </w:pPr>
            <w:r>
              <w:rPr>
                <w:sz w:val="24"/>
              </w:rPr>
              <w:t>□媒体采访</w:t>
            </w:r>
            <w:r>
              <w:rPr>
                <w:sz w:val="24"/>
              </w:rPr>
              <w:tab/>
            </w:r>
            <w:r>
              <w:rPr>
                <w:sz w:val="24"/>
              </w:rPr>
              <w:t>□业绩说明会</w:t>
            </w:r>
          </w:p>
          <w:p w14:paraId="7FCA7FAC">
            <w:pPr>
              <w:pStyle w:val="10"/>
              <w:tabs>
                <w:tab w:val="left" w:pos="2747"/>
              </w:tabs>
              <w:spacing w:before="126"/>
              <w:rPr>
                <w:sz w:val="24"/>
              </w:rPr>
            </w:pPr>
            <w:r>
              <w:rPr>
                <w:sz w:val="24"/>
              </w:rPr>
              <w:t>□新闻发布会</w:t>
            </w:r>
            <w:r>
              <w:rPr>
                <w:sz w:val="24"/>
              </w:rPr>
              <w:tab/>
            </w:r>
            <w:r>
              <w:rPr>
                <w:sz w:val="24"/>
              </w:rPr>
              <w:t>□路演活动</w:t>
            </w:r>
          </w:p>
          <w:p w14:paraId="2CE111B0">
            <w:pPr>
              <w:pStyle w:val="10"/>
              <w:spacing w:before="128"/>
              <w:rPr>
                <w:sz w:val="24"/>
              </w:rPr>
            </w:pPr>
            <w:r>
              <w:rPr>
                <w:sz w:val="24"/>
              </w:rPr>
              <w:t>□现场参观</w:t>
            </w:r>
          </w:p>
          <w:p w14:paraId="3360E522">
            <w:pPr>
              <w:pStyle w:val="10"/>
              <w:spacing w:before="127"/>
              <w:rPr>
                <w:sz w:val="24"/>
              </w:rPr>
            </w:pPr>
            <w:r>
              <w:rPr>
                <w:sz w:val="24"/>
              </w:rPr>
              <w:t>□其他（请文字说明其他活动内容）</w:t>
            </w:r>
          </w:p>
        </w:tc>
      </w:tr>
      <w:tr w14:paraId="61BB5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2377" w:type="dxa"/>
          </w:tcPr>
          <w:p w14:paraId="4EE33E6A">
            <w:pPr>
              <w:pStyle w:val="10"/>
              <w:spacing w:before="64"/>
              <w:rPr>
                <w:sz w:val="24"/>
              </w:rPr>
            </w:pPr>
            <w:r>
              <w:rPr>
                <w:sz w:val="24"/>
              </w:rPr>
              <w:t>活动参与人员</w:t>
            </w:r>
          </w:p>
        </w:tc>
        <w:tc>
          <w:tcPr>
            <w:tcW w:w="6148" w:type="dxa"/>
          </w:tcPr>
          <w:p w14:paraId="4DE3BC04">
            <w:pPr>
              <w:pStyle w:val="10"/>
              <w:ind w:left="0"/>
              <w:rPr>
                <w:rFonts w:ascii="Times New Roman"/>
                <w:sz w:val="26"/>
              </w:rPr>
            </w:pPr>
            <w:r>
              <w:rPr>
                <w:rFonts w:ascii="Times New Roman"/>
                <w:szCs w:val="20"/>
              </w:rPr>
              <w:t>国盛证券、东方证券、华源证券、敦和资产</w:t>
            </w:r>
            <w:r>
              <w:rPr>
                <w:rFonts w:hint="eastAsia" w:ascii="Times New Roman"/>
                <w:szCs w:val="20"/>
                <w:lang w:eastAsia="zh-CN"/>
              </w:rPr>
              <w:t>、</w:t>
            </w:r>
            <w:r>
              <w:rPr>
                <w:rFonts w:ascii="Times New Roman"/>
                <w:szCs w:val="20"/>
              </w:rPr>
              <w:t>圆信永丰</w:t>
            </w:r>
            <w:r>
              <w:rPr>
                <w:rFonts w:hint="eastAsia" w:ascii="Times New Roman"/>
                <w:szCs w:val="20"/>
                <w:lang w:val="en-US" w:eastAsia="zh-CN"/>
              </w:rPr>
              <w:t>基金</w:t>
            </w:r>
            <w:r>
              <w:rPr>
                <w:rFonts w:ascii="Times New Roman"/>
                <w:szCs w:val="20"/>
              </w:rPr>
              <w:t>、海富通基金、安联基金、杭银理财、证骏投资、文羽投资</w:t>
            </w:r>
            <w:r>
              <w:rPr>
                <w:rFonts w:hint="eastAsia" w:ascii="Times New Roman"/>
                <w:szCs w:val="20"/>
                <w:lang w:eastAsia="zh-CN"/>
              </w:rPr>
              <w:t>、</w:t>
            </w:r>
            <w:r>
              <w:rPr>
                <w:rFonts w:ascii="Times New Roman"/>
                <w:szCs w:val="20"/>
              </w:rPr>
              <w:t>誉文投资</w:t>
            </w:r>
          </w:p>
        </w:tc>
      </w:tr>
      <w:tr w14:paraId="12F78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377" w:type="dxa"/>
          </w:tcPr>
          <w:p w14:paraId="0B27CB61">
            <w:pPr>
              <w:pStyle w:val="10"/>
              <w:spacing w:before="64"/>
              <w:rPr>
                <w:sz w:val="24"/>
              </w:rPr>
            </w:pPr>
            <w:r>
              <w:rPr>
                <w:sz w:val="24"/>
              </w:rPr>
              <w:t>时间</w:t>
            </w:r>
          </w:p>
        </w:tc>
        <w:tc>
          <w:tcPr>
            <w:tcW w:w="6148" w:type="dxa"/>
          </w:tcPr>
          <w:p w14:paraId="610DB6A5">
            <w:pPr>
              <w:pStyle w:val="10"/>
              <w:ind w:left="0"/>
              <w:rPr>
                <w:rFonts w:ascii="Times New Roman"/>
                <w:sz w:val="26"/>
              </w:rPr>
            </w:pPr>
            <w:r>
              <w:rPr>
                <w:rFonts w:hint="eastAsia" w:ascii="Times New Roman"/>
                <w:szCs w:val="20"/>
              </w:rPr>
              <w:t>2</w:t>
            </w:r>
            <w:r>
              <w:rPr>
                <w:rFonts w:ascii="Times New Roman"/>
                <w:szCs w:val="20"/>
              </w:rPr>
              <w:t>02</w:t>
            </w:r>
            <w:r>
              <w:rPr>
                <w:rFonts w:hint="eastAsia" w:ascii="Times New Roman"/>
                <w:szCs w:val="20"/>
              </w:rPr>
              <w:t>6.9.8下午15：00</w:t>
            </w:r>
          </w:p>
        </w:tc>
      </w:tr>
      <w:tr w14:paraId="7B146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377" w:type="dxa"/>
          </w:tcPr>
          <w:p w14:paraId="45446584">
            <w:pPr>
              <w:pStyle w:val="10"/>
              <w:spacing w:before="64"/>
              <w:rPr>
                <w:sz w:val="24"/>
              </w:rPr>
            </w:pPr>
            <w:r>
              <w:rPr>
                <w:sz w:val="24"/>
              </w:rPr>
              <w:t>地点</w:t>
            </w:r>
          </w:p>
        </w:tc>
        <w:tc>
          <w:tcPr>
            <w:tcW w:w="6148" w:type="dxa"/>
          </w:tcPr>
          <w:p w14:paraId="5C5DC6DE">
            <w:pPr>
              <w:pStyle w:val="10"/>
              <w:ind w:left="0"/>
            </w:pPr>
            <w:r>
              <w:rPr>
                <w:rFonts w:hint="eastAsia"/>
              </w:rPr>
              <w:t>格林达会议室</w:t>
            </w:r>
          </w:p>
        </w:tc>
      </w:tr>
      <w:tr w14:paraId="073CF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2377" w:type="dxa"/>
          </w:tcPr>
          <w:p w14:paraId="0F58EFB8">
            <w:pPr>
              <w:pStyle w:val="10"/>
              <w:spacing w:before="64"/>
              <w:rPr>
                <w:sz w:val="24"/>
              </w:rPr>
            </w:pPr>
            <w:r>
              <w:rPr>
                <w:rFonts w:hint="eastAsia"/>
                <w:sz w:val="24"/>
              </w:rPr>
              <w:t>上市公司接待人员</w:t>
            </w:r>
          </w:p>
        </w:tc>
        <w:tc>
          <w:tcPr>
            <w:tcW w:w="6148" w:type="dxa"/>
          </w:tcPr>
          <w:p w14:paraId="157C1D90">
            <w:pPr>
              <w:pStyle w:val="10"/>
              <w:rPr>
                <w:rFonts w:ascii="Times New Roman"/>
                <w:szCs w:val="20"/>
              </w:rPr>
            </w:pPr>
            <w:r>
              <w:rPr>
                <w:rFonts w:hint="eastAsia" w:ascii="Times New Roman"/>
                <w:szCs w:val="20"/>
                <w:lang w:val="en-US" w:eastAsia="zh-CN"/>
              </w:rPr>
              <w:t>董事、</w:t>
            </w:r>
            <w:r>
              <w:rPr>
                <w:rFonts w:hint="eastAsia" w:ascii="Times New Roman"/>
                <w:szCs w:val="20"/>
              </w:rPr>
              <w:t>总经理</w:t>
            </w:r>
            <w:r>
              <w:rPr>
                <w:rFonts w:hint="eastAsia" w:ascii="Times New Roman"/>
                <w:szCs w:val="20"/>
                <w:lang w:val="en-US"/>
              </w:rPr>
              <w:t xml:space="preserve">  </w:t>
            </w:r>
            <w:r>
              <w:rPr>
                <w:rFonts w:hint="eastAsia" w:ascii="Times New Roman"/>
                <w:szCs w:val="20"/>
              </w:rPr>
              <w:t xml:space="preserve">方伟华    </w:t>
            </w:r>
          </w:p>
          <w:p w14:paraId="313139DD">
            <w:pPr>
              <w:pStyle w:val="10"/>
              <w:rPr>
                <w:rFonts w:ascii="Times New Roman"/>
                <w:szCs w:val="20"/>
              </w:rPr>
            </w:pPr>
            <w:r>
              <w:rPr>
                <w:rFonts w:hint="eastAsia" w:ascii="Times New Roman"/>
                <w:szCs w:val="20"/>
              </w:rPr>
              <w:t>董事会秘书</w:t>
            </w:r>
            <w:r>
              <w:rPr>
                <w:rFonts w:hint="eastAsia" w:ascii="Times New Roman"/>
                <w:szCs w:val="20"/>
                <w:lang w:val="en-US"/>
              </w:rPr>
              <w:t xml:space="preserve">      </w:t>
            </w:r>
            <w:r>
              <w:rPr>
                <w:rFonts w:hint="eastAsia" w:ascii="Times New Roman"/>
                <w:szCs w:val="20"/>
              </w:rPr>
              <w:t>章琪</w:t>
            </w:r>
            <w:r>
              <w:rPr>
                <w:rFonts w:ascii="Times New Roman"/>
                <w:szCs w:val="20"/>
              </w:rPr>
              <w:t xml:space="preserve"> </w:t>
            </w:r>
            <w:r>
              <w:rPr>
                <w:rFonts w:hint="eastAsia" w:ascii="Times New Roman"/>
                <w:szCs w:val="20"/>
              </w:rPr>
              <w:t xml:space="preserve">         </w:t>
            </w:r>
          </w:p>
          <w:p w14:paraId="1A40685A">
            <w:pPr>
              <w:pStyle w:val="10"/>
              <w:rPr>
                <w:rFonts w:ascii="Times New Roman"/>
                <w:sz w:val="26"/>
              </w:rPr>
            </w:pPr>
            <w:r>
              <w:rPr>
                <w:rFonts w:hint="eastAsia" w:ascii="Times New Roman"/>
                <w:szCs w:val="20"/>
              </w:rPr>
              <w:t>证券事务专员  王责宇</w:t>
            </w:r>
          </w:p>
        </w:tc>
      </w:tr>
      <w:tr w14:paraId="2AB228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7" w:hRule="atLeast"/>
        </w:trPr>
        <w:tc>
          <w:tcPr>
            <w:tcW w:w="2377" w:type="dxa"/>
          </w:tcPr>
          <w:p w14:paraId="0C7E0FC8">
            <w:pPr>
              <w:pStyle w:val="10"/>
              <w:spacing w:before="67"/>
              <w:rPr>
                <w:sz w:val="24"/>
              </w:rPr>
            </w:pPr>
            <w:r>
              <w:rPr>
                <w:sz w:val="24"/>
              </w:rPr>
              <w:t>交流内容及具体问答</w:t>
            </w:r>
          </w:p>
          <w:p w14:paraId="5E8F18B1">
            <w:pPr>
              <w:pStyle w:val="10"/>
              <w:spacing w:before="127"/>
              <w:rPr>
                <w:sz w:val="24"/>
              </w:rPr>
            </w:pPr>
            <w:r>
              <w:rPr>
                <w:sz w:val="24"/>
              </w:rPr>
              <w:t>记录</w:t>
            </w:r>
          </w:p>
        </w:tc>
        <w:tc>
          <w:tcPr>
            <w:tcW w:w="6148" w:type="dxa"/>
          </w:tcPr>
          <w:p w14:paraId="47F022DE">
            <w:pPr>
              <w:spacing w:line="360" w:lineRule="auto"/>
              <w:rPr>
                <w:rFonts w:hint="default"/>
                <w:lang w:val="en-US" w:eastAsia="zh-CN"/>
              </w:rPr>
            </w:pPr>
            <w:r>
              <w:rPr>
                <w:rFonts w:hint="eastAsia"/>
              </w:rPr>
              <w:t>1</w:t>
            </w:r>
            <w:r>
              <w:t>、</w:t>
            </w:r>
            <w:r>
              <w:rPr>
                <w:rFonts w:hint="eastAsia"/>
                <w:lang w:val="en-US" w:eastAsia="zh-CN"/>
              </w:rPr>
              <w:t>下游显示行业的趋势</w:t>
            </w:r>
          </w:p>
          <w:p w14:paraId="614D3A62">
            <w:pPr>
              <w:spacing w:line="360" w:lineRule="auto"/>
              <w:rPr>
                <w:rFonts w:hint="eastAsia"/>
                <w:lang w:val="en-US"/>
              </w:rPr>
            </w:pPr>
            <w:r>
              <w:rPr>
                <w:rFonts w:hint="eastAsia"/>
                <w:lang w:val="en-US"/>
              </w:rPr>
              <w:t>A：根据Omdia发布的《2026年第二季度数据库—大尺寸显示面板市场追踪报告》，2026年上半年全球大尺寸显示面板出货量预计为4.661亿台，同比增长3%；面板价格整体小幅波动，总体保持稳定。</w:t>
            </w:r>
          </w:p>
          <w:p w14:paraId="5E42F859">
            <w:pPr>
              <w:spacing w:line="360" w:lineRule="auto"/>
              <w:ind w:firstLine="440" w:firstLineChars="200"/>
              <w:rPr>
                <w:rFonts w:hint="eastAsia"/>
                <w:lang w:val="en-US"/>
              </w:rPr>
            </w:pPr>
            <w:r>
              <w:rPr>
                <w:rFonts w:hint="eastAsia"/>
                <w:lang w:val="en-US"/>
              </w:rPr>
              <w:t>LCD方面，电视面板价格高于2025年水平，尽管出货量有所下降，但平均尺寸持续增长，有望部分对冲数量下滑影响，LCD仍为市场主流。2026年大尺寸LCD面板出货面积预计呈波动调整态势。大尺寸化趋势、体育赛事带动需求及高世代产线折旧到期带来的成本下降，将对行业形成支撑。中国大陆厂商凭借产能集中优势，预计将继续主导全球LCD市场。</w:t>
            </w:r>
          </w:p>
          <w:p w14:paraId="34AA3BFF">
            <w:pPr>
              <w:spacing w:line="360" w:lineRule="auto"/>
              <w:ind w:firstLine="440" w:firstLineChars="200"/>
              <w:rPr>
                <w:rFonts w:hint="eastAsia"/>
                <w:lang w:val="en-US"/>
              </w:rPr>
            </w:pPr>
            <w:r>
              <w:rPr>
                <w:rFonts w:hint="eastAsia"/>
                <w:lang w:val="en-US"/>
              </w:rPr>
              <w:t>OLED方面，Omdia预测2026年全年大尺寸OLED面板出货量将达3,880万片，同比增长18.8%。增长主要来自OLED显示器和笔记本电脑领域面板，其中OLED笔记本电脑面板出货量预计同比增长66.0%，桌面OLED显示器面板的出货量预计同比增34.0%。群智咨询预计，2026年全球OLED显示器面板出货量将增至510万片，渗透率提升至3%。</w:t>
            </w:r>
          </w:p>
          <w:p w14:paraId="12110AD5">
            <w:pPr>
              <w:spacing w:line="360" w:lineRule="auto"/>
              <w:ind w:firstLine="440" w:firstLineChars="200"/>
              <w:rPr>
                <w:lang w:val="en-US"/>
              </w:rPr>
            </w:pPr>
            <w:r>
              <w:rPr>
                <w:rFonts w:hint="eastAsia"/>
                <w:lang w:val="en-US"/>
              </w:rPr>
              <w:t>同时，OLED行业仍面临一定调整压力，市场正由温和修复转向需求调整阶段，厂商需在库存管理、结构性机遇把握与成本消化之间保持平衡。OLED保持增长，主要受益于其聚焦高价值产品线、受上游涨价冲击相对较小，以及高世代8.6代OLED产线逐步量产带来的成本下降和渗透率提升。</w:t>
            </w:r>
          </w:p>
          <w:p w14:paraId="03AB5A9B">
            <w:pPr>
              <w:spacing w:line="360" w:lineRule="auto"/>
              <w:ind w:firstLine="440" w:firstLineChars="200"/>
              <w:rPr>
                <w:lang w:val="en-US"/>
              </w:rPr>
            </w:pPr>
          </w:p>
          <w:p w14:paraId="3724D09B">
            <w:pPr>
              <w:spacing w:line="360" w:lineRule="auto"/>
              <w:rPr>
                <w:rFonts w:hint="default" w:eastAsia="仿宋"/>
                <w:lang w:val="en-US" w:eastAsia="zh-CN"/>
              </w:rPr>
            </w:pPr>
            <w:r>
              <w:rPr>
                <w:rFonts w:hint="eastAsia"/>
                <w:lang w:val="en-US" w:eastAsia="zh-CN"/>
              </w:rPr>
              <w:t>2</w:t>
            </w:r>
            <w:r>
              <w:rPr>
                <w:rFonts w:hint="eastAsia"/>
                <w:lang w:val="en-US"/>
              </w:rPr>
              <w:t>、</w:t>
            </w:r>
            <w:r>
              <w:rPr>
                <w:rFonts w:hint="eastAsia"/>
                <w:lang w:val="en-US" w:eastAsia="zh-CN"/>
              </w:rPr>
              <w:t>国内下游半导体行业情况及国产化趋势情况</w:t>
            </w:r>
          </w:p>
          <w:p w14:paraId="3FC22AC9">
            <w:pPr>
              <w:spacing w:line="360" w:lineRule="auto"/>
              <w:rPr>
                <w:rFonts w:hint="eastAsia"/>
                <w:lang w:val="en-US" w:eastAsia="zh-CN"/>
              </w:rPr>
            </w:pPr>
            <w:r>
              <w:rPr>
                <w:rFonts w:hint="eastAsia"/>
                <w:lang w:val="en-US"/>
              </w:rPr>
              <w:t>A：国内半导体行业在政策支持、国产替代、下游制造扩张及供应链本地化需求带动下继续保持较强韧性。晶圆制造、先进封装、功率半导体、特色工艺及关键材料等领域仍将是产业重点方向。随着本土客户材料认证持续推进及新建产线陆续投产，国内半导体材料企业有望持续受益于需求增长和国产替代双重驱动。同时，行业竞争正由价格竞争逐步转向技术、质量和服务能力的综合竞争。国内企业需加快高端产品客户验证与量产导入，推动产品结构由基础高纯试剂向高附加值功能性产品升级，并持续提升品质稳定性、批次一致性和应用服务能力。与此同时，行业仍面临高端产品认证周期长、技术门槛高、国际领先企业竞争优势明显及部分基础产品价格竞争加剧等挑战</w:t>
            </w:r>
            <w:r>
              <w:rPr>
                <w:rFonts w:hint="eastAsia"/>
                <w:lang w:val="en-US" w:eastAsia="zh-CN"/>
              </w:rPr>
              <w:t>。</w:t>
            </w:r>
          </w:p>
          <w:p w14:paraId="44E1F964">
            <w:pPr>
              <w:spacing w:line="360" w:lineRule="auto"/>
              <w:ind w:firstLine="440" w:firstLineChars="200"/>
            </w:pPr>
            <w:r>
              <w:rPr>
                <w:rFonts w:hint="eastAsia"/>
                <w:lang w:val="en-US"/>
              </w:rPr>
              <w:t>公司将紧抓半导体产业发展及材料国产替代机遇，持续加大研发投入，不断提升产品纯度控制、功能性配方开发、质量稳定性管理及本地化服务能力，积极推进高端产品验证与导入，通过强化核心技术与客户协同，增强市场竞争力和可持续发展能力。</w:t>
            </w:r>
          </w:p>
          <w:p w14:paraId="57EB57DF">
            <w:pPr>
              <w:spacing w:line="360" w:lineRule="auto"/>
            </w:pPr>
          </w:p>
          <w:p w14:paraId="38CB09E4">
            <w:pPr>
              <w:spacing w:line="360" w:lineRule="auto"/>
              <w:rPr>
                <w:rFonts w:hint="eastAsia"/>
                <w:lang w:val="en-US" w:eastAsia="zh-CN"/>
              </w:rPr>
            </w:pPr>
            <w:r>
              <w:rPr>
                <w:rFonts w:hint="eastAsia"/>
                <w:lang w:val="en-US" w:eastAsia="zh-CN"/>
              </w:rPr>
              <w:t>3</w:t>
            </w:r>
            <w:r>
              <w:rPr>
                <w:rFonts w:hint="eastAsia"/>
              </w:rPr>
              <w:t>、</w:t>
            </w:r>
            <w:r>
              <w:rPr>
                <w:rFonts w:hint="eastAsia"/>
                <w:lang w:val="en-US" w:eastAsia="zh-CN"/>
              </w:rPr>
              <w:t>公司在产品布局、市场拓展这块的新进展</w:t>
            </w:r>
          </w:p>
          <w:p w14:paraId="6D57EC14">
            <w:pPr>
              <w:spacing w:line="360" w:lineRule="auto"/>
              <w:rPr>
                <w:rFonts w:hint="eastAsia"/>
                <w:lang w:val="en-US" w:eastAsia="zh-CN"/>
              </w:rPr>
            </w:pPr>
            <w:r>
              <w:rPr>
                <w:rFonts w:hint="eastAsia"/>
                <w:lang w:val="en-US" w:eastAsia="zh-CN"/>
              </w:rPr>
              <w:t>A：公司在稳固TMAH显影液市场领先地位的同时，根据下游客户需求和市场发展变化，加速推进新产品市场拓展，着力构建多元产品矩阵：剥离液产品继成功导入维信诺集团云谷(固安)科技有限公司后，已经完成涉及剥离液回收液的全部测试，形成全厂规模量供，达到剥离液生产和回收循环利用的全链条闭环，实现了有效降本和循环使用模式的建立；在成功稳定量供的基础上，公司已顺利启动并完成维信诺集团合肥国显科技有限公司高世代OLED新工厂剥离液产品的导入，已启动量供，配合产线爬坡提升。同时，公司加速推进先进封装产业链产品的布局，目前TMAH系列产品在海外先进封装产业链客户端完成产线测试验证，进入供应商体系，进行体系认证，其他海外客户端已开始启动批量供货。</w:t>
            </w:r>
            <w:bookmarkStart w:id="0" w:name="_GoBack"/>
            <w:bookmarkEnd w:id="0"/>
          </w:p>
          <w:p w14:paraId="09150A03">
            <w:pPr>
              <w:spacing w:line="360" w:lineRule="auto"/>
              <w:rPr>
                <w:rFonts w:hint="eastAsia"/>
              </w:rPr>
            </w:pPr>
          </w:p>
          <w:p w14:paraId="081FF625">
            <w:pPr>
              <w:spacing w:line="360" w:lineRule="auto"/>
              <w:rPr>
                <w:rFonts w:hint="eastAsia"/>
                <w:lang w:val="en-US" w:eastAsia="zh-CN"/>
              </w:rPr>
            </w:pPr>
            <w:r>
              <w:rPr>
                <w:rFonts w:hint="eastAsia"/>
                <w:lang w:val="en-US" w:eastAsia="zh-CN"/>
              </w:rPr>
              <w:t>4、公司对下游市场需求是如何看待的</w:t>
            </w:r>
          </w:p>
          <w:p w14:paraId="026B936E">
            <w:pPr>
              <w:spacing w:line="360" w:lineRule="auto"/>
              <w:rPr>
                <w:rFonts w:hint="eastAsia"/>
              </w:rPr>
            </w:pPr>
            <w:r>
              <w:rPr>
                <w:rFonts w:hint="eastAsia"/>
              </w:rPr>
              <w:t>A：在数字经济持续深化、产业升级不断推进的背景下，我国新型显示和集成电路产业仍处于快速发展阶段，行业规模有望持续扩张，整体呈现向高端化、规模化发展的趋势。作为产业链上游关键材料之一，湿电子化学品的需求与下游晶圆制造、封装测试及显示面板发展密切相关，具备较强的成长性与确定性。</w:t>
            </w:r>
          </w:p>
          <w:p w14:paraId="71F4E4F6">
            <w:pPr>
              <w:spacing w:line="360" w:lineRule="auto"/>
              <w:ind w:firstLine="440" w:firstLineChars="200"/>
              <w:rPr>
                <w:rFonts w:hint="eastAsia"/>
              </w:rPr>
            </w:pPr>
            <w:r>
              <w:rPr>
                <w:rFonts w:hint="eastAsia"/>
              </w:rPr>
              <w:t>从需求端看，随着5G、人工智能、工业互联网、物联网等新兴应用加速渗透，芯片及新型显示器件需求持续增长，进一步带动集成电路和显示产业链景气度提升。下游终端应用场景不断丰富，持续推动晶圆制造、先进封装、显示面板等产业发展，并带来对高纯、功能性湿电子化学品的增量需求。</w:t>
            </w:r>
          </w:p>
          <w:p w14:paraId="4A8ADBDE">
            <w:pPr>
              <w:spacing w:line="360" w:lineRule="auto"/>
              <w:ind w:firstLine="440" w:firstLineChars="200"/>
              <w:rPr>
                <w:rFonts w:hint="eastAsia"/>
                <w:lang w:eastAsia="zh-CN"/>
              </w:rPr>
            </w:pPr>
            <w:r>
              <w:rPr>
                <w:rFonts w:hint="eastAsia"/>
              </w:rPr>
              <w:t>从产业趋势看，集成电路和新型显示作为国家重点支持的战略性新兴产业，政策扶持力度持续加大，叠加产业链自主可控和国产替代进程加快，上游电子材料行业迎来重要发展窗口期。湿电子化学品作为生产制程中的关键耗材，产品性能、纯度水平和供应稳定性直接影响下游良率与工艺表现，行业壁垒较高，具备技术、客户和认证优势的企业有望持续受益</w:t>
            </w:r>
            <w:r>
              <w:rPr>
                <w:rFonts w:hint="eastAsia"/>
                <w:lang w:eastAsia="zh-CN"/>
              </w:rPr>
              <w:t>。</w:t>
            </w:r>
          </w:p>
          <w:p w14:paraId="3496BB4F">
            <w:pPr>
              <w:spacing w:line="360" w:lineRule="auto"/>
              <w:ind w:firstLine="440" w:firstLineChars="200"/>
              <w:rPr>
                <w:rFonts w:hint="eastAsia"/>
              </w:rPr>
            </w:pPr>
            <w:r>
              <w:rPr>
                <w:rFonts w:hint="eastAsia"/>
              </w:rPr>
              <w:t>整体来看，在下游需求扩容、国产替代深化以及行业集中度提升的共同驱动下，湿电子化学品行业景气度有望延续上行。公司深耕电子材料领域，以湿电子化学品为核心的系列产品将充分受益于行业增长趋势，未来市场空间广阔，发展机遇突出。</w:t>
            </w:r>
          </w:p>
          <w:p w14:paraId="61711A5F">
            <w:pPr>
              <w:spacing w:line="360" w:lineRule="auto"/>
              <w:ind w:firstLine="440" w:firstLineChars="200"/>
              <w:rPr>
                <w:rFonts w:hint="eastAsia"/>
              </w:rPr>
            </w:pPr>
          </w:p>
          <w:p w14:paraId="6959FA60">
            <w:pPr>
              <w:spacing w:line="360" w:lineRule="auto"/>
              <w:rPr>
                <w:rFonts w:hint="eastAsia"/>
              </w:rPr>
            </w:pPr>
          </w:p>
          <w:p w14:paraId="7FD75A3C">
            <w:pPr>
              <w:spacing w:line="360" w:lineRule="auto"/>
              <w:rPr>
                <w:rFonts w:hint="eastAsia"/>
              </w:rPr>
            </w:pPr>
          </w:p>
          <w:p w14:paraId="569F5FB3">
            <w:pPr>
              <w:spacing w:line="360" w:lineRule="auto"/>
              <w:rPr>
                <w:rFonts w:hint="eastAsia"/>
              </w:rPr>
            </w:pPr>
          </w:p>
        </w:tc>
      </w:tr>
      <w:tr w14:paraId="0B8C8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377" w:type="dxa"/>
          </w:tcPr>
          <w:p w14:paraId="5935C7DD">
            <w:pPr>
              <w:pStyle w:val="10"/>
              <w:spacing w:line="303" w:lineRule="exact"/>
              <w:rPr>
                <w:sz w:val="24"/>
              </w:rPr>
            </w:pPr>
            <w:r>
              <w:rPr>
                <w:sz w:val="24"/>
              </w:rPr>
              <w:t>活动过程中所使用的附件</w:t>
            </w:r>
          </w:p>
        </w:tc>
        <w:tc>
          <w:tcPr>
            <w:tcW w:w="6148" w:type="dxa"/>
          </w:tcPr>
          <w:p w14:paraId="0A275481">
            <w:pPr>
              <w:pStyle w:val="10"/>
              <w:ind w:left="0"/>
              <w:rPr>
                <w:rFonts w:ascii="Times New Roman"/>
                <w:sz w:val="26"/>
              </w:rPr>
            </w:pPr>
            <w:r>
              <w:rPr>
                <w:rFonts w:hint="eastAsia" w:ascii="Times New Roman"/>
                <w:sz w:val="26"/>
              </w:rPr>
              <w:t>无</w:t>
            </w:r>
          </w:p>
        </w:tc>
      </w:tr>
      <w:tr w14:paraId="6CFF2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8525" w:type="dxa"/>
            <w:gridSpan w:val="2"/>
          </w:tcPr>
          <w:p w14:paraId="4F06872A">
            <w:pPr>
              <w:pStyle w:val="10"/>
              <w:ind w:left="0" w:firstLine="440" w:firstLineChars="200"/>
              <w:rPr>
                <w:rFonts w:hint="eastAsia" w:ascii="Times New Roman"/>
                <w:sz w:val="22"/>
                <w:szCs w:val="20"/>
              </w:rPr>
            </w:pPr>
            <w:r>
              <w:rPr>
                <w:rFonts w:hint="eastAsia" w:ascii="Times New Roman"/>
                <w:sz w:val="22"/>
                <w:szCs w:val="20"/>
              </w:rPr>
              <w:t>接待过程中，公司与投资者进行了充分的交流与沟通，并严格按照有关制度规定，保证信息披露的真实、准确、完整、及时、公平，没有出现未公开重大信息泄露等情况。</w:t>
            </w:r>
          </w:p>
          <w:p w14:paraId="24634B18">
            <w:pPr>
              <w:pStyle w:val="10"/>
              <w:ind w:left="0" w:firstLine="440" w:firstLineChars="200"/>
              <w:rPr>
                <w:rFonts w:hint="eastAsia" w:ascii="Times New Roman"/>
                <w:sz w:val="26"/>
              </w:rPr>
            </w:pPr>
            <w:r>
              <w:rPr>
                <w:rFonts w:hint="eastAsia" w:ascii="Times New Roman"/>
                <w:sz w:val="22"/>
                <w:szCs w:val="20"/>
              </w:rPr>
              <w:t>风险提示：公司郑重提醒广大投资者，有关公司信息请以公司在上海证券交易所网站和法定信息披露媒体刊登的相关公告为准。本记录表中如涉及公司发展战略、研发预计、未来经营计划等描述，不构成公司对投资者的实质承诺，敬请广大投资者理性投资，注意投资风险。</w:t>
            </w:r>
          </w:p>
        </w:tc>
      </w:tr>
    </w:tbl>
    <w:p w14:paraId="5C758D5A">
      <w:pPr>
        <w:rPr>
          <w:rFonts w:ascii="宋体" w:hAnsi="宋体"/>
          <w:sz w:val="28"/>
        </w:rPr>
      </w:pPr>
    </w:p>
    <w:sectPr>
      <w:type w:val="continuous"/>
      <w:pgSz w:w="11910" w:h="16840"/>
      <w:pgMar w:top="1520" w:right="1580" w:bottom="280" w:left="9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0B"/>
    <w:rsid w:val="000107D8"/>
    <w:rsid w:val="00017528"/>
    <w:rsid w:val="0006379E"/>
    <w:rsid w:val="0007053C"/>
    <w:rsid w:val="00071C6E"/>
    <w:rsid w:val="00097177"/>
    <w:rsid w:val="000D2AB6"/>
    <w:rsid w:val="000F5F02"/>
    <w:rsid w:val="001108FE"/>
    <w:rsid w:val="001305E4"/>
    <w:rsid w:val="00162871"/>
    <w:rsid w:val="00171360"/>
    <w:rsid w:val="0017157A"/>
    <w:rsid w:val="0019373E"/>
    <w:rsid w:val="001B3291"/>
    <w:rsid w:val="001E10B2"/>
    <w:rsid w:val="001E2B06"/>
    <w:rsid w:val="0020694B"/>
    <w:rsid w:val="00215255"/>
    <w:rsid w:val="0024697F"/>
    <w:rsid w:val="00263F0C"/>
    <w:rsid w:val="002B4064"/>
    <w:rsid w:val="002C5CF8"/>
    <w:rsid w:val="002C6274"/>
    <w:rsid w:val="002C7B42"/>
    <w:rsid w:val="002D181B"/>
    <w:rsid w:val="002E55A5"/>
    <w:rsid w:val="00327BF0"/>
    <w:rsid w:val="00367D14"/>
    <w:rsid w:val="003C207C"/>
    <w:rsid w:val="003C6CFD"/>
    <w:rsid w:val="003F1A7A"/>
    <w:rsid w:val="004B1FD7"/>
    <w:rsid w:val="004B3293"/>
    <w:rsid w:val="004D7AF6"/>
    <w:rsid w:val="004F68F0"/>
    <w:rsid w:val="005156BA"/>
    <w:rsid w:val="00520021"/>
    <w:rsid w:val="005357F3"/>
    <w:rsid w:val="00551301"/>
    <w:rsid w:val="00552269"/>
    <w:rsid w:val="00552E3E"/>
    <w:rsid w:val="00577250"/>
    <w:rsid w:val="00580104"/>
    <w:rsid w:val="005D738A"/>
    <w:rsid w:val="00605CA3"/>
    <w:rsid w:val="00610110"/>
    <w:rsid w:val="00637B62"/>
    <w:rsid w:val="006574D3"/>
    <w:rsid w:val="006A3353"/>
    <w:rsid w:val="00711F8E"/>
    <w:rsid w:val="0071356F"/>
    <w:rsid w:val="00745B4F"/>
    <w:rsid w:val="007A6320"/>
    <w:rsid w:val="007B6582"/>
    <w:rsid w:val="007D3014"/>
    <w:rsid w:val="007E1942"/>
    <w:rsid w:val="007E3B0D"/>
    <w:rsid w:val="0081611E"/>
    <w:rsid w:val="008918A7"/>
    <w:rsid w:val="008A4F6A"/>
    <w:rsid w:val="008E614D"/>
    <w:rsid w:val="008E69FB"/>
    <w:rsid w:val="00934209"/>
    <w:rsid w:val="00946532"/>
    <w:rsid w:val="00965090"/>
    <w:rsid w:val="00974069"/>
    <w:rsid w:val="009A5806"/>
    <w:rsid w:val="009B56F7"/>
    <w:rsid w:val="009F0355"/>
    <w:rsid w:val="00A07BD1"/>
    <w:rsid w:val="00A16B93"/>
    <w:rsid w:val="00A53C54"/>
    <w:rsid w:val="00A645EC"/>
    <w:rsid w:val="00A83E0B"/>
    <w:rsid w:val="00A83F33"/>
    <w:rsid w:val="00A92E65"/>
    <w:rsid w:val="00AB70D9"/>
    <w:rsid w:val="00AD52E4"/>
    <w:rsid w:val="00AD77D3"/>
    <w:rsid w:val="00B10134"/>
    <w:rsid w:val="00B310ED"/>
    <w:rsid w:val="00B41B05"/>
    <w:rsid w:val="00B50979"/>
    <w:rsid w:val="00BC4BE7"/>
    <w:rsid w:val="00C5219B"/>
    <w:rsid w:val="00C6276F"/>
    <w:rsid w:val="00CB3578"/>
    <w:rsid w:val="00CC496A"/>
    <w:rsid w:val="00CE4412"/>
    <w:rsid w:val="00CF1336"/>
    <w:rsid w:val="00D440A6"/>
    <w:rsid w:val="00D66389"/>
    <w:rsid w:val="00DB3850"/>
    <w:rsid w:val="00DB46FA"/>
    <w:rsid w:val="00DB538E"/>
    <w:rsid w:val="00DD36C9"/>
    <w:rsid w:val="00E21290"/>
    <w:rsid w:val="00E231E8"/>
    <w:rsid w:val="00E252C7"/>
    <w:rsid w:val="00E36611"/>
    <w:rsid w:val="00E50F80"/>
    <w:rsid w:val="00EB30A3"/>
    <w:rsid w:val="00EC5731"/>
    <w:rsid w:val="00EF4B98"/>
    <w:rsid w:val="00F077A1"/>
    <w:rsid w:val="00F3379D"/>
    <w:rsid w:val="00F36EB7"/>
    <w:rsid w:val="00F67894"/>
    <w:rsid w:val="00F971FE"/>
    <w:rsid w:val="00FD431E"/>
    <w:rsid w:val="01B9408B"/>
    <w:rsid w:val="020D46B4"/>
    <w:rsid w:val="0314091A"/>
    <w:rsid w:val="0C417B56"/>
    <w:rsid w:val="11BA488E"/>
    <w:rsid w:val="12D92310"/>
    <w:rsid w:val="1CD7160B"/>
    <w:rsid w:val="1ED23A13"/>
    <w:rsid w:val="2A807AF1"/>
    <w:rsid w:val="2E32172D"/>
    <w:rsid w:val="30EF619C"/>
    <w:rsid w:val="34653B2A"/>
    <w:rsid w:val="40B214D8"/>
    <w:rsid w:val="46E836BE"/>
    <w:rsid w:val="472834C0"/>
    <w:rsid w:val="4F415E91"/>
    <w:rsid w:val="60E21390"/>
    <w:rsid w:val="7818479B"/>
    <w:rsid w:val="7C255E3C"/>
    <w:rsid w:val="DDEBF3DB"/>
    <w:rsid w:val="FEFD186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44"/>
      <w:szCs w:val="44"/>
    </w:rPr>
  </w:style>
  <w:style w:type="paragraph" w:styleId="3">
    <w:name w:val="footer"/>
    <w:basedOn w:val="1"/>
    <w:link w:val="12"/>
    <w:qFormat/>
    <w:uiPriority w:val="0"/>
    <w:pPr>
      <w:tabs>
        <w:tab w:val="center" w:pos="4153"/>
        <w:tab w:val="right" w:pos="8306"/>
      </w:tabs>
      <w:snapToGrid w:val="0"/>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pPr>
      <w:ind w:left="107"/>
    </w:pPr>
  </w:style>
  <w:style w:type="character" w:customStyle="1" w:styleId="11">
    <w:name w:val="页眉 字符"/>
    <w:basedOn w:val="7"/>
    <w:link w:val="4"/>
    <w:qFormat/>
    <w:uiPriority w:val="0"/>
    <w:rPr>
      <w:rFonts w:ascii="仿宋" w:hAnsi="仿宋" w:eastAsia="仿宋" w:cs="仿宋"/>
      <w:sz w:val="18"/>
      <w:szCs w:val="18"/>
      <w:lang w:val="zh-CN" w:bidi="zh-CN"/>
    </w:rPr>
  </w:style>
  <w:style w:type="character" w:customStyle="1" w:styleId="12">
    <w:name w:val="页脚 字符"/>
    <w:basedOn w:val="7"/>
    <w:link w:val="3"/>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2222</Words>
  <Characters>2335</Characters>
  <Lines>16</Lines>
  <Paragraphs>4</Paragraphs>
  <TotalTime>15</TotalTime>
  <ScaleCrop>false</ScaleCrop>
  <LinksUpToDate>false</LinksUpToDate>
  <CharactersWithSpaces>2380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2024-10-30T13:21:00Z</dcterms:created>
  <dc:creator>杨展</dc:creator>
  <cp:lastModifiedBy>杭州格林达</cp:lastModifiedBy>
  <dcterms:modified xsi:type="dcterms:W3CDTF">2026-09-08T10:15:34Z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2010</vt:lpwstr>
  </property>
  <property fmtid="{D5CDD505-2E9C-101B-9397-08002B2CF9AE}" pid="4" name="LastSaved">
    <vt:filetime>2022-11-24T00:00:00Z</vt:filetime>
  </property>
  <property fmtid="{D5CDD505-2E9C-101B-9397-08002B2CF9AE}" pid="5" name="KSOProductBuildVer">
    <vt:lpwstr>2052-12.1.0.28043</vt:lpwstr>
  </property>
  <property fmtid="{D5CDD505-2E9C-101B-9397-08002B2CF9AE}" pid="6" name="KSOTemplateDocerSaveRecord">
    <vt:lpwstr>eyJoZGlkIjoiYjM1MzI5ZjdhYjMwMjg0OGUxNWUzZTQ2ZjVlODNmMGMiLCJ1c2VySWQiOiI1MjM0NDMzMTIifQ==</vt:lpwstr>
  </property>
  <property fmtid="{D5CDD505-2E9C-101B-9397-08002B2CF9AE}" pid="7" name="ICV">
    <vt:lpwstr>DA75ED65EA50493D832041CFDF593FE0_13</vt:lpwstr>
  </property>
</Properties>
</file>