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3FD7E0">
      <w:pPr>
        <w:spacing w:before="156" w:beforeLines="50" w:after="156" w:afterLines="50" w:line="400" w:lineRule="exac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 xml:space="preserve">证券代码： </w:t>
      </w:r>
      <w:r>
        <w:rPr>
          <w:rFonts w:asciiTheme="minorEastAsia" w:hAnsiTheme="minorEastAsia" w:eastAsiaTheme="minorEastAsia"/>
          <w:bCs/>
          <w:iCs/>
          <w:color w:val="000000"/>
          <w:sz w:val="24"/>
        </w:rPr>
        <w:t>688107</w:t>
      </w:r>
      <w:r>
        <w:rPr>
          <w:rFonts w:hint="eastAsia" w:asciiTheme="minorEastAsia" w:hAnsiTheme="minorEastAsia" w:eastAsiaTheme="minorEastAsia"/>
          <w:bCs/>
          <w:iCs/>
          <w:color w:val="000000"/>
          <w:sz w:val="24"/>
        </w:rPr>
        <w:t xml:space="preserve">        </w:t>
      </w:r>
      <w:r>
        <w:rPr>
          <w:rFonts w:asciiTheme="minorEastAsia" w:hAnsiTheme="minorEastAsia" w:eastAsiaTheme="minorEastAsia"/>
          <w:bCs/>
          <w:iCs/>
          <w:color w:val="000000"/>
          <w:sz w:val="24"/>
        </w:rPr>
        <w:t xml:space="preserve">   </w:t>
      </w:r>
      <w:r>
        <w:rPr>
          <w:rFonts w:hint="eastAsia" w:asciiTheme="minorEastAsia" w:hAnsiTheme="minorEastAsia" w:eastAsiaTheme="minorEastAsia"/>
          <w:bCs/>
          <w:iCs/>
          <w:color w:val="000000"/>
          <w:sz w:val="24"/>
        </w:rPr>
        <w:t xml:space="preserve">    </w:t>
      </w:r>
      <w:r>
        <w:rPr>
          <w:rFonts w:asciiTheme="minorEastAsia" w:hAnsiTheme="minorEastAsia" w:eastAsiaTheme="minorEastAsia"/>
          <w:bCs/>
          <w:iCs/>
          <w:color w:val="000000"/>
          <w:sz w:val="24"/>
        </w:rPr>
        <w:t xml:space="preserve">             </w:t>
      </w:r>
      <w:r>
        <w:rPr>
          <w:rFonts w:hint="eastAsia" w:asciiTheme="minorEastAsia" w:hAnsiTheme="minorEastAsia" w:eastAsiaTheme="minorEastAsia"/>
          <w:bCs/>
          <w:iCs/>
          <w:color w:val="000000"/>
          <w:sz w:val="24"/>
        </w:rPr>
        <w:t xml:space="preserve">    证券简称：安路科技</w:t>
      </w:r>
    </w:p>
    <w:p w14:paraId="00C58B53">
      <w:pPr>
        <w:spacing w:before="312" w:beforeLines="100" w:after="156" w:afterLines="50" w:line="400" w:lineRule="exact"/>
        <w:jc w:val="center"/>
        <w:rPr>
          <w:rFonts w:asciiTheme="minorEastAsia" w:hAnsiTheme="minorEastAsia" w:eastAsiaTheme="minorEastAsia"/>
          <w:b/>
          <w:bCs/>
          <w:iCs/>
          <w:color w:val="000000"/>
          <w:sz w:val="32"/>
          <w:szCs w:val="32"/>
        </w:rPr>
      </w:pPr>
      <w:r>
        <w:rPr>
          <w:rFonts w:hint="eastAsia" w:asciiTheme="minorEastAsia" w:hAnsiTheme="minorEastAsia" w:eastAsiaTheme="minorEastAsia"/>
          <w:b/>
          <w:bCs/>
          <w:iCs/>
          <w:color w:val="000000"/>
          <w:sz w:val="32"/>
          <w:szCs w:val="32"/>
        </w:rPr>
        <w:t>上海安路信息科技股份有限公司</w:t>
      </w:r>
    </w:p>
    <w:p w14:paraId="72FF1E46">
      <w:pPr>
        <w:spacing w:before="156" w:beforeLines="50" w:after="156" w:afterLines="50" w:line="400" w:lineRule="exact"/>
        <w:jc w:val="center"/>
        <w:rPr>
          <w:rFonts w:asciiTheme="minorEastAsia" w:hAnsiTheme="minorEastAsia" w:eastAsiaTheme="minorEastAsia"/>
          <w:b/>
          <w:bCs/>
          <w:iCs/>
          <w:color w:val="000000"/>
          <w:sz w:val="32"/>
          <w:szCs w:val="32"/>
        </w:rPr>
      </w:pPr>
      <w:r>
        <w:rPr>
          <w:rFonts w:hint="eastAsia" w:asciiTheme="minorEastAsia" w:hAnsiTheme="minorEastAsia" w:eastAsiaTheme="minorEastAsia"/>
          <w:b/>
          <w:bCs/>
          <w:iCs/>
          <w:color w:val="000000"/>
          <w:sz w:val="32"/>
          <w:szCs w:val="32"/>
        </w:rPr>
        <w:t>投资者关系活动记录表</w:t>
      </w:r>
    </w:p>
    <w:p w14:paraId="1EE8DBF4">
      <w:pPr>
        <w:spacing w:line="400" w:lineRule="exact"/>
        <w:rPr>
          <w:rFonts w:hint="eastAsia" w:asciiTheme="minorEastAsia" w:hAnsiTheme="minorEastAsia" w:eastAsiaTheme="minorEastAsia"/>
          <w:bCs/>
          <w:iCs/>
          <w:color w:val="000000"/>
          <w:sz w:val="24"/>
          <w:lang w:eastAsia="zh-CN"/>
        </w:rPr>
      </w:pPr>
      <w:r>
        <w:rPr>
          <w:rFonts w:hint="eastAsia" w:asciiTheme="minorEastAsia" w:hAnsiTheme="minorEastAsia" w:eastAsiaTheme="minorEastAsia"/>
          <w:bCs/>
          <w:iCs/>
          <w:color w:val="000000"/>
          <w:sz w:val="24"/>
        </w:rPr>
        <w:t xml:space="preserve">                                                      编号：2</w:t>
      </w:r>
      <w:r>
        <w:rPr>
          <w:rFonts w:asciiTheme="minorEastAsia" w:hAnsiTheme="minorEastAsia" w:eastAsiaTheme="minorEastAsia"/>
          <w:bCs/>
          <w:iCs/>
          <w:color w:val="000000"/>
          <w:sz w:val="24"/>
        </w:rPr>
        <w:t>02</w:t>
      </w:r>
      <w:r>
        <w:rPr>
          <w:rFonts w:hint="eastAsia" w:asciiTheme="minorEastAsia" w:hAnsiTheme="minorEastAsia" w:eastAsiaTheme="minorEastAsia"/>
          <w:bCs/>
          <w:iCs/>
          <w:color w:val="000000"/>
          <w:sz w:val="24"/>
          <w:lang w:val="en-US" w:eastAsia="zh-CN"/>
        </w:rPr>
        <w:t>6</w:t>
      </w:r>
      <w:r>
        <w:rPr>
          <w:rFonts w:hint="eastAsia" w:asciiTheme="minorEastAsia" w:hAnsiTheme="minorEastAsia" w:eastAsiaTheme="minorEastAsia"/>
          <w:bCs/>
          <w:iCs/>
          <w:color w:val="000000"/>
          <w:sz w:val="24"/>
        </w:rPr>
        <w:t>-0</w:t>
      </w:r>
      <w:r>
        <w:rPr>
          <w:rFonts w:asciiTheme="minorEastAsia" w:hAnsiTheme="minorEastAsia" w:eastAsiaTheme="minorEastAsia"/>
          <w:bCs/>
          <w:iCs/>
          <w:color w:val="000000"/>
          <w:sz w:val="24"/>
        </w:rPr>
        <w:t>0</w:t>
      </w:r>
      <w:r>
        <w:rPr>
          <w:rFonts w:hint="eastAsia" w:asciiTheme="minorEastAsia" w:hAnsiTheme="minorEastAsia" w:eastAsiaTheme="minorEastAsia"/>
          <w:bCs/>
          <w:iCs/>
          <w:color w:val="000000"/>
          <w:sz w:val="24"/>
          <w:lang w:val="en-US" w:eastAsia="zh-CN"/>
        </w:rPr>
        <w:t>2</w:t>
      </w:r>
    </w:p>
    <w:tbl>
      <w:tblPr>
        <w:tblStyle w:val="6"/>
        <w:tblW w:w="8925"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6940"/>
      </w:tblGrid>
      <w:tr w14:paraId="12C3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85" w:type="dxa"/>
          </w:tcPr>
          <w:p w14:paraId="6E320367">
            <w:pPr>
              <w:spacing w:line="480" w:lineRule="atLeast"/>
              <w:rPr>
                <w:rFonts w:asciiTheme="minorEastAsia" w:hAnsiTheme="minorEastAsia" w:eastAsiaTheme="minorEastAsia"/>
                <w:b/>
                <w:bCs/>
                <w:iCs/>
                <w:color w:val="000000"/>
                <w:sz w:val="24"/>
              </w:rPr>
            </w:pPr>
          </w:p>
          <w:p w14:paraId="67BB642A">
            <w:pPr>
              <w:spacing w:line="480" w:lineRule="atLeast"/>
              <w:jc w:val="center"/>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投资者关系活动类别</w:t>
            </w:r>
          </w:p>
        </w:tc>
        <w:tc>
          <w:tcPr>
            <w:tcW w:w="6940" w:type="dxa"/>
          </w:tcPr>
          <w:p w14:paraId="4D677F29">
            <w:pPr>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□特定对象调研        □分析师会议</w:t>
            </w:r>
          </w:p>
          <w:p w14:paraId="3EAE0123">
            <w:pPr>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□媒体采访            √业绩说明会</w:t>
            </w:r>
          </w:p>
          <w:p w14:paraId="414675D1">
            <w:pPr>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□新闻发布会          □路演活动</w:t>
            </w:r>
          </w:p>
          <w:p w14:paraId="4943E464">
            <w:pPr>
              <w:tabs>
                <w:tab w:val="left" w:pos="2688"/>
                <w:tab w:val="center" w:pos="3199"/>
              </w:tabs>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□现场参观</w:t>
            </w:r>
            <w:r>
              <w:rPr>
                <w:rFonts w:asciiTheme="minorEastAsia" w:hAnsiTheme="minorEastAsia" w:eastAsiaTheme="minorEastAsia"/>
                <w:bCs/>
                <w:iCs/>
                <w:color w:val="000000"/>
                <w:sz w:val="24"/>
              </w:rPr>
              <w:tab/>
            </w:r>
            <w:r>
              <w:rPr>
                <w:rFonts w:hint="eastAsia" w:asciiTheme="minorEastAsia" w:hAnsiTheme="minorEastAsia" w:eastAsiaTheme="minorEastAsia"/>
                <w:bCs/>
                <w:iCs/>
                <w:color w:val="000000"/>
                <w:sz w:val="24"/>
              </w:rPr>
              <w:t>□电话会议</w:t>
            </w:r>
          </w:p>
          <w:p w14:paraId="6CF58A23">
            <w:pPr>
              <w:tabs>
                <w:tab w:val="center" w:pos="3199"/>
              </w:tabs>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□其他（请文字说明其他活动内容）</w:t>
            </w:r>
          </w:p>
        </w:tc>
      </w:tr>
      <w:tr w14:paraId="3146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303D1A82">
            <w:pPr>
              <w:spacing w:line="480" w:lineRule="atLeast"/>
              <w:jc w:val="center"/>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参与单位名称</w:t>
            </w:r>
          </w:p>
        </w:tc>
        <w:tc>
          <w:tcPr>
            <w:tcW w:w="6940" w:type="dxa"/>
          </w:tcPr>
          <w:p w14:paraId="50FDB0D4">
            <w:pPr>
              <w:spacing w:line="560" w:lineRule="exac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参与本次业绩说明会的线上投资者</w:t>
            </w:r>
          </w:p>
        </w:tc>
      </w:tr>
      <w:tr w14:paraId="094E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5A376651">
            <w:pPr>
              <w:spacing w:line="480" w:lineRule="atLeast"/>
              <w:jc w:val="center"/>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时间</w:t>
            </w:r>
          </w:p>
        </w:tc>
        <w:tc>
          <w:tcPr>
            <w:tcW w:w="6940" w:type="dxa"/>
            <w:vAlign w:val="center"/>
          </w:tcPr>
          <w:p w14:paraId="748A8552">
            <w:pPr>
              <w:spacing w:line="360" w:lineRule="auto"/>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2</w:t>
            </w:r>
            <w:r>
              <w:rPr>
                <w:rFonts w:asciiTheme="minorEastAsia" w:hAnsiTheme="minorEastAsia" w:eastAsiaTheme="minorEastAsia"/>
                <w:bCs/>
                <w:iCs/>
                <w:color w:val="000000"/>
                <w:sz w:val="24"/>
              </w:rPr>
              <w:t>02</w:t>
            </w:r>
            <w:r>
              <w:rPr>
                <w:rFonts w:hint="eastAsia" w:asciiTheme="minorEastAsia" w:hAnsiTheme="minorEastAsia" w:eastAsiaTheme="minorEastAsia"/>
                <w:bCs/>
                <w:iCs/>
                <w:color w:val="000000"/>
                <w:sz w:val="24"/>
                <w:lang w:val="en-US" w:eastAsia="zh-CN"/>
              </w:rPr>
              <w:t>6</w:t>
            </w:r>
            <w:r>
              <w:rPr>
                <w:rFonts w:hint="eastAsia" w:asciiTheme="minorEastAsia" w:hAnsiTheme="minorEastAsia" w:eastAsiaTheme="minorEastAsia"/>
                <w:bCs/>
                <w:iCs/>
                <w:color w:val="000000"/>
                <w:sz w:val="24"/>
              </w:rPr>
              <w:t>年</w:t>
            </w:r>
            <w:r>
              <w:rPr>
                <w:rFonts w:hint="eastAsia" w:asciiTheme="minorEastAsia" w:hAnsiTheme="minorEastAsia" w:eastAsiaTheme="minorEastAsia"/>
                <w:bCs/>
                <w:iCs/>
                <w:color w:val="000000"/>
                <w:sz w:val="24"/>
                <w:lang w:val="en-US" w:eastAsia="zh-CN"/>
              </w:rPr>
              <w:t>9</w:t>
            </w:r>
            <w:r>
              <w:rPr>
                <w:rFonts w:hint="eastAsia" w:asciiTheme="minorEastAsia" w:hAnsiTheme="minorEastAsia" w:eastAsiaTheme="minorEastAsia"/>
                <w:bCs/>
                <w:iCs/>
                <w:color w:val="000000"/>
                <w:sz w:val="24"/>
              </w:rPr>
              <w:t>月</w:t>
            </w:r>
            <w:r>
              <w:rPr>
                <w:rFonts w:hint="eastAsia" w:asciiTheme="minorEastAsia" w:hAnsiTheme="minorEastAsia" w:eastAsiaTheme="minorEastAsia"/>
                <w:bCs/>
                <w:iCs/>
                <w:color w:val="000000"/>
                <w:sz w:val="24"/>
                <w:lang w:val="en-US" w:eastAsia="zh-CN"/>
              </w:rPr>
              <w:t>8</w:t>
            </w:r>
            <w:r>
              <w:rPr>
                <w:rFonts w:hint="eastAsia" w:asciiTheme="minorEastAsia" w:hAnsiTheme="minorEastAsia" w:eastAsiaTheme="minorEastAsia"/>
                <w:bCs/>
                <w:iCs/>
                <w:color w:val="000000"/>
                <w:sz w:val="24"/>
              </w:rPr>
              <w:t>日下午1</w:t>
            </w:r>
            <w:r>
              <w:rPr>
                <w:rFonts w:hint="eastAsia" w:asciiTheme="minorEastAsia" w:hAnsiTheme="minorEastAsia" w:eastAsiaTheme="minorEastAsia"/>
                <w:bCs/>
                <w:iCs/>
                <w:color w:val="000000"/>
                <w:sz w:val="24"/>
                <w:lang w:val="en-US" w:eastAsia="zh-CN"/>
              </w:rPr>
              <w:t>5</w:t>
            </w:r>
            <w:r>
              <w:rPr>
                <w:rFonts w:hint="eastAsia" w:asciiTheme="minorEastAsia" w:hAnsiTheme="minorEastAsia" w:eastAsiaTheme="minorEastAsia"/>
                <w:bCs/>
                <w:iCs/>
                <w:color w:val="000000"/>
                <w:sz w:val="24"/>
              </w:rPr>
              <w:t>:0</w:t>
            </w:r>
            <w:r>
              <w:rPr>
                <w:rFonts w:asciiTheme="minorEastAsia" w:hAnsiTheme="minorEastAsia" w:eastAsiaTheme="minorEastAsia"/>
                <w:bCs/>
                <w:iCs/>
                <w:color w:val="000000"/>
                <w:sz w:val="24"/>
              </w:rPr>
              <w:t>0</w:t>
            </w:r>
            <w:r>
              <w:rPr>
                <w:rFonts w:hint="eastAsia" w:asciiTheme="minorEastAsia" w:hAnsiTheme="minorEastAsia" w:eastAsiaTheme="minorEastAsia"/>
                <w:bCs/>
                <w:iCs/>
                <w:color w:val="000000"/>
                <w:sz w:val="24"/>
              </w:rPr>
              <w:t>-</w:t>
            </w:r>
            <w:r>
              <w:rPr>
                <w:rFonts w:asciiTheme="minorEastAsia" w:hAnsiTheme="minorEastAsia" w:eastAsiaTheme="minorEastAsia"/>
                <w:bCs/>
                <w:iCs/>
                <w:color w:val="000000"/>
                <w:sz w:val="24"/>
              </w:rPr>
              <w:t>1</w:t>
            </w:r>
            <w:r>
              <w:rPr>
                <w:rFonts w:hint="eastAsia" w:asciiTheme="minorEastAsia" w:hAnsiTheme="minorEastAsia" w:eastAsiaTheme="minorEastAsia"/>
                <w:bCs/>
                <w:iCs/>
                <w:color w:val="000000"/>
                <w:sz w:val="24"/>
                <w:lang w:val="en-US" w:eastAsia="zh-CN"/>
              </w:rPr>
              <w:t>7</w:t>
            </w:r>
            <w:r>
              <w:rPr>
                <w:rFonts w:hint="eastAsia" w:asciiTheme="minorEastAsia" w:hAnsiTheme="minorEastAsia" w:eastAsiaTheme="minorEastAsia"/>
                <w:bCs/>
                <w:iCs/>
                <w:color w:val="000000"/>
                <w:sz w:val="24"/>
              </w:rPr>
              <w:t>:</w:t>
            </w:r>
            <w:r>
              <w:rPr>
                <w:rFonts w:hint="eastAsia" w:asciiTheme="minorEastAsia" w:hAnsiTheme="minorEastAsia" w:eastAsiaTheme="minorEastAsia"/>
                <w:bCs/>
                <w:iCs/>
                <w:color w:val="000000"/>
                <w:sz w:val="24"/>
                <w:lang w:val="en-US" w:eastAsia="zh-CN"/>
              </w:rPr>
              <w:t>0</w:t>
            </w:r>
            <w:r>
              <w:rPr>
                <w:rFonts w:asciiTheme="minorEastAsia" w:hAnsiTheme="minorEastAsia" w:eastAsiaTheme="minorEastAsia"/>
                <w:bCs/>
                <w:iCs/>
                <w:color w:val="000000"/>
                <w:sz w:val="24"/>
              </w:rPr>
              <w:t>0</w:t>
            </w:r>
          </w:p>
        </w:tc>
      </w:tr>
      <w:tr w14:paraId="20992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85" w:type="dxa"/>
          </w:tcPr>
          <w:p w14:paraId="5BAE6231">
            <w:pPr>
              <w:spacing w:line="480" w:lineRule="atLeast"/>
              <w:jc w:val="center"/>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地点</w:t>
            </w:r>
          </w:p>
        </w:tc>
        <w:tc>
          <w:tcPr>
            <w:tcW w:w="6940" w:type="dxa"/>
            <w:vAlign w:val="center"/>
          </w:tcPr>
          <w:p w14:paraId="68D383B4">
            <w:pPr>
              <w:spacing w:line="360" w:lineRule="auto"/>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上海证券交易所上证路演中心</w:t>
            </w:r>
          </w:p>
          <w:p w14:paraId="6CB9A192">
            <w:pPr>
              <w:spacing w:line="360" w:lineRule="auto"/>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（http://roadshow.sseinfo.com）</w:t>
            </w:r>
          </w:p>
        </w:tc>
      </w:tr>
      <w:tr w14:paraId="0302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tcPr>
          <w:p w14:paraId="296E1731">
            <w:pPr>
              <w:spacing w:line="480" w:lineRule="atLeast"/>
              <w:jc w:val="center"/>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上市公司参加人员姓名</w:t>
            </w:r>
          </w:p>
        </w:tc>
        <w:tc>
          <w:tcPr>
            <w:tcW w:w="6940" w:type="dxa"/>
            <w:vAlign w:val="center"/>
          </w:tcPr>
          <w:p w14:paraId="398A7A6B">
            <w:pPr>
              <w:spacing w:line="360" w:lineRule="auto"/>
              <w:rPr>
                <w:rFonts w:hint="eastAsia" w:asciiTheme="minorEastAsia" w:hAnsiTheme="minorEastAsia" w:eastAsiaTheme="minorEastAsia"/>
                <w:bCs/>
                <w:iCs/>
                <w:color w:val="000000"/>
                <w:sz w:val="24"/>
                <w:lang w:val="en-US" w:eastAsia="zh-CN"/>
              </w:rPr>
            </w:pPr>
            <w:r>
              <w:rPr>
                <w:rFonts w:hint="eastAsia" w:asciiTheme="minorEastAsia" w:hAnsiTheme="minorEastAsia" w:eastAsiaTheme="minorEastAsia"/>
                <w:bCs/>
                <w:iCs/>
                <w:color w:val="000000"/>
                <w:sz w:val="24"/>
              </w:rPr>
              <w:t>董事、总经理：</w:t>
            </w:r>
            <w:r>
              <w:rPr>
                <w:rFonts w:hint="eastAsia" w:asciiTheme="minorEastAsia" w:hAnsiTheme="minorEastAsia" w:eastAsiaTheme="minorEastAsia"/>
                <w:bCs/>
                <w:iCs/>
                <w:color w:val="000000"/>
                <w:sz w:val="24"/>
                <w:lang w:val="en-US" w:eastAsia="zh-CN"/>
              </w:rPr>
              <w:t>文华武</w:t>
            </w:r>
          </w:p>
          <w:p w14:paraId="11401376">
            <w:pPr>
              <w:spacing w:line="360" w:lineRule="auto"/>
              <w:rPr>
                <w:rFonts w:hint="eastAsia" w:asciiTheme="minorEastAsia" w:hAnsiTheme="minorEastAsia" w:eastAsiaTheme="minorEastAsia"/>
                <w:bCs/>
                <w:iCs/>
                <w:color w:val="000000"/>
                <w:sz w:val="24"/>
                <w:lang w:val="en-US" w:eastAsia="zh-CN"/>
              </w:rPr>
            </w:pPr>
            <w:r>
              <w:rPr>
                <w:rFonts w:hint="eastAsia" w:asciiTheme="minorEastAsia" w:hAnsiTheme="minorEastAsia" w:eastAsiaTheme="minorEastAsia"/>
                <w:bCs/>
                <w:iCs/>
                <w:color w:val="000000"/>
                <w:sz w:val="24"/>
              </w:rPr>
              <w:t>独立董事：戴继雄</w:t>
            </w:r>
          </w:p>
          <w:p w14:paraId="3288DF14">
            <w:pPr>
              <w:spacing w:line="360" w:lineRule="auto"/>
              <w:rPr>
                <w:rFonts w:hint="default" w:asciiTheme="minorEastAsia" w:hAnsiTheme="minorEastAsia" w:eastAsiaTheme="minorEastAsia"/>
                <w:bCs/>
                <w:iCs/>
                <w:color w:val="000000"/>
                <w:sz w:val="24"/>
                <w:lang w:val="en-US" w:eastAsia="zh-CN"/>
              </w:rPr>
            </w:pPr>
            <w:r>
              <w:rPr>
                <w:rFonts w:hint="eastAsia" w:asciiTheme="minorEastAsia" w:hAnsiTheme="minorEastAsia" w:eastAsiaTheme="minorEastAsia"/>
                <w:bCs/>
                <w:iCs/>
                <w:color w:val="000000"/>
                <w:sz w:val="24"/>
                <w:lang w:val="en-US" w:eastAsia="zh-CN"/>
              </w:rPr>
              <w:t>副总经理、</w:t>
            </w:r>
            <w:r>
              <w:rPr>
                <w:rFonts w:hint="eastAsia" w:asciiTheme="minorEastAsia" w:hAnsiTheme="minorEastAsia" w:eastAsiaTheme="minorEastAsia"/>
                <w:bCs/>
                <w:iCs/>
                <w:color w:val="000000"/>
                <w:sz w:val="24"/>
              </w:rPr>
              <w:t>财务总监</w:t>
            </w:r>
            <w:r>
              <w:rPr>
                <w:rFonts w:hint="eastAsia" w:asciiTheme="minorEastAsia" w:hAnsiTheme="minorEastAsia" w:eastAsiaTheme="minorEastAsia"/>
                <w:bCs/>
                <w:iCs/>
                <w:color w:val="000000"/>
                <w:sz w:val="24"/>
                <w:lang w:eastAsia="zh-CN"/>
              </w:rPr>
              <w:t>：</w:t>
            </w:r>
            <w:r>
              <w:rPr>
                <w:rFonts w:hint="eastAsia" w:asciiTheme="minorEastAsia" w:hAnsiTheme="minorEastAsia" w:eastAsiaTheme="minorEastAsia"/>
                <w:bCs/>
                <w:iCs/>
                <w:color w:val="000000"/>
                <w:sz w:val="24"/>
                <w:lang w:val="en-US" w:eastAsia="zh-CN"/>
              </w:rPr>
              <w:t>郑成</w:t>
            </w:r>
          </w:p>
          <w:p w14:paraId="66A09893">
            <w:pPr>
              <w:spacing w:line="360" w:lineRule="auto"/>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董事会秘书：</w:t>
            </w:r>
            <w:r>
              <w:rPr>
                <w:rFonts w:hint="eastAsia" w:asciiTheme="minorEastAsia" w:hAnsiTheme="minorEastAsia" w:eastAsiaTheme="minorEastAsia"/>
                <w:bCs/>
                <w:iCs/>
                <w:color w:val="000000"/>
                <w:sz w:val="24"/>
                <w:lang w:val="en-US" w:eastAsia="zh-CN"/>
              </w:rPr>
              <w:t>吴浩然</w:t>
            </w:r>
          </w:p>
        </w:tc>
      </w:tr>
      <w:tr w14:paraId="44D64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985" w:type="dxa"/>
            <w:vAlign w:val="center"/>
          </w:tcPr>
          <w:p w14:paraId="4FE08585">
            <w:pPr>
              <w:spacing w:line="480" w:lineRule="atLeast"/>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投资者关系活动主要内容介绍</w:t>
            </w:r>
          </w:p>
        </w:tc>
        <w:tc>
          <w:tcPr>
            <w:tcW w:w="6940" w:type="dxa"/>
          </w:tcPr>
          <w:p w14:paraId="19578E4A">
            <w:pPr>
              <w:spacing w:line="440" w:lineRule="exact"/>
              <w:ind w:firstLine="480" w:firstLineChars="200"/>
              <w:rPr>
                <w:rFonts w:hint="eastAsia" w:asciiTheme="minorEastAsia" w:hAnsiTheme="minorEastAsia" w:eastAsiaTheme="minorEastAsia"/>
                <w:bCs/>
                <w:iCs/>
                <w:color w:val="000000" w:themeColor="text1"/>
                <w:sz w:val="24"/>
                <w:lang w:val="en-US" w:eastAsia="zh-CN"/>
                <w14:textFill>
                  <w14:solidFill>
                    <w14:schemeClr w14:val="tx1"/>
                  </w14:solidFill>
                </w14:textFill>
              </w:rPr>
            </w:pPr>
            <w:r>
              <w:rPr>
                <w:rFonts w:hint="eastAsia" w:asciiTheme="minorEastAsia" w:hAnsiTheme="minorEastAsia" w:eastAsiaTheme="minorEastAsia"/>
                <w:bCs/>
                <w:iCs/>
                <w:color w:val="000000" w:themeColor="text1"/>
                <w:sz w:val="24"/>
                <w14:textFill>
                  <w14:solidFill>
                    <w14:schemeClr w14:val="tx1"/>
                  </w14:solidFill>
                </w14:textFill>
              </w:rPr>
              <w:t>公司</w:t>
            </w:r>
            <w:r>
              <w:rPr>
                <w:rFonts w:hint="eastAsia" w:asciiTheme="minorEastAsia" w:hAnsiTheme="minorEastAsia" w:eastAsiaTheme="minorEastAsia"/>
                <w:bCs/>
                <w:iCs/>
                <w:color w:val="000000" w:themeColor="text1"/>
                <w:sz w:val="24"/>
                <w:lang w:val="en-US" w:eastAsia="zh-CN"/>
                <w14:textFill>
                  <w14:solidFill>
                    <w14:schemeClr w14:val="tx1"/>
                  </w14:solidFill>
                </w14:textFill>
              </w:rPr>
              <w:t>近期参加了由</w:t>
            </w:r>
            <w:r>
              <w:rPr>
                <w:rFonts w:hint="eastAsia" w:ascii="宋体" w:hAnsi="宋体" w:eastAsia="宋体" w:cs="宋体"/>
                <w:kern w:val="2"/>
                <w:sz w:val="24"/>
                <w:szCs w:val="24"/>
                <w:lang w:val="en-US" w:eastAsia="zh-CN" w:bidi="ar-SA"/>
              </w:rPr>
              <w:t>上海证券交易所</w:t>
            </w:r>
            <w:r>
              <w:rPr>
                <w:rFonts w:hint="eastAsia" w:ascii="宋体" w:hAnsi="宋体" w:cs="宋体"/>
                <w:kern w:val="2"/>
                <w:sz w:val="24"/>
                <w:szCs w:val="24"/>
                <w:lang w:val="en-US" w:eastAsia="zh-CN" w:bidi="ar-SA"/>
              </w:rPr>
              <w:t>组织举办</w:t>
            </w:r>
            <w:r>
              <w:rPr>
                <w:rFonts w:hint="eastAsia" w:ascii="宋体" w:hAnsi="宋体" w:eastAsia="宋体" w:cs="宋体"/>
                <w:kern w:val="2"/>
                <w:sz w:val="24"/>
                <w:szCs w:val="24"/>
                <w:lang w:val="en-US" w:eastAsia="zh-CN" w:bidi="ar-SA"/>
              </w:rPr>
              <w:t>的科创板2026年半年度芯片设计行业集体业绩说明会</w:t>
            </w:r>
            <w:r>
              <w:rPr>
                <w:rFonts w:hint="eastAsia" w:asciiTheme="minorEastAsia" w:hAnsiTheme="minorEastAsia" w:eastAsiaTheme="minorEastAsia"/>
                <w:bCs/>
                <w:iCs/>
                <w:color w:val="000000" w:themeColor="text1"/>
                <w:sz w:val="24"/>
                <w:lang w:val="en-US" w:eastAsia="zh-CN"/>
                <w14:textFill>
                  <w14:solidFill>
                    <w14:schemeClr w14:val="tx1"/>
                  </w14:solidFill>
                </w14:textFill>
              </w:rPr>
              <w:t>，在上证路演中心网络平台（http://roadshow.sseinfo.com）以网络文字互动的形式与投资者展开了互动交流。其中部分主要问题及回复如下：</w:t>
            </w:r>
          </w:p>
          <w:p w14:paraId="56EB0D32">
            <w:pPr>
              <w:spacing w:line="440" w:lineRule="exact"/>
              <w:ind w:firstLine="482" w:firstLineChars="200"/>
              <w:rPr>
                <w:rFonts w:hint="eastAsia"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Q1：请问公司2026年上半年整体经营情况如何？</w:t>
            </w:r>
          </w:p>
          <w:p w14:paraId="7D57461F">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在2026年上半年，公司整体经营表现出强劲的增长动能与成长韧性。公司实现营业收入4.32亿元，同比增长93.31%。其中，第二季度单季实现营业收入2.66亿元，同比增长104.69%，单季度经营增速进一步攀升。截至目前，公司已实现连续五个季度营收环比增长、连续两个季度营收同比增长，产品市场竞争力与全域市场拓展能力稳步提升，增长韧性持续凸显。在利润端，公司归属于上市公司股东的净利润同比显著改善，亏损大幅收窄了47.70%。</w:t>
            </w:r>
          </w:p>
          <w:p w14:paraId="391C1C8D">
            <w:pPr>
              <w:spacing w:line="440" w:lineRule="exact"/>
              <w:ind w:firstLine="482" w:firstLineChars="200"/>
              <w:rPr>
                <w:rFonts w:hint="eastAsia"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Q2：上半年公司营收大涨且实现连续环比增长，核心因素是什么?</w:t>
            </w:r>
          </w:p>
          <w:p w14:paraId="5606BC43">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A：2026年上半年，公司把握下游市场技术迭代与国产替代深化的行业机遇，推动各业务板块实现全域增长，整体业务布局更趋均衡与多元。增长核心因素可归结为三点：</w:t>
            </w:r>
          </w:p>
          <w:p w14:paraId="1814564F">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一是在传统市场稳住基本盘，网络通信、工业控制领域需求持续回暖，新品规模化放量；二是在新兴赛道实现高增长，数据中心受益于AI基础设施需求爆发，收入倍数级增长，已经导入多家头部企业，发货突破数百万片；汽车电子、新能源等新市场同步放量。三是中高端产品占比持续优化，新产品在数据中心、AI服务器、汽车电子等核心领域批量落地，带动营收质量持续改善。上述多重因素叠加，驱动了公司上半年营收接近翻倍的增长。</w:t>
            </w:r>
          </w:p>
          <w:p w14:paraId="28F7F6AB">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随着产能逐步释放、中高端产品导入加速及新市场拓展持续深入，公司整体经营质量与核心竞争力实现稳步提升，为后续发展奠定更为坚实的基础。</w:t>
            </w:r>
          </w:p>
          <w:p w14:paraId="3E9554DC">
            <w:pPr>
              <w:spacing w:line="440" w:lineRule="exact"/>
              <w:ind w:firstLine="482" w:firstLineChars="200"/>
              <w:rPr>
                <w:rFonts w:hint="eastAsia"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Q3：上半年公司研发投入情况如何？市场担心投入产出效率。管理层如何回应？</w:t>
            </w:r>
          </w:p>
          <w:p w14:paraId="184F907A">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公司研发投入始终聚焦于核心技术的自主可控与产品的持续迭代升级，研发投入的转化已在经营数据中逐步得到验证。2026年上半年研发费用率为38.12%，较2025年中报的77.84%显著下降，主要原因是营收规模的大幅增长。随着营收规模的持续扩大，研发费用率将逐步回归合理水平。同时，公司已迈入以先进工艺为驱动的FPGA企业新阶段，中高端产品矩阵加速放量，高价值产品已成为公司增长新引擎。公司12.62亿元定增项目将重点投向“先进工艺平台超大规模FPGA芯片研发项目”及“平面工艺平台FPGA&amp;FPSoC芯片升级和产业化项目”，瞄准下一代无线通信、数据中心等高端场景。</w:t>
            </w:r>
          </w:p>
          <w:p w14:paraId="67F086AF">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FPGA是典型的技术密集型行业，从研发投入到成果转化需要一定周期。公司坚持高研发投入是为了筑牢长期竞争壁垒，提升核心竞争力。公司管理层对未来发展充满信心，将持续聚焦核心业务，以良好的业绩回报广大投资者的信任与支持。</w:t>
            </w:r>
          </w:p>
          <w:p w14:paraId="5588D5DC">
            <w:pPr>
              <w:spacing w:line="440" w:lineRule="exact"/>
              <w:ind w:firstLine="482" w:firstLineChars="200"/>
              <w:rPr>
                <w:rFonts w:hint="default"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Q4：</w:t>
            </w:r>
            <w:r>
              <w:rPr>
                <w:rFonts w:hint="default" w:asciiTheme="minorEastAsia" w:hAnsiTheme="minorEastAsia" w:eastAsiaTheme="minorEastAsia"/>
                <w:b/>
                <w:bCs w:val="0"/>
                <w:iCs/>
                <w:color w:val="000000" w:themeColor="text1"/>
                <w:sz w:val="24"/>
                <w:lang w:val="en-US" w:eastAsia="zh-CN"/>
                <w14:textFill>
                  <w14:solidFill>
                    <w14:schemeClr w14:val="tx1"/>
                  </w14:solidFill>
                </w14:textFill>
              </w:rPr>
              <w:t>人形机器人、具身智能场景对FPGA低延时实时控制需求旺盛，公司Phoenix、ELF系列芯片已经在部分机器人客户落地。请问目前在人形机器人领域，产品主要应用在哪些环节？现阶段客户验证和导入进度如何，什么时候有望形成规模化的收入贡献？</w:t>
            </w:r>
          </w:p>
          <w:p w14:paraId="1507B55A">
            <w:pPr>
              <w:spacing w:line="440" w:lineRule="exact"/>
              <w:ind w:firstLine="480" w:firstLineChars="200"/>
              <w:rPr>
                <w:rFonts w:hint="default"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w:t>
            </w:r>
            <w:r>
              <w:rPr>
                <w:rFonts w:hint="default" w:asciiTheme="minorEastAsia" w:hAnsiTheme="minorEastAsia" w:eastAsiaTheme="minorEastAsia"/>
                <w:b w:val="0"/>
                <w:bCs/>
                <w:iCs/>
                <w:color w:val="000000" w:themeColor="text1"/>
                <w:sz w:val="24"/>
                <w:lang w:val="en-US" w:eastAsia="zh-CN"/>
                <w14:textFill>
                  <w14:solidFill>
                    <w14:schemeClr w14:val="tx1"/>
                  </w14:solidFill>
                </w14:textFill>
              </w:rPr>
              <w:t>公司Phoenix、ELF、Dragon系列的部分芯片产品已在人形机器人等领域获得应用，主要应用于运动控制、智能感知等功能模块，相关产品已在该领域的头部客户项目中进行产品导入和验证。谢谢关注！</w:t>
            </w:r>
          </w:p>
          <w:p w14:paraId="162E56CF">
            <w:pPr>
              <w:spacing w:line="440" w:lineRule="exact"/>
              <w:ind w:firstLine="482" w:firstLineChars="200"/>
              <w:rPr>
                <w:rFonts w:hint="default"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Q5：20</w:t>
            </w:r>
            <w:r>
              <w:rPr>
                <w:rFonts w:hint="default" w:asciiTheme="minorEastAsia" w:hAnsiTheme="minorEastAsia" w:eastAsiaTheme="minorEastAsia"/>
                <w:b/>
                <w:bCs w:val="0"/>
                <w:iCs/>
                <w:color w:val="000000" w:themeColor="text1"/>
                <w:sz w:val="24"/>
                <w:lang w:val="en-US" w:eastAsia="zh-CN"/>
                <w14:textFill>
                  <w14:solidFill>
                    <w14:schemeClr w14:val="tx1"/>
                  </w14:solidFill>
                </w14:textFill>
              </w:rPr>
              <w:t>26年上半年营收增长较快，为什么毛利率反而</w:t>
            </w: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有所</w:t>
            </w:r>
            <w:r>
              <w:rPr>
                <w:rFonts w:hint="default" w:asciiTheme="minorEastAsia" w:hAnsiTheme="minorEastAsia" w:eastAsiaTheme="minorEastAsia"/>
                <w:b/>
                <w:bCs w:val="0"/>
                <w:iCs/>
                <w:color w:val="000000" w:themeColor="text1"/>
                <w:sz w:val="24"/>
                <w:lang w:val="en-US" w:eastAsia="zh-CN"/>
                <w14:textFill>
                  <w14:solidFill>
                    <w14:schemeClr w14:val="tx1"/>
                  </w14:solidFill>
                </w14:textFill>
              </w:rPr>
              <w:t>下降？</w:t>
            </w:r>
          </w:p>
          <w:p w14:paraId="635E1295">
            <w:pPr>
              <w:spacing w:line="440" w:lineRule="exact"/>
              <w:ind w:firstLine="480" w:firstLineChars="200"/>
              <w:rPr>
                <w:rFonts w:hint="default"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w:t>
            </w:r>
            <w:r>
              <w:rPr>
                <w:rFonts w:hint="default" w:asciiTheme="minorEastAsia" w:hAnsiTheme="minorEastAsia" w:eastAsiaTheme="minorEastAsia"/>
                <w:b w:val="0"/>
                <w:bCs/>
                <w:iCs/>
                <w:color w:val="000000" w:themeColor="text1"/>
                <w:sz w:val="24"/>
                <w:lang w:val="en-US" w:eastAsia="zh-CN"/>
                <w14:textFill>
                  <w14:solidFill>
                    <w14:schemeClr w14:val="tx1"/>
                  </w14:solidFill>
                </w14:textFill>
              </w:rPr>
              <w:t>2026年上半年，公司综合毛利率约为35%。公司主要产品的毛利率水平主要受下游市场需求、产品售价、产品结构、原材料及封装测试成本等多种因素的综合影响。</w:t>
            </w:r>
          </w:p>
          <w:p w14:paraId="6BC209B9">
            <w:pPr>
              <w:spacing w:line="440" w:lineRule="exact"/>
              <w:ind w:firstLine="480" w:firstLineChars="200"/>
              <w:rPr>
                <w:rFonts w:hint="default" w:asciiTheme="minorEastAsia" w:hAnsiTheme="minorEastAsia" w:eastAsiaTheme="minorEastAsia"/>
                <w:b w:val="0"/>
                <w:bCs/>
                <w:iCs/>
                <w:color w:val="000000" w:themeColor="text1"/>
                <w:sz w:val="24"/>
                <w:lang w:val="en-US" w:eastAsia="zh-CN"/>
                <w14:textFill>
                  <w14:solidFill>
                    <w14:schemeClr w14:val="tx1"/>
                  </w14:solidFill>
                </w14:textFill>
              </w:rPr>
            </w:pPr>
            <w:r>
              <w:rPr>
                <w:rFonts w:hint="default" w:asciiTheme="minorEastAsia" w:hAnsiTheme="minorEastAsia" w:eastAsiaTheme="minorEastAsia"/>
                <w:b w:val="0"/>
                <w:bCs/>
                <w:iCs/>
                <w:color w:val="000000" w:themeColor="text1"/>
                <w:sz w:val="24"/>
                <w:lang w:val="en-US" w:eastAsia="zh-CN"/>
                <w14:textFill>
                  <w14:solidFill>
                    <w14:schemeClr w14:val="tx1"/>
                  </w14:solidFill>
                </w14:textFill>
              </w:rPr>
              <w:t>一方面，由于收入结构变化，上半年高毛利的技术服务类收入占比下降导致整体毛利率有所下滑；另一方面，上游供应链涨价对公司采购成本形成一定压力，FPGA产品向客户端的价格传导具有一定的滞后性，成本端的压力在短期内对毛利率产生一定影响。</w:t>
            </w:r>
          </w:p>
          <w:p w14:paraId="5DDC7CB5">
            <w:pPr>
              <w:spacing w:line="440" w:lineRule="exact"/>
              <w:ind w:firstLine="480" w:firstLineChars="200"/>
              <w:rPr>
                <w:rFonts w:hint="default" w:asciiTheme="minorEastAsia" w:hAnsiTheme="minorEastAsia" w:eastAsiaTheme="minorEastAsia"/>
                <w:b w:val="0"/>
                <w:bCs/>
                <w:iCs/>
                <w:color w:val="000000" w:themeColor="text1"/>
                <w:sz w:val="24"/>
                <w:lang w:val="en-US" w:eastAsia="zh-CN"/>
                <w14:textFill>
                  <w14:solidFill>
                    <w14:schemeClr w14:val="tx1"/>
                  </w14:solidFill>
                </w14:textFill>
              </w:rPr>
            </w:pPr>
            <w:r>
              <w:rPr>
                <w:rFonts w:hint="default" w:asciiTheme="minorEastAsia" w:hAnsiTheme="minorEastAsia" w:eastAsiaTheme="minorEastAsia"/>
                <w:b w:val="0"/>
                <w:bCs/>
                <w:iCs/>
                <w:color w:val="000000" w:themeColor="text1"/>
                <w:sz w:val="24"/>
                <w:lang w:val="en-US" w:eastAsia="zh-CN"/>
                <w14:textFill>
                  <w14:solidFill>
                    <w14:schemeClr w14:val="tx1"/>
                  </w14:solidFill>
                </w14:textFill>
              </w:rPr>
              <w:t>展望未来，公司将持续优化产品结构，推进中高端产品放量，进一步加强供应链管理和成本费用管控，努力提高毛利率水平。</w:t>
            </w:r>
          </w:p>
          <w:p w14:paraId="10D5D3DE">
            <w:pPr>
              <w:spacing w:line="440" w:lineRule="exact"/>
              <w:ind w:firstLine="482" w:firstLineChars="200"/>
              <w:rPr>
                <w:rFonts w:hint="default"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Q6：</w:t>
            </w:r>
            <w:r>
              <w:rPr>
                <w:rFonts w:hint="default" w:asciiTheme="minorEastAsia" w:hAnsiTheme="minorEastAsia" w:eastAsiaTheme="minorEastAsia"/>
                <w:b/>
                <w:bCs w:val="0"/>
                <w:iCs/>
                <w:color w:val="000000" w:themeColor="text1"/>
                <w:sz w:val="24"/>
                <w:lang w:val="en-US" w:eastAsia="zh-CN"/>
                <w14:textFill>
                  <w14:solidFill>
                    <w14:schemeClr w14:val="tx1"/>
                  </w14:solidFill>
                </w14:textFill>
              </w:rPr>
              <w:t>当前国内半导体自主可控、国产替代是明确的产业大方向，请问管理层如何看待FPGA行业迎来的政策与产业红利？公司将通过哪些举措去把握这一轮国产替代带来的行业机遇？</w:t>
            </w:r>
            <w:bookmarkStart w:id="0" w:name="_GoBack"/>
            <w:bookmarkEnd w:id="0"/>
          </w:p>
          <w:p w14:paraId="57B9DD17">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2026年上半年，全球FPGA行业进入稳健上行周期，下游工业自动化、网络通信、电力与新能源、视频与图像处理等核心领域需求持续回暖放量，AI算力基础设施、边缘计算、智能驾驶、机器人、工业视觉、低轨卫星等新兴应用快速发展，增长动能多元充沛，预计全球FPGA市场规模长期将维持稳步增长态势。今年以来，受供应链安全诉求、海外巨头涨价、交期大幅拉长、客户降本需求和本地化支持要求等多重因素推动，国产替代进程明显加快。</w:t>
            </w:r>
          </w:p>
          <w:p w14:paraId="442D8A93">
            <w:pPr>
              <w:spacing w:line="440" w:lineRule="exact"/>
              <w:ind w:firstLine="480" w:firstLineChars="200"/>
              <w:rPr>
                <w:rFonts w:hint="eastAsia" w:asciiTheme="minorEastAsia" w:hAnsiTheme="minorEastAsia" w:eastAsiaTheme="minorEastAsia"/>
                <w:b w:val="0"/>
                <w:bCs/>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公司作为国内领先的FPGA产品供应商，在工艺平台、产品规格、车规认证、EDA工具和生态建设等方面持续投入，已形成一定的先发优势。凭借优质的产品与专业的服务，公司产品已在通信、工业、电力、新能源、医疗、音视广播、消费电子、汽车电子、数据中心等关键领域实现规模化应用。截至目前，公司已累计为超过2,000家客户提供从芯片选型、方案设计到导入量产的全流程支持，产品在各类实际应用场景中持续经受严苛验证，充分展现出优异的稳定性与可靠性，获得客户广泛认可。公司12.62亿元定增项目将重点投向“先进工艺平台超大规模FPGA芯片研发项目”及“平面工艺平台FPGA&amp;FPSoC芯片升级和产业化项目”，瞄准下一代无线通信、数据中心等高端场景。未来将持续把握下游市场技术迭代与国产替代深化的行业机遇，通过持续推进产品迭代升级、加速新品量产落地、拓展头部客户合作、完善多行业市场布局等举措，推动各业务板块实现全域增长。</w:t>
            </w:r>
          </w:p>
          <w:p w14:paraId="27A82126">
            <w:pPr>
              <w:spacing w:line="440" w:lineRule="exact"/>
              <w:ind w:firstLine="482" w:firstLineChars="200"/>
              <w:rPr>
                <w:rFonts w:hint="default"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bCs w:val="0"/>
                <w:iCs/>
                <w:color w:val="000000" w:themeColor="text1"/>
                <w:sz w:val="24"/>
                <w:lang w:val="en-US" w:eastAsia="zh-CN"/>
                <w14:textFill>
                  <w14:solidFill>
                    <w14:schemeClr w14:val="tx1"/>
                  </w14:solidFill>
                </w14:textFill>
              </w:rPr>
              <w:t>Q7：</w:t>
            </w:r>
            <w:r>
              <w:rPr>
                <w:rFonts w:hint="default" w:asciiTheme="minorEastAsia" w:hAnsiTheme="minorEastAsia" w:eastAsiaTheme="minorEastAsia"/>
                <w:b/>
                <w:bCs w:val="0"/>
                <w:iCs/>
                <w:color w:val="000000" w:themeColor="text1"/>
                <w:sz w:val="24"/>
                <w:lang w:val="en-US" w:eastAsia="zh-CN"/>
                <w14:textFill>
                  <w14:solidFill>
                    <w14:schemeClr w14:val="tx1"/>
                  </w14:solidFill>
                </w14:textFill>
              </w:rPr>
              <w:t>公司芯片产品取得了哪些研发及产业化落地进展？</w:t>
            </w:r>
          </w:p>
          <w:p w14:paraId="3B7032F1">
            <w:pPr>
              <w:spacing w:line="440" w:lineRule="exact"/>
              <w:ind w:firstLine="480" w:firstLineChars="200"/>
              <w:rPr>
                <w:rFonts w:hint="default" w:asciiTheme="minorEastAsia" w:hAnsiTheme="minorEastAsia" w:eastAsiaTheme="minorEastAsia"/>
                <w:b/>
                <w:bCs w:val="0"/>
                <w:iCs/>
                <w:color w:val="000000" w:themeColor="text1"/>
                <w:sz w:val="24"/>
                <w:lang w:val="en-US" w:eastAsia="zh-CN"/>
                <w14:textFill>
                  <w14:solidFill>
                    <w14:schemeClr w14:val="tx1"/>
                  </w14:solidFill>
                </w14:textFill>
              </w:rPr>
            </w:pPr>
            <w:r>
              <w:rPr>
                <w:rFonts w:hint="eastAsia" w:asciiTheme="minorEastAsia" w:hAnsiTheme="minorEastAsia" w:eastAsiaTheme="minorEastAsia"/>
                <w:b w:val="0"/>
                <w:bCs/>
                <w:iCs/>
                <w:color w:val="000000" w:themeColor="text1"/>
                <w:sz w:val="24"/>
                <w:lang w:val="en-US" w:eastAsia="zh-CN"/>
                <w14:textFill>
                  <w14:solidFill>
                    <w14:schemeClr w14:val="tx1"/>
                  </w14:solidFill>
                </w14:textFill>
              </w:rPr>
              <w:t>A：公司在2026年上半年持续推进芯片研发与产业化落地，进一步完善产品矩阵。推出了集成多样化硬核IP、搭载强化安全设计的新一代ELF系列核心产品，自研国产工艺车规FPGA芯片顺利量产，新产品已批量落地网络通信、数据中心、AI服务器、汽车电子等核心领域；同时，完成国产工艺高效率FPSoC芯片、高性能通用IP的研发设计，持续丰富产品型号，有效拓宽场景覆盖边界。</w:t>
            </w:r>
          </w:p>
          <w:p w14:paraId="7AEA56A6">
            <w:pPr>
              <w:spacing w:line="440" w:lineRule="exact"/>
              <w:rPr>
                <w:rFonts w:hint="eastAsia" w:asciiTheme="minorEastAsia" w:hAnsiTheme="minorEastAsia" w:eastAsiaTheme="minorEastAsia"/>
                <w:bCs/>
                <w:iCs/>
                <w:color w:val="000000" w:themeColor="text1"/>
                <w:sz w:val="24"/>
                <w:lang w:val="en-US" w:eastAsia="zh-CN"/>
                <w14:textFill>
                  <w14:solidFill>
                    <w14:schemeClr w14:val="tx1"/>
                  </w14:solidFill>
                </w14:textFill>
              </w:rPr>
            </w:pPr>
          </w:p>
          <w:p w14:paraId="6248C5AD">
            <w:pPr>
              <w:spacing w:line="440" w:lineRule="exact"/>
              <w:jc w:val="left"/>
              <w:rPr>
                <w:rFonts w:hint="eastAsia" w:asciiTheme="minorEastAsia" w:hAnsiTheme="minorEastAsia" w:eastAsiaTheme="minorEastAsia"/>
                <w:bCs/>
                <w:iCs/>
                <w:color w:val="000000" w:themeColor="text1"/>
                <w:sz w:val="24"/>
                <w14:textFill>
                  <w14:solidFill>
                    <w14:schemeClr w14:val="tx1"/>
                  </w14:solidFill>
                </w14:textFill>
              </w:rPr>
            </w:pPr>
            <w:r>
              <w:rPr>
                <w:rFonts w:hint="eastAsia" w:asciiTheme="minorEastAsia" w:hAnsiTheme="minorEastAsia" w:eastAsiaTheme="minorEastAsia"/>
                <w:bCs/>
                <w:iCs/>
                <w:color w:val="000000" w:themeColor="text1"/>
                <w:sz w:val="24"/>
                <w14:textFill>
                  <w14:solidFill>
                    <w14:schemeClr w14:val="tx1"/>
                  </w14:solidFill>
                </w14:textFill>
              </w:rPr>
              <w:t>有关本次业绩说明会的</w:t>
            </w:r>
            <w:r>
              <w:rPr>
                <w:rFonts w:hint="eastAsia"/>
                <w:sz w:val="24"/>
              </w:rPr>
              <w:t>更多</w:t>
            </w:r>
            <w:r>
              <w:rPr>
                <w:rFonts w:hint="eastAsia" w:asciiTheme="minorEastAsia" w:hAnsiTheme="minorEastAsia" w:eastAsiaTheme="minorEastAsia"/>
                <w:bCs/>
                <w:iCs/>
                <w:color w:val="000000" w:themeColor="text1"/>
                <w:sz w:val="24"/>
                <w14:textFill>
                  <w14:solidFill>
                    <w14:schemeClr w14:val="tx1"/>
                  </w14:solidFill>
                </w14:textFill>
              </w:rPr>
              <w:t>详情请见：</w:t>
            </w:r>
          </w:p>
          <w:p w14:paraId="7C170829">
            <w:pPr>
              <w:spacing w:line="440" w:lineRule="exact"/>
              <w:jc w:val="left"/>
              <w:rPr>
                <w:rFonts w:hint="eastAsia" w:asciiTheme="minorEastAsia" w:hAnsiTheme="minorEastAsia" w:eastAsiaTheme="minorEastAsia"/>
                <w:bCs/>
                <w:iCs/>
                <w:color w:val="000000" w:themeColor="text1"/>
                <w:sz w:val="24"/>
                <w14:textFill>
                  <w14:solidFill>
                    <w14:schemeClr w14:val="tx1"/>
                  </w14:solidFill>
                </w14:textFill>
              </w:rPr>
            </w:pPr>
            <w:r>
              <w:rPr>
                <w:rFonts w:hint="eastAsia" w:asciiTheme="minorEastAsia" w:hAnsiTheme="minorEastAsia" w:eastAsiaTheme="minorEastAsia"/>
                <w:bCs/>
                <w:iCs/>
                <w:color w:val="000000" w:themeColor="text1"/>
                <w:sz w:val="24"/>
                <w14:textFill>
                  <w14:solidFill>
                    <w14:schemeClr w14:val="tx1"/>
                  </w14:solidFill>
                </w14:textFill>
              </w:rPr>
              <w:t>https://roadshow.sseinfo.com/singleCompany/40764/231077</w:t>
            </w:r>
          </w:p>
        </w:tc>
      </w:tr>
      <w:tr w14:paraId="2A235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5" w:type="dxa"/>
            <w:vAlign w:val="center"/>
          </w:tcPr>
          <w:p w14:paraId="6317E294">
            <w:pPr>
              <w:spacing w:line="480" w:lineRule="atLeast"/>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附件清单（如有）</w:t>
            </w:r>
          </w:p>
        </w:tc>
        <w:tc>
          <w:tcPr>
            <w:tcW w:w="6940" w:type="dxa"/>
          </w:tcPr>
          <w:p w14:paraId="4BC9B4EB">
            <w:pPr>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无</w:t>
            </w:r>
          </w:p>
        </w:tc>
      </w:tr>
      <w:tr w14:paraId="77898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985" w:type="dxa"/>
            <w:vAlign w:val="center"/>
          </w:tcPr>
          <w:p w14:paraId="62E16338">
            <w:pPr>
              <w:spacing w:line="480" w:lineRule="atLeast"/>
              <w:rPr>
                <w:rFonts w:asciiTheme="minorEastAsia" w:hAnsiTheme="minorEastAsia" w:eastAsiaTheme="minorEastAsia"/>
                <w:b/>
                <w:bCs/>
                <w:iCs/>
                <w:color w:val="000000"/>
                <w:sz w:val="24"/>
              </w:rPr>
            </w:pPr>
            <w:r>
              <w:rPr>
                <w:rFonts w:hint="eastAsia" w:asciiTheme="minorEastAsia" w:hAnsiTheme="minorEastAsia" w:eastAsiaTheme="minorEastAsia"/>
                <w:b/>
                <w:bCs/>
                <w:iCs/>
                <w:color w:val="000000"/>
                <w:sz w:val="24"/>
              </w:rPr>
              <w:t>日期</w:t>
            </w:r>
          </w:p>
        </w:tc>
        <w:tc>
          <w:tcPr>
            <w:tcW w:w="6940" w:type="dxa"/>
          </w:tcPr>
          <w:p w14:paraId="6D3C8528">
            <w:pPr>
              <w:spacing w:line="480" w:lineRule="atLeast"/>
              <w:rPr>
                <w:rFonts w:asciiTheme="minorEastAsia" w:hAnsiTheme="minorEastAsia" w:eastAsiaTheme="minorEastAsia"/>
                <w:bCs/>
                <w:iCs/>
                <w:color w:val="000000"/>
                <w:sz w:val="24"/>
              </w:rPr>
            </w:pPr>
            <w:r>
              <w:rPr>
                <w:rFonts w:hint="eastAsia" w:asciiTheme="minorEastAsia" w:hAnsiTheme="minorEastAsia" w:eastAsiaTheme="minorEastAsia"/>
                <w:bCs/>
                <w:iCs/>
                <w:color w:val="000000"/>
                <w:sz w:val="24"/>
              </w:rPr>
              <w:t>2</w:t>
            </w:r>
            <w:r>
              <w:rPr>
                <w:rFonts w:asciiTheme="minorEastAsia" w:hAnsiTheme="minorEastAsia" w:eastAsiaTheme="minorEastAsia"/>
                <w:bCs/>
                <w:iCs/>
                <w:color w:val="000000"/>
                <w:sz w:val="24"/>
              </w:rPr>
              <w:t>02</w:t>
            </w:r>
            <w:r>
              <w:rPr>
                <w:rFonts w:hint="eastAsia" w:asciiTheme="minorEastAsia" w:hAnsiTheme="minorEastAsia" w:eastAsiaTheme="minorEastAsia"/>
                <w:bCs/>
                <w:iCs/>
                <w:color w:val="000000"/>
                <w:sz w:val="24"/>
                <w:lang w:val="en-US" w:eastAsia="zh-CN"/>
              </w:rPr>
              <w:t>6</w:t>
            </w:r>
            <w:r>
              <w:rPr>
                <w:rFonts w:hint="eastAsia" w:asciiTheme="minorEastAsia" w:hAnsiTheme="minorEastAsia" w:eastAsiaTheme="minorEastAsia"/>
                <w:bCs/>
                <w:iCs/>
                <w:color w:val="000000"/>
                <w:sz w:val="24"/>
              </w:rPr>
              <w:t>年</w:t>
            </w:r>
            <w:r>
              <w:rPr>
                <w:rFonts w:hint="eastAsia" w:asciiTheme="minorEastAsia" w:hAnsiTheme="minorEastAsia" w:eastAsiaTheme="minorEastAsia"/>
                <w:bCs/>
                <w:iCs/>
                <w:color w:val="000000"/>
                <w:sz w:val="24"/>
                <w:lang w:val="en-US" w:eastAsia="zh-CN"/>
              </w:rPr>
              <w:t>9</w:t>
            </w:r>
            <w:r>
              <w:rPr>
                <w:rFonts w:hint="eastAsia" w:asciiTheme="minorEastAsia" w:hAnsiTheme="minorEastAsia" w:eastAsiaTheme="minorEastAsia"/>
                <w:bCs/>
                <w:iCs/>
                <w:color w:val="000000"/>
                <w:sz w:val="24"/>
              </w:rPr>
              <w:t>月</w:t>
            </w:r>
            <w:r>
              <w:rPr>
                <w:rFonts w:hint="eastAsia" w:asciiTheme="minorEastAsia" w:hAnsiTheme="minorEastAsia" w:eastAsiaTheme="minorEastAsia"/>
                <w:bCs/>
                <w:iCs/>
                <w:color w:val="000000"/>
                <w:sz w:val="24"/>
                <w:lang w:val="en-US" w:eastAsia="zh-CN"/>
              </w:rPr>
              <w:t>8</w:t>
            </w:r>
            <w:r>
              <w:rPr>
                <w:rFonts w:hint="eastAsia" w:asciiTheme="minorEastAsia" w:hAnsiTheme="minorEastAsia" w:eastAsiaTheme="minorEastAsia"/>
                <w:bCs/>
                <w:iCs/>
                <w:color w:val="000000"/>
                <w:sz w:val="24"/>
              </w:rPr>
              <w:t>日</w:t>
            </w:r>
          </w:p>
        </w:tc>
      </w:tr>
    </w:tbl>
    <w:p w14:paraId="3CB368FC">
      <w:pPr>
        <w:rPr>
          <w:rFonts w:asciiTheme="minorEastAsia" w:hAnsiTheme="minorEastAsia" w:eastAsiaTheme="minorEastAsia"/>
        </w:rPr>
      </w:pPr>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0CA8E">
    <w:pPr>
      <w:pStyle w:val="4"/>
      <w:framePr w:wrap="around" w:vAnchor="text" w:hAnchor="margin" w:xAlign="center" w:y="1"/>
      <w:rPr>
        <w:rStyle w:val="8"/>
      </w:rPr>
    </w:pPr>
    <w:r>
      <w:fldChar w:fldCharType="begin"/>
    </w:r>
    <w:r>
      <w:rPr>
        <w:rStyle w:val="8"/>
      </w:rPr>
      <w:instrText xml:space="preserve">PAGE  </w:instrText>
    </w:r>
    <w:r>
      <w:fldChar w:fldCharType="separate"/>
    </w:r>
    <w:r>
      <w:rPr>
        <w:rStyle w:val="8"/>
      </w:rPr>
      <w:t>3</w:t>
    </w:r>
    <w:r>
      <w:fldChar w:fldCharType="end"/>
    </w:r>
  </w:p>
  <w:p w14:paraId="38B8694D">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F1102">
    <w:pPr>
      <w:pStyle w:val="4"/>
      <w:framePr w:wrap="around" w:vAnchor="text" w:hAnchor="margin" w:xAlign="center" w:y="1"/>
      <w:rPr>
        <w:rStyle w:val="8"/>
      </w:rPr>
    </w:pPr>
    <w:r>
      <w:fldChar w:fldCharType="begin"/>
    </w:r>
    <w:r>
      <w:rPr>
        <w:rStyle w:val="8"/>
      </w:rPr>
      <w:instrText xml:space="preserve">PAGE  </w:instrText>
    </w:r>
    <w:r>
      <w:fldChar w:fldCharType="end"/>
    </w:r>
  </w:p>
  <w:p w14:paraId="0AFE86A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Q3ZDRkNDAzYThiMjNjNjg0ZWMwMjhmZWNkNzNhNTEifQ=="/>
  </w:docVars>
  <w:rsids>
    <w:rsidRoot w:val="001B4B80"/>
    <w:rsid w:val="00005B18"/>
    <w:rsid w:val="000062BD"/>
    <w:rsid w:val="000557A1"/>
    <w:rsid w:val="00077951"/>
    <w:rsid w:val="0008744D"/>
    <w:rsid w:val="00095948"/>
    <w:rsid w:val="000A174A"/>
    <w:rsid w:val="000B1943"/>
    <w:rsid w:val="000C73FB"/>
    <w:rsid w:val="000E0D06"/>
    <w:rsid w:val="000F58F5"/>
    <w:rsid w:val="00107B4B"/>
    <w:rsid w:val="00114AFC"/>
    <w:rsid w:val="00116B35"/>
    <w:rsid w:val="00131928"/>
    <w:rsid w:val="0013413F"/>
    <w:rsid w:val="00134C9D"/>
    <w:rsid w:val="00140FA0"/>
    <w:rsid w:val="001430D6"/>
    <w:rsid w:val="00167354"/>
    <w:rsid w:val="001832B0"/>
    <w:rsid w:val="00185B23"/>
    <w:rsid w:val="001A7497"/>
    <w:rsid w:val="001B154C"/>
    <w:rsid w:val="001B4B80"/>
    <w:rsid w:val="001C299E"/>
    <w:rsid w:val="001C6BD4"/>
    <w:rsid w:val="001D4138"/>
    <w:rsid w:val="001D4EBB"/>
    <w:rsid w:val="001E4216"/>
    <w:rsid w:val="001F586A"/>
    <w:rsid w:val="00205E01"/>
    <w:rsid w:val="00206C54"/>
    <w:rsid w:val="0021117B"/>
    <w:rsid w:val="0021339D"/>
    <w:rsid w:val="0022274F"/>
    <w:rsid w:val="00297F92"/>
    <w:rsid w:val="002A40B2"/>
    <w:rsid w:val="002A4634"/>
    <w:rsid w:val="002B5592"/>
    <w:rsid w:val="002C45E3"/>
    <w:rsid w:val="002D7ED8"/>
    <w:rsid w:val="002F5722"/>
    <w:rsid w:val="00305F24"/>
    <w:rsid w:val="00307DB8"/>
    <w:rsid w:val="00316E17"/>
    <w:rsid w:val="00340596"/>
    <w:rsid w:val="003522D5"/>
    <w:rsid w:val="00382DEE"/>
    <w:rsid w:val="003D5A99"/>
    <w:rsid w:val="0040498E"/>
    <w:rsid w:val="004172E0"/>
    <w:rsid w:val="00437332"/>
    <w:rsid w:val="00487072"/>
    <w:rsid w:val="004955B7"/>
    <w:rsid w:val="004E068A"/>
    <w:rsid w:val="004E2B24"/>
    <w:rsid w:val="005272DE"/>
    <w:rsid w:val="00542CBA"/>
    <w:rsid w:val="0055137C"/>
    <w:rsid w:val="005534E4"/>
    <w:rsid w:val="00564AD4"/>
    <w:rsid w:val="00572303"/>
    <w:rsid w:val="0057541A"/>
    <w:rsid w:val="005C5B67"/>
    <w:rsid w:val="005C6828"/>
    <w:rsid w:val="005D5923"/>
    <w:rsid w:val="00600757"/>
    <w:rsid w:val="00620DA6"/>
    <w:rsid w:val="00626F24"/>
    <w:rsid w:val="006418E5"/>
    <w:rsid w:val="00647BAE"/>
    <w:rsid w:val="00684696"/>
    <w:rsid w:val="00694627"/>
    <w:rsid w:val="006C2702"/>
    <w:rsid w:val="006C4064"/>
    <w:rsid w:val="006D40CB"/>
    <w:rsid w:val="006E11D4"/>
    <w:rsid w:val="006F0437"/>
    <w:rsid w:val="006F32A2"/>
    <w:rsid w:val="007619B1"/>
    <w:rsid w:val="00761B72"/>
    <w:rsid w:val="007657D4"/>
    <w:rsid w:val="007958EB"/>
    <w:rsid w:val="007C57C0"/>
    <w:rsid w:val="007C7B43"/>
    <w:rsid w:val="00820AA1"/>
    <w:rsid w:val="008212C8"/>
    <w:rsid w:val="00821CB9"/>
    <w:rsid w:val="00822680"/>
    <w:rsid w:val="00845D6C"/>
    <w:rsid w:val="00865F0D"/>
    <w:rsid w:val="008B78B5"/>
    <w:rsid w:val="008C2A9F"/>
    <w:rsid w:val="008C4DA7"/>
    <w:rsid w:val="008E1FFD"/>
    <w:rsid w:val="008E2566"/>
    <w:rsid w:val="008E3C84"/>
    <w:rsid w:val="008F2321"/>
    <w:rsid w:val="009421F0"/>
    <w:rsid w:val="00956518"/>
    <w:rsid w:val="0095680F"/>
    <w:rsid w:val="00964247"/>
    <w:rsid w:val="00991A6E"/>
    <w:rsid w:val="009928A9"/>
    <w:rsid w:val="00994191"/>
    <w:rsid w:val="009975C4"/>
    <w:rsid w:val="009A2924"/>
    <w:rsid w:val="009E125C"/>
    <w:rsid w:val="00A0184C"/>
    <w:rsid w:val="00A21C46"/>
    <w:rsid w:val="00A95725"/>
    <w:rsid w:val="00AB15FD"/>
    <w:rsid w:val="00AD78E6"/>
    <w:rsid w:val="00AF11F7"/>
    <w:rsid w:val="00AF1910"/>
    <w:rsid w:val="00B346F8"/>
    <w:rsid w:val="00B43F12"/>
    <w:rsid w:val="00B507A2"/>
    <w:rsid w:val="00B55A7E"/>
    <w:rsid w:val="00B605E0"/>
    <w:rsid w:val="00B62A3A"/>
    <w:rsid w:val="00B70405"/>
    <w:rsid w:val="00B74412"/>
    <w:rsid w:val="00B9238F"/>
    <w:rsid w:val="00B97CED"/>
    <w:rsid w:val="00BA246D"/>
    <w:rsid w:val="00BB09A6"/>
    <w:rsid w:val="00BE14E1"/>
    <w:rsid w:val="00BE4171"/>
    <w:rsid w:val="00C0257E"/>
    <w:rsid w:val="00C067D9"/>
    <w:rsid w:val="00C12530"/>
    <w:rsid w:val="00C20BD1"/>
    <w:rsid w:val="00C77640"/>
    <w:rsid w:val="00C821F9"/>
    <w:rsid w:val="00C97762"/>
    <w:rsid w:val="00CC3948"/>
    <w:rsid w:val="00CE30E8"/>
    <w:rsid w:val="00D1052B"/>
    <w:rsid w:val="00D43DDE"/>
    <w:rsid w:val="00D6774C"/>
    <w:rsid w:val="00D92149"/>
    <w:rsid w:val="00DA6E4D"/>
    <w:rsid w:val="00DA6EA7"/>
    <w:rsid w:val="00DC19CB"/>
    <w:rsid w:val="00DE1A6F"/>
    <w:rsid w:val="00DE38A3"/>
    <w:rsid w:val="00E0039C"/>
    <w:rsid w:val="00E14F93"/>
    <w:rsid w:val="00E26254"/>
    <w:rsid w:val="00E5768C"/>
    <w:rsid w:val="00E7186A"/>
    <w:rsid w:val="00E808F7"/>
    <w:rsid w:val="00E902CB"/>
    <w:rsid w:val="00E93B3D"/>
    <w:rsid w:val="00ED2548"/>
    <w:rsid w:val="00ED580C"/>
    <w:rsid w:val="00EE076D"/>
    <w:rsid w:val="00EE3C7C"/>
    <w:rsid w:val="00EE4F50"/>
    <w:rsid w:val="00EE7C38"/>
    <w:rsid w:val="00F15A64"/>
    <w:rsid w:val="00F22B51"/>
    <w:rsid w:val="00F25AB4"/>
    <w:rsid w:val="00F42187"/>
    <w:rsid w:val="00F4652D"/>
    <w:rsid w:val="00F5016E"/>
    <w:rsid w:val="00F609F5"/>
    <w:rsid w:val="00FA1EE8"/>
    <w:rsid w:val="00FA7FB0"/>
    <w:rsid w:val="00FB0600"/>
    <w:rsid w:val="00FD1CB8"/>
    <w:rsid w:val="00FF5504"/>
    <w:rsid w:val="01C35FB4"/>
    <w:rsid w:val="023D293E"/>
    <w:rsid w:val="02441809"/>
    <w:rsid w:val="02551A35"/>
    <w:rsid w:val="025D08EA"/>
    <w:rsid w:val="03977E2B"/>
    <w:rsid w:val="03C2134C"/>
    <w:rsid w:val="044004C3"/>
    <w:rsid w:val="04AE18D1"/>
    <w:rsid w:val="05235E1B"/>
    <w:rsid w:val="05AD1B88"/>
    <w:rsid w:val="05E76E48"/>
    <w:rsid w:val="06D118A6"/>
    <w:rsid w:val="06DF0467"/>
    <w:rsid w:val="06E204F3"/>
    <w:rsid w:val="079F3753"/>
    <w:rsid w:val="082D3A84"/>
    <w:rsid w:val="08F8136C"/>
    <w:rsid w:val="09FB7366"/>
    <w:rsid w:val="0B6158EF"/>
    <w:rsid w:val="0B9730BE"/>
    <w:rsid w:val="0C6805B7"/>
    <w:rsid w:val="0C886D52"/>
    <w:rsid w:val="0D0E73B0"/>
    <w:rsid w:val="0DFF319D"/>
    <w:rsid w:val="0E9B1118"/>
    <w:rsid w:val="102E38C6"/>
    <w:rsid w:val="10545A22"/>
    <w:rsid w:val="1086689E"/>
    <w:rsid w:val="11390774"/>
    <w:rsid w:val="11421D1E"/>
    <w:rsid w:val="122B27B2"/>
    <w:rsid w:val="130A23C8"/>
    <w:rsid w:val="13491142"/>
    <w:rsid w:val="134E6759"/>
    <w:rsid w:val="13C7650B"/>
    <w:rsid w:val="1433594E"/>
    <w:rsid w:val="143A6CDD"/>
    <w:rsid w:val="1571672E"/>
    <w:rsid w:val="15891CCA"/>
    <w:rsid w:val="165878EE"/>
    <w:rsid w:val="17FE5568"/>
    <w:rsid w:val="186662F2"/>
    <w:rsid w:val="18D019BE"/>
    <w:rsid w:val="18FF04F5"/>
    <w:rsid w:val="198C3D31"/>
    <w:rsid w:val="1A037B71"/>
    <w:rsid w:val="1A321CBF"/>
    <w:rsid w:val="1ADD6614"/>
    <w:rsid w:val="1B32070E"/>
    <w:rsid w:val="1B46240B"/>
    <w:rsid w:val="1C654B13"/>
    <w:rsid w:val="1C784846"/>
    <w:rsid w:val="1CEE2D5A"/>
    <w:rsid w:val="1D3D12D6"/>
    <w:rsid w:val="1EC51899"/>
    <w:rsid w:val="1F5C21FD"/>
    <w:rsid w:val="20670E5A"/>
    <w:rsid w:val="20745325"/>
    <w:rsid w:val="21425423"/>
    <w:rsid w:val="21562C7C"/>
    <w:rsid w:val="21821CC3"/>
    <w:rsid w:val="21E85FCA"/>
    <w:rsid w:val="242833B5"/>
    <w:rsid w:val="255461CE"/>
    <w:rsid w:val="26026EB4"/>
    <w:rsid w:val="26DE799C"/>
    <w:rsid w:val="26F471BF"/>
    <w:rsid w:val="270A0791"/>
    <w:rsid w:val="27E64D5A"/>
    <w:rsid w:val="284F17E9"/>
    <w:rsid w:val="28812CD5"/>
    <w:rsid w:val="29037B8D"/>
    <w:rsid w:val="299E3412"/>
    <w:rsid w:val="29D15596"/>
    <w:rsid w:val="2B8723B0"/>
    <w:rsid w:val="2CD05FD9"/>
    <w:rsid w:val="2D0A14EA"/>
    <w:rsid w:val="2D524C40"/>
    <w:rsid w:val="2DF31F7F"/>
    <w:rsid w:val="2F6824F8"/>
    <w:rsid w:val="2F8512FC"/>
    <w:rsid w:val="32A96648"/>
    <w:rsid w:val="3344327C"/>
    <w:rsid w:val="33FC5905"/>
    <w:rsid w:val="34735BC7"/>
    <w:rsid w:val="34F12F90"/>
    <w:rsid w:val="36D3264D"/>
    <w:rsid w:val="38845D72"/>
    <w:rsid w:val="38C05153"/>
    <w:rsid w:val="38C8225A"/>
    <w:rsid w:val="38E56968"/>
    <w:rsid w:val="398E5251"/>
    <w:rsid w:val="3B0F23C2"/>
    <w:rsid w:val="3B133C60"/>
    <w:rsid w:val="3CA628B2"/>
    <w:rsid w:val="3EB07A18"/>
    <w:rsid w:val="3F06543D"/>
    <w:rsid w:val="40E045E4"/>
    <w:rsid w:val="416074D3"/>
    <w:rsid w:val="41D41C6F"/>
    <w:rsid w:val="41F000EB"/>
    <w:rsid w:val="434B7D0F"/>
    <w:rsid w:val="43D10F1C"/>
    <w:rsid w:val="4487121B"/>
    <w:rsid w:val="44F00B6E"/>
    <w:rsid w:val="44FD328B"/>
    <w:rsid w:val="451707F1"/>
    <w:rsid w:val="45321187"/>
    <w:rsid w:val="45611A6C"/>
    <w:rsid w:val="476F0470"/>
    <w:rsid w:val="47857C94"/>
    <w:rsid w:val="49470F79"/>
    <w:rsid w:val="494F67AB"/>
    <w:rsid w:val="49D92519"/>
    <w:rsid w:val="4B022328"/>
    <w:rsid w:val="4BC02197"/>
    <w:rsid w:val="4BC30D8B"/>
    <w:rsid w:val="4BD50ABE"/>
    <w:rsid w:val="4BD9235C"/>
    <w:rsid w:val="4CCC3C6F"/>
    <w:rsid w:val="4CD945DE"/>
    <w:rsid w:val="4D7367E0"/>
    <w:rsid w:val="4D956757"/>
    <w:rsid w:val="4DD4267A"/>
    <w:rsid w:val="4E962786"/>
    <w:rsid w:val="4FA7451F"/>
    <w:rsid w:val="50AC408F"/>
    <w:rsid w:val="515F3303"/>
    <w:rsid w:val="51624BA2"/>
    <w:rsid w:val="519E380E"/>
    <w:rsid w:val="51C63383"/>
    <w:rsid w:val="52043EAB"/>
    <w:rsid w:val="53BA0CC5"/>
    <w:rsid w:val="53C9715A"/>
    <w:rsid w:val="54BE6593"/>
    <w:rsid w:val="54D47B64"/>
    <w:rsid w:val="559A7D12"/>
    <w:rsid w:val="55B41744"/>
    <w:rsid w:val="57364B06"/>
    <w:rsid w:val="57B36157"/>
    <w:rsid w:val="58136BF6"/>
    <w:rsid w:val="58346B6C"/>
    <w:rsid w:val="5A906E54"/>
    <w:rsid w:val="5B745BFD"/>
    <w:rsid w:val="5BA5225B"/>
    <w:rsid w:val="5BB21D9A"/>
    <w:rsid w:val="5BB95D06"/>
    <w:rsid w:val="5C966047"/>
    <w:rsid w:val="5CBA3AE4"/>
    <w:rsid w:val="5D1D22C5"/>
    <w:rsid w:val="5D9500AD"/>
    <w:rsid w:val="5DC50992"/>
    <w:rsid w:val="5DDD2180"/>
    <w:rsid w:val="5DE51034"/>
    <w:rsid w:val="5FDA449D"/>
    <w:rsid w:val="60040B99"/>
    <w:rsid w:val="60732927"/>
    <w:rsid w:val="608C39E9"/>
    <w:rsid w:val="60AC5E39"/>
    <w:rsid w:val="613B5D90"/>
    <w:rsid w:val="61AC3499"/>
    <w:rsid w:val="61BA6334"/>
    <w:rsid w:val="61F07FA8"/>
    <w:rsid w:val="62175534"/>
    <w:rsid w:val="624A3B5C"/>
    <w:rsid w:val="625917E8"/>
    <w:rsid w:val="638C3D00"/>
    <w:rsid w:val="63C82F8A"/>
    <w:rsid w:val="646802C9"/>
    <w:rsid w:val="649410BE"/>
    <w:rsid w:val="65E64D59"/>
    <w:rsid w:val="65FC516D"/>
    <w:rsid w:val="66C82E05"/>
    <w:rsid w:val="66D9287C"/>
    <w:rsid w:val="671D35ED"/>
    <w:rsid w:val="67980EC5"/>
    <w:rsid w:val="68120C78"/>
    <w:rsid w:val="683706DE"/>
    <w:rsid w:val="68EC771B"/>
    <w:rsid w:val="69C935B8"/>
    <w:rsid w:val="6A395119"/>
    <w:rsid w:val="6A935974"/>
    <w:rsid w:val="6BE309CF"/>
    <w:rsid w:val="6C81017A"/>
    <w:rsid w:val="6CBC0A63"/>
    <w:rsid w:val="6CDE55CC"/>
    <w:rsid w:val="6D194857"/>
    <w:rsid w:val="6DFB5D0A"/>
    <w:rsid w:val="70F84783"/>
    <w:rsid w:val="714A1482"/>
    <w:rsid w:val="727C15A7"/>
    <w:rsid w:val="738D02BF"/>
    <w:rsid w:val="74454183"/>
    <w:rsid w:val="74F97039"/>
    <w:rsid w:val="76200A04"/>
    <w:rsid w:val="76CC293A"/>
    <w:rsid w:val="77422BFC"/>
    <w:rsid w:val="778D031B"/>
    <w:rsid w:val="77F4039A"/>
    <w:rsid w:val="78762B5D"/>
    <w:rsid w:val="7A0D129F"/>
    <w:rsid w:val="7BB8348D"/>
    <w:rsid w:val="7C613B24"/>
    <w:rsid w:val="7CA0316F"/>
    <w:rsid w:val="7CFD384D"/>
    <w:rsid w:val="7D6E64F9"/>
    <w:rsid w:val="7E2848A5"/>
    <w:rsid w:val="7F1E7AAB"/>
    <w:rsid w:val="7F4A5737"/>
    <w:rsid w:val="7F601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 w:type="character" w:styleId="9">
    <w:name w:val="FollowedHyperlink"/>
    <w:basedOn w:val="7"/>
    <w:semiHidden/>
    <w:unhideWhenUsed/>
    <w:qFormat/>
    <w:uiPriority w:val="99"/>
    <w:rPr>
      <w:color w:val="800080"/>
      <w:u w:val="single"/>
    </w:rPr>
  </w:style>
  <w:style w:type="character" w:styleId="10">
    <w:name w:val="Emphasis"/>
    <w:basedOn w:val="7"/>
    <w:qFormat/>
    <w:uiPriority w:val="20"/>
    <w:rPr>
      <w:i/>
      <w:iCs/>
    </w:rPr>
  </w:style>
  <w:style w:type="character" w:styleId="11">
    <w:name w:val="Hyperlink"/>
    <w:basedOn w:val="7"/>
    <w:unhideWhenUsed/>
    <w:qFormat/>
    <w:uiPriority w:val="99"/>
    <w:rPr>
      <w:color w:val="0000FF"/>
      <w:u w:val="single"/>
    </w:rPr>
  </w:style>
  <w:style w:type="character" w:customStyle="1" w:styleId="12">
    <w:name w:val="页脚 字符"/>
    <w:basedOn w:val="7"/>
    <w:link w:val="4"/>
    <w:qFormat/>
    <w:uiPriority w:val="99"/>
    <w:rPr>
      <w:rFonts w:ascii="Times New Roman" w:hAnsi="Times New Roman" w:eastAsia="宋体" w:cs="Times New Roman"/>
      <w:sz w:val="18"/>
      <w:szCs w:val="18"/>
    </w:rPr>
  </w:style>
  <w:style w:type="paragraph" w:customStyle="1" w:styleId="13">
    <w:name w:val="005正文"/>
    <w:basedOn w:val="1"/>
    <w:link w:val="14"/>
    <w:qFormat/>
    <w:uiPriority w:val="0"/>
    <w:pPr>
      <w:spacing w:before="50" w:beforeLines="50" w:line="360" w:lineRule="auto"/>
      <w:ind w:firstLine="200" w:firstLineChars="200"/>
    </w:pPr>
    <w:rPr>
      <w:sz w:val="24"/>
      <w:szCs w:val="22"/>
    </w:rPr>
  </w:style>
  <w:style w:type="character" w:customStyle="1" w:styleId="14">
    <w:name w:val="005正文 Char"/>
    <w:link w:val="13"/>
    <w:qFormat/>
    <w:uiPriority w:val="0"/>
    <w:rPr>
      <w:rFonts w:ascii="Times New Roman" w:hAnsi="Times New Roman" w:eastAsia="宋体" w:cs="Times New Roman"/>
      <w:sz w:val="24"/>
    </w:rPr>
  </w:style>
  <w:style w:type="character" w:customStyle="1" w:styleId="15">
    <w:name w:val="页眉 字符"/>
    <w:basedOn w:val="7"/>
    <w:link w:val="5"/>
    <w:qFormat/>
    <w:uiPriority w:val="99"/>
    <w:rPr>
      <w:rFonts w:ascii="Times New Roman" w:hAnsi="Times New Roman" w:eastAsia="宋体" w:cs="Times New Roman"/>
      <w:sz w:val="18"/>
      <w:szCs w:val="18"/>
    </w:rPr>
  </w:style>
  <w:style w:type="character" w:customStyle="1" w:styleId="16">
    <w:name w:val="批注框文本 字符"/>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99420-DF24-41F9-B370-2BC91F73969C}">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2601</Words>
  <Characters>2904</Characters>
  <Lines>15</Lines>
  <Paragraphs>4</Paragraphs>
  <TotalTime>18</TotalTime>
  <ScaleCrop>false</ScaleCrop>
  <LinksUpToDate>false</LinksUpToDate>
  <CharactersWithSpaces>3022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2021-11-15T10:36:00Z</dcterms:created>
  <dc:creator>gxc</dc:creator>
  <cp:lastModifiedBy>姚琰</cp:lastModifiedBy>
  <cp:lastPrinted>2024-09-12T07:23:00Z</cp:lastPrinted>
  <dcterms:modified xsi:type="dcterms:W3CDTF">2026-09-09T06:39:37Z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EA9EF562CA124855A2B45FE2B893801A_12</vt:lpwstr>
  </property>
  <property fmtid="{D5CDD505-2E9C-101B-9397-08002B2CF9AE}" pid="4" name="KSOTemplateDocerSaveRecord">
    <vt:lpwstr>eyJoZGlkIjoiMDA3YjIzNjRjOTZiYmFkYWMzYjRmMDQ2ZTE4NjkwZTYiLCJ1c2VySWQiOiIxNDg5OTEzMDY2In0=</vt:lpwstr>
  </property>
</Properties>
</file>