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394A" w14:textId="0170AC34" w:rsidR="002D6539" w:rsidRPr="00F02F4E" w:rsidRDefault="00F02F4E">
      <w:pPr>
        <w:adjustRightInd w:val="0"/>
        <w:snapToGrid w:val="0"/>
        <w:spacing w:line="360" w:lineRule="auto"/>
        <w:jc w:val="center"/>
        <w:rPr>
          <w:rFonts w:asciiTheme="minorEastAsia" w:eastAsiaTheme="minorEastAsia" w:hAnsiTheme="minorEastAsia" w:cs="Arial" w:hint="eastAsia"/>
          <w:shd w:val="clear" w:color="auto" w:fill="FFFFFF"/>
        </w:rPr>
      </w:pPr>
      <w:r w:rsidRPr="00F02F4E">
        <w:rPr>
          <w:rFonts w:asciiTheme="minorEastAsia" w:eastAsiaTheme="minorEastAsia" w:hAnsiTheme="minorEastAsia" w:cs="Arial"/>
          <w:shd w:val="clear" w:color="auto" w:fill="FFFFFF"/>
        </w:rPr>
        <w:t>证券代码：603</w:t>
      </w:r>
      <w:r w:rsidR="00FB22DF" w:rsidRPr="00F02F4E">
        <w:rPr>
          <w:rFonts w:asciiTheme="minorEastAsia" w:eastAsiaTheme="minorEastAsia" w:hAnsiTheme="minorEastAsia" w:cs="Arial" w:hint="eastAsia"/>
          <w:shd w:val="clear" w:color="auto" w:fill="FFFFFF"/>
        </w:rPr>
        <w:t>322</w:t>
      </w:r>
      <w:r w:rsidRPr="00F02F4E">
        <w:rPr>
          <w:rFonts w:asciiTheme="minorEastAsia" w:eastAsiaTheme="minorEastAsia" w:hAnsiTheme="minorEastAsia" w:cs="Arial"/>
          <w:shd w:val="clear" w:color="auto" w:fill="FFFFFF"/>
        </w:rPr>
        <w:t xml:space="preserve">                                           证券简称：</w:t>
      </w:r>
      <w:r w:rsidR="00FB22DF" w:rsidRPr="00F02F4E">
        <w:rPr>
          <w:rFonts w:asciiTheme="minorEastAsia" w:eastAsiaTheme="minorEastAsia" w:hAnsiTheme="minorEastAsia" w:cs="Arial" w:hint="eastAsia"/>
          <w:shd w:val="clear" w:color="auto" w:fill="FFFFFF"/>
        </w:rPr>
        <w:t>超讯</w:t>
      </w:r>
      <w:r w:rsidR="00683B3A">
        <w:rPr>
          <w:rFonts w:asciiTheme="minorEastAsia" w:eastAsiaTheme="minorEastAsia" w:hAnsiTheme="minorEastAsia" w:cs="Arial" w:hint="eastAsia"/>
          <w:shd w:val="clear" w:color="auto" w:fill="FFFFFF"/>
        </w:rPr>
        <w:t>科技</w:t>
      </w:r>
    </w:p>
    <w:p w14:paraId="58F3B0F6" w14:textId="77777777" w:rsidR="002D6539" w:rsidRPr="00F02F4E" w:rsidRDefault="002D6539">
      <w:pPr>
        <w:adjustRightInd w:val="0"/>
        <w:snapToGrid w:val="0"/>
        <w:spacing w:line="360" w:lineRule="auto"/>
        <w:jc w:val="center"/>
        <w:rPr>
          <w:rFonts w:asciiTheme="minorEastAsia" w:eastAsiaTheme="minorEastAsia" w:hAnsiTheme="minorEastAsia" w:hint="eastAsia"/>
          <w:b/>
          <w:sz w:val="30"/>
          <w:szCs w:val="30"/>
        </w:rPr>
      </w:pPr>
    </w:p>
    <w:p w14:paraId="17D8A88F" w14:textId="2C29767C" w:rsidR="002D6539" w:rsidRPr="00F02F4E" w:rsidRDefault="00FB22DF">
      <w:pPr>
        <w:adjustRightInd w:val="0"/>
        <w:snapToGrid w:val="0"/>
        <w:spacing w:line="360" w:lineRule="auto"/>
        <w:jc w:val="center"/>
        <w:rPr>
          <w:rFonts w:asciiTheme="minorEastAsia" w:eastAsiaTheme="minorEastAsia" w:hAnsiTheme="minorEastAsia" w:hint="eastAsia"/>
          <w:b/>
          <w:bCs/>
          <w:color w:val="FF0000"/>
          <w:sz w:val="30"/>
          <w:szCs w:val="30"/>
        </w:rPr>
      </w:pPr>
      <w:r w:rsidRPr="00F02F4E">
        <w:rPr>
          <w:rFonts w:asciiTheme="minorEastAsia" w:eastAsiaTheme="minorEastAsia" w:hAnsiTheme="minorEastAsia" w:hint="eastAsia"/>
          <w:b/>
          <w:bCs/>
          <w:color w:val="FF0000"/>
          <w:sz w:val="30"/>
          <w:szCs w:val="30"/>
        </w:rPr>
        <w:t>超讯</w:t>
      </w:r>
      <w:r w:rsidR="00683B3A">
        <w:rPr>
          <w:rFonts w:asciiTheme="minorEastAsia" w:eastAsiaTheme="minorEastAsia" w:hAnsiTheme="minorEastAsia" w:hint="eastAsia"/>
          <w:b/>
          <w:bCs/>
          <w:color w:val="FF0000"/>
          <w:sz w:val="30"/>
          <w:szCs w:val="30"/>
        </w:rPr>
        <w:t>科技</w:t>
      </w:r>
      <w:r w:rsidR="00F02F4E" w:rsidRPr="00F02F4E">
        <w:rPr>
          <w:rFonts w:asciiTheme="minorEastAsia" w:eastAsiaTheme="minorEastAsia" w:hAnsiTheme="minorEastAsia" w:hint="eastAsia"/>
          <w:b/>
          <w:bCs/>
          <w:color w:val="FF0000"/>
          <w:sz w:val="30"/>
          <w:szCs w:val="30"/>
        </w:rPr>
        <w:t>股份有限公司</w:t>
      </w:r>
    </w:p>
    <w:p w14:paraId="6DC72B98" w14:textId="72997222" w:rsidR="002D6539" w:rsidRPr="00F02F4E" w:rsidRDefault="006E7A7B">
      <w:pPr>
        <w:adjustRightInd w:val="0"/>
        <w:snapToGrid w:val="0"/>
        <w:spacing w:line="360" w:lineRule="auto"/>
        <w:jc w:val="center"/>
        <w:rPr>
          <w:rFonts w:asciiTheme="minorEastAsia" w:eastAsiaTheme="minorEastAsia" w:hAnsiTheme="minorEastAsia" w:hint="eastAsia"/>
          <w:b/>
          <w:bCs/>
          <w:color w:val="FF0000"/>
          <w:sz w:val="30"/>
          <w:szCs w:val="30"/>
        </w:rPr>
      </w:pPr>
      <w:r>
        <w:rPr>
          <w:rFonts w:asciiTheme="minorEastAsia" w:eastAsiaTheme="minorEastAsia" w:hAnsiTheme="minorEastAsia"/>
          <w:b/>
          <w:bCs/>
          <w:color w:val="FF0000"/>
          <w:sz w:val="30"/>
          <w:szCs w:val="30"/>
        </w:rPr>
        <w:t>202</w:t>
      </w:r>
      <w:r w:rsidR="00683B3A">
        <w:rPr>
          <w:rFonts w:asciiTheme="minorEastAsia" w:eastAsiaTheme="minorEastAsia" w:hAnsiTheme="minorEastAsia" w:hint="eastAsia"/>
          <w:b/>
          <w:bCs/>
          <w:color w:val="FF0000"/>
          <w:sz w:val="30"/>
          <w:szCs w:val="30"/>
        </w:rPr>
        <w:t>6</w:t>
      </w:r>
      <w:r w:rsidR="001F5EDE">
        <w:rPr>
          <w:rFonts w:asciiTheme="minorEastAsia" w:eastAsiaTheme="minorEastAsia" w:hAnsiTheme="minorEastAsia"/>
          <w:b/>
          <w:bCs/>
          <w:color w:val="FF0000"/>
          <w:sz w:val="30"/>
          <w:szCs w:val="30"/>
        </w:rPr>
        <w:t>年</w:t>
      </w:r>
      <w:r w:rsidR="00844BC7">
        <w:rPr>
          <w:rFonts w:asciiTheme="minorEastAsia" w:eastAsiaTheme="minorEastAsia" w:hAnsiTheme="minorEastAsia" w:hint="eastAsia"/>
          <w:b/>
          <w:bCs/>
          <w:color w:val="FF0000"/>
          <w:sz w:val="30"/>
          <w:szCs w:val="30"/>
        </w:rPr>
        <w:t>半年度</w:t>
      </w:r>
      <w:r w:rsidR="00F02F4E" w:rsidRPr="00F02F4E">
        <w:rPr>
          <w:rFonts w:asciiTheme="minorEastAsia" w:eastAsiaTheme="minorEastAsia" w:hAnsiTheme="minorEastAsia" w:hint="eastAsia"/>
          <w:b/>
          <w:bCs/>
          <w:color w:val="FF0000"/>
          <w:sz w:val="30"/>
          <w:szCs w:val="30"/>
        </w:rPr>
        <w:t>业绩说明会文字记录</w:t>
      </w:r>
    </w:p>
    <w:p w14:paraId="0CE06886" w14:textId="77777777" w:rsidR="00E56763" w:rsidRDefault="00E56763" w:rsidP="00FB22DF">
      <w:pPr>
        <w:adjustRightInd w:val="0"/>
        <w:snapToGrid w:val="0"/>
        <w:spacing w:line="360" w:lineRule="auto"/>
        <w:ind w:firstLineChars="200" w:firstLine="480"/>
        <w:rPr>
          <w:rFonts w:asciiTheme="minorEastAsia" w:eastAsiaTheme="minorEastAsia" w:hAnsiTheme="minorEastAsia" w:cs="Times New Roman" w:hint="eastAsia"/>
          <w:sz w:val="24"/>
        </w:rPr>
      </w:pPr>
    </w:p>
    <w:p w14:paraId="18168B5D" w14:textId="22D02C6D" w:rsidR="002D6539" w:rsidRDefault="00FA009F" w:rsidP="003F013F">
      <w:pPr>
        <w:adjustRightInd w:val="0"/>
        <w:snapToGrid w:val="0"/>
        <w:spacing w:line="360" w:lineRule="auto"/>
        <w:ind w:firstLineChars="200" w:firstLine="480"/>
        <w:rPr>
          <w:rFonts w:asciiTheme="minorEastAsia" w:eastAsiaTheme="minorEastAsia" w:hAnsiTheme="minorEastAsia" w:hint="eastAsia"/>
          <w:sz w:val="24"/>
          <w:szCs w:val="24"/>
        </w:rPr>
      </w:pPr>
      <w:r w:rsidRPr="003F013F">
        <w:rPr>
          <w:rFonts w:asciiTheme="minorEastAsia" w:eastAsiaTheme="minorEastAsia" w:hAnsiTheme="minorEastAsia" w:cs="Times New Roman" w:hint="eastAsia"/>
          <w:sz w:val="24"/>
          <w:szCs w:val="24"/>
        </w:rPr>
        <w:t>超讯</w:t>
      </w:r>
      <w:r w:rsidR="00683B3A">
        <w:rPr>
          <w:rFonts w:asciiTheme="minorEastAsia" w:eastAsiaTheme="minorEastAsia" w:hAnsiTheme="minorEastAsia" w:cs="Times New Roman" w:hint="eastAsia"/>
          <w:sz w:val="24"/>
          <w:szCs w:val="24"/>
        </w:rPr>
        <w:t>科技</w:t>
      </w:r>
      <w:r w:rsidRPr="003F013F">
        <w:rPr>
          <w:rFonts w:asciiTheme="minorEastAsia" w:eastAsiaTheme="minorEastAsia" w:hAnsiTheme="minorEastAsia" w:cs="Times New Roman" w:hint="eastAsia"/>
          <w:sz w:val="24"/>
          <w:szCs w:val="24"/>
        </w:rPr>
        <w:t>股份有限公司（以下简称“公司”）已于</w:t>
      </w:r>
      <w:r w:rsidR="006E7A7B">
        <w:rPr>
          <w:rFonts w:asciiTheme="minorEastAsia" w:eastAsiaTheme="minorEastAsia" w:hAnsiTheme="minorEastAsia" w:cs="Times New Roman" w:hint="eastAsia"/>
          <w:sz w:val="24"/>
          <w:szCs w:val="24"/>
        </w:rPr>
        <w:t>202</w:t>
      </w:r>
      <w:r w:rsidR="00683B3A">
        <w:rPr>
          <w:rFonts w:asciiTheme="minorEastAsia" w:eastAsiaTheme="minorEastAsia" w:hAnsiTheme="minorEastAsia" w:cs="Times New Roman" w:hint="eastAsia"/>
          <w:sz w:val="24"/>
          <w:szCs w:val="24"/>
        </w:rPr>
        <w:t>6</w:t>
      </w:r>
      <w:r w:rsidRPr="003F013F">
        <w:rPr>
          <w:rFonts w:asciiTheme="minorEastAsia" w:eastAsiaTheme="minorEastAsia" w:hAnsiTheme="minorEastAsia" w:cs="Times New Roman" w:hint="eastAsia"/>
          <w:sz w:val="24"/>
          <w:szCs w:val="24"/>
        </w:rPr>
        <w:t>年</w:t>
      </w:r>
      <w:r w:rsidR="00844BC7" w:rsidRPr="003F013F">
        <w:rPr>
          <w:rFonts w:asciiTheme="minorEastAsia" w:eastAsiaTheme="minorEastAsia" w:hAnsiTheme="minorEastAsia" w:cs="Times New Roman" w:hint="eastAsia"/>
          <w:sz w:val="24"/>
          <w:szCs w:val="24"/>
        </w:rPr>
        <w:t>8</w:t>
      </w:r>
      <w:r w:rsidRPr="003F013F">
        <w:rPr>
          <w:rFonts w:asciiTheme="minorEastAsia" w:eastAsiaTheme="minorEastAsia" w:hAnsiTheme="minorEastAsia" w:cs="Times New Roman" w:hint="eastAsia"/>
          <w:sz w:val="24"/>
          <w:szCs w:val="24"/>
        </w:rPr>
        <w:t>月</w:t>
      </w:r>
      <w:r w:rsidR="00683B3A">
        <w:rPr>
          <w:rFonts w:asciiTheme="minorEastAsia" w:eastAsiaTheme="minorEastAsia" w:hAnsiTheme="minorEastAsia" w:cs="Times New Roman" w:hint="eastAsia"/>
          <w:sz w:val="24"/>
          <w:szCs w:val="24"/>
        </w:rPr>
        <w:t>1</w:t>
      </w:r>
      <w:r w:rsidR="00844BC7" w:rsidRPr="003F013F">
        <w:rPr>
          <w:rFonts w:asciiTheme="minorEastAsia" w:eastAsiaTheme="minorEastAsia" w:hAnsiTheme="minorEastAsia" w:cs="Times New Roman"/>
          <w:sz w:val="24"/>
          <w:szCs w:val="24"/>
        </w:rPr>
        <w:t>8</w:t>
      </w:r>
      <w:r w:rsidRPr="003F013F">
        <w:rPr>
          <w:rFonts w:asciiTheme="minorEastAsia" w:eastAsiaTheme="minorEastAsia" w:hAnsiTheme="minorEastAsia" w:cs="Times New Roman" w:hint="eastAsia"/>
          <w:sz w:val="24"/>
          <w:szCs w:val="24"/>
        </w:rPr>
        <w:t>日发布了</w:t>
      </w:r>
      <w:r w:rsidR="006E7A7B">
        <w:rPr>
          <w:rFonts w:asciiTheme="minorEastAsia" w:eastAsiaTheme="minorEastAsia" w:hAnsiTheme="minorEastAsia" w:cs="Times New Roman" w:hint="eastAsia"/>
          <w:sz w:val="24"/>
          <w:szCs w:val="24"/>
        </w:rPr>
        <w:t>202</w:t>
      </w:r>
      <w:r w:rsidR="00683B3A">
        <w:rPr>
          <w:rFonts w:asciiTheme="minorEastAsia" w:eastAsiaTheme="minorEastAsia" w:hAnsiTheme="minorEastAsia" w:cs="Times New Roman" w:hint="eastAsia"/>
          <w:sz w:val="24"/>
          <w:szCs w:val="24"/>
        </w:rPr>
        <w:t>6</w:t>
      </w:r>
      <w:r w:rsidRPr="003F013F">
        <w:rPr>
          <w:rFonts w:asciiTheme="minorEastAsia" w:eastAsiaTheme="minorEastAsia" w:hAnsiTheme="minorEastAsia" w:cs="Times New Roman" w:hint="eastAsia"/>
          <w:sz w:val="24"/>
          <w:szCs w:val="24"/>
        </w:rPr>
        <w:t>年</w:t>
      </w:r>
      <w:r w:rsidR="00844BC7" w:rsidRPr="003F013F">
        <w:rPr>
          <w:rFonts w:asciiTheme="minorEastAsia" w:eastAsiaTheme="minorEastAsia" w:hAnsiTheme="minorEastAsia" w:cs="Times New Roman" w:hint="eastAsia"/>
          <w:sz w:val="24"/>
          <w:szCs w:val="24"/>
        </w:rPr>
        <w:t>半年度</w:t>
      </w:r>
      <w:r w:rsidRPr="003F013F">
        <w:rPr>
          <w:rFonts w:asciiTheme="minorEastAsia" w:eastAsiaTheme="minorEastAsia" w:hAnsiTheme="minorEastAsia" w:cs="Times New Roman" w:hint="eastAsia"/>
          <w:sz w:val="24"/>
          <w:szCs w:val="24"/>
        </w:rPr>
        <w:t>报告，为便于广大投资者更全面深入地了解公司</w:t>
      </w:r>
      <w:r w:rsidR="006E7A7B">
        <w:rPr>
          <w:rFonts w:asciiTheme="minorEastAsia" w:eastAsiaTheme="minorEastAsia" w:hAnsiTheme="minorEastAsia" w:cs="Times New Roman" w:hint="eastAsia"/>
          <w:sz w:val="24"/>
          <w:szCs w:val="24"/>
        </w:rPr>
        <w:t>202</w:t>
      </w:r>
      <w:r w:rsidR="00683B3A">
        <w:rPr>
          <w:rFonts w:asciiTheme="minorEastAsia" w:eastAsiaTheme="minorEastAsia" w:hAnsiTheme="minorEastAsia" w:cs="Times New Roman" w:hint="eastAsia"/>
          <w:sz w:val="24"/>
          <w:szCs w:val="24"/>
        </w:rPr>
        <w:t>6</w:t>
      </w:r>
      <w:r w:rsidRPr="003F013F">
        <w:rPr>
          <w:rFonts w:asciiTheme="minorEastAsia" w:eastAsiaTheme="minorEastAsia" w:hAnsiTheme="minorEastAsia" w:cs="Times New Roman" w:hint="eastAsia"/>
          <w:sz w:val="24"/>
          <w:szCs w:val="24"/>
        </w:rPr>
        <w:t>年</w:t>
      </w:r>
      <w:r w:rsidR="00844BC7" w:rsidRPr="003F013F">
        <w:rPr>
          <w:rFonts w:asciiTheme="minorEastAsia" w:eastAsiaTheme="minorEastAsia" w:hAnsiTheme="minorEastAsia" w:cs="Times New Roman" w:hint="eastAsia"/>
          <w:sz w:val="24"/>
          <w:szCs w:val="24"/>
        </w:rPr>
        <w:t>半年度</w:t>
      </w:r>
      <w:r w:rsidRPr="003F013F">
        <w:rPr>
          <w:rFonts w:asciiTheme="minorEastAsia" w:eastAsiaTheme="minorEastAsia" w:hAnsiTheme="minorEastAsia" w:cs="Times New Roman" w:hint="eastAsia"/>
          <w:sz w:val="24"/>
          <w:szCs w:val="24"/>
        </w:rPr>
        <w:t>经营成果、财务状况，公司于</w:t>
      </w:r>
      <w:r w:rsidR="006E7A7B">
        <w:rPr>
          <w:rFonts w:asciiTheme="minorEastAsia" w:eastAsiaTheme="minorEastAsia" w:hAnsiTheme="minorEastAsia" w:cs="Times New Roman" w:hint="eastAsia"/>
          <w:sz w:val="24"/>
          <w:szCs w:val="24"/>
        </w:rPr>
        <w:t>202</w:t>
      </w:r>
      <w:r w:rsidR="00683B3A">
        <w:rPr>
          <w:rFonts w:asciiTheme="minorEastAsia" w:eastAsiaTheme="minorEastAsia" w:hAnsiTheme="minorEastAsia" w:cs="Times New Roman" w:hint="eastAsia"/>
          <w:sz w:val="24"/>
          <w:szCs w:val="24"/>
        </w:rPr>
        <w:t>6</w:t>
      </w:r>
      <w:r w:rsidRPr="003F013F">
        <w:rPr>
          <w:rFonts w:asciiTheme="minorEastAsia" w:eastAsiaTheme="minorEastAsia" w:hAnsiTheme="minorEastAsia" w:cs="Times New Roman" w:hint="eastAsia"/>
          <w:sz w:val="24"/>
          <w:szCs w:val="24"/>
        </w:rPr>
        <w:t>年</w:t>
      </w:r>
      <w:r w:rsidR="00683B3A">
        <w:rPr>
          <w:rFonts w:asciiTheme="minorEastAsia" w:eastAsiaTheme="minorEastAsia" w:hAnsiTheme="minorEastAsia" w:cs="Times New Roman" w:hint="eastAsia"/>
          <w:sz w:val="24"/>
          <w:szCs w:val="24"/>
        </w:rPr>
        <w:t>8</w:t>
      </w:r>
      <w:r w:rsidRPr="003F013F">
        <w:rPr>
          <w:rFonts w:asciiTheme="minorEastAsia" w:eastAsiaTheme="minorEastAsia" w:hAnsiTheme="minorEastAsia" w:cs="Times New Roman" w:hint="eastAsia"/>
          <w:sz w:val="24"/>
          <w:szCs w:val="24"/>
        </w:rPr>
        <w:t>月</w:t>
      </w:r>
      <w:r w:rsidR="00683B3A">
        <w:rPr>
          <w:rFonts w:asciiTheme="minorEastAsia" w:eastAsiaTheme="minorEastAsia" w:hAnsiTheme="minorEastAsia" w:cs="Times New Roman" w:hint="eastAsia"/>
          <w:sz w:val="24"/>
          <w:szCs w:val="24"/>
        </w:rPr>
        <w:t>31</w:t>
      </w:r>
      <w:r w:rsidRPr="003F013F">
        <w:rPr>
          <w:rFonts w:asciiTheme="minorEastAsia" w:eastAsiaTheme="minorEastAsia" w:hAnsiTheme="minorEastAsia" w:cs="Times New Roman" w:hint="eastAsia"/>
          <w:sz w:val="24"/>
          <w:szCs w:val="24"/>
        </w:rPr>
        <w:t>日下午15:00-16:00就公司近期经营情况和</w:t>
      </w:r>
      <w:r w:rsidR="00844BC7" w:rsidRPr="003F013F">
        <w:rPr>
          <w:rFonts w:asciiTheme="minorEastAsia" w:eastAsiaTheme="minorEastAsia" w:hAnsiTheme="minorEastAsia" w:cs="Times New Roman" w:hint="eastAsia"/>
          <w:sz w:val="24"/>
          <w:szCs w:val="24"/>
        </w:rPr>
        <w:t>半年度</w:t>
      </w:r>
      <w:r w:rsidRPr="003F013F">
        <w:rPr>
          <w:rFonts w:asciiTheme="minorEastAsia" w:eastAsiaTheme="minorEastAsia" w:hAnsiTheme="minorEastAsia" w:cs="Times New Roman" w:hint="eastAsia"/>
          <w:sz w:val="24"/>
          <w:szCs w:val="24"/>
        </w:rPr>
        <w:t>业绩情况举行说明会，就投资者关心的问题进行交流。</w:t>
      </w:r>
      <w:r w:rsidR="00F02F4E" w:rsidRPr="003F013F">
        <w:rPr>
          <w:rFonts w:asciiTheme="minorEastAsia" w:eastAsiaTheme="minorEastAsia" w:hAnsiTheme="minorEastAsia" w:hint="eastAsia"/>
          <w:sz w:val="24"/>
          <w:szCs w:val="24"/>
        </w:rPr>
        <w:t>本次业绩说明会</w:t>
      </w:r>
      <w:r w:rsidR="00FB22DF" w:rsidRPr="003F013F">
        <w:rPr>
          <w:rFonts w:asciiTheme="minorEastAsia" w:eastAsiaTheme="minorEastAsia" w:hAnsiTheme="minorEastAsia" w:hint="eastAsia"/>
          <w:sz w:val="24"/>
          <w:szCs w:val="24"/>
        </w:rPr>
        <w:t>与投资者交流</w:t>
      </w:r>
      <w:r w:rsidR="00F02F4E" w:rsidRPr="003F013F">
        <w:rPr>
          <w:rFonts w:asciiTheme="minorEastAsia" w:eastAsiaTheme="minorEastAsia" w:hAnsiTheme="minorEastAsia" w:hint="eastAsia"/>
          <w:sz w:val="24"/>
          <w:szCs w:val="24"/>
        </w:rPr>
        <w:t>文字记录如下：</w:t>
      </w:r>
    </w:p>
    <w:p w14:paraId="732A2B40" w14:textId="77777777" w:rsidR="003F013F" w:rsidRPr="003F013F" w:rsidRDefault="003F013F" w:rsidP="003F013F">
      <w:pPr>
        <w:adjustRightInd w:val="0"/>
        <w:snapToGrid w:val="0"/>
        <w:spacing w:line="360" w:lineRule="auto"/>
        <w:ind w:firstLineChars="200" w:firstLine="480"/>
        <w:rPr>
          <w:rFonts w:asciiTheme="minorEastAsia" w:eastAsiaTheme="minorEastAsia" w:hAnsiTheme="minorEastAsia" w:hint="eastAsia"/>
          <w:sz w:val="24"/>
          <w:szCs w:val="24"/>
        </w:rPr>
      </w:pPr>
    </w:p>
    <w:p w14:paraId="171F708E" w14:textId="66BCC8F0" w:rsidR="00327489" w:rsidRPr="00327489" w:rsidRDefault="00327489" w:rsidP="00327489">
      <w:pPr>
        <w:adjustRightInd w:val="0"/>
        <w:snapToGrid w:val="0"/>
        <w:spacing w:line="360" w:lineRule="auto"/>
        <w:ind w:firstLineChars="200" w:firstLine="482"/>
        <w:rPr>
          <w:rFonts w:asciiTheme="minorEastAsia" w:eastAsiaTheme="minorEastAsia" w:hAnsiTheme="minorEastAsia" w:hint="eastAsia"/>
          <w:b/>
          <w:sz w:val="24"/>
          <w:szCs w:val="24"/>
        </w:rPr>
      </w:pPr>
      <w:r>
        <w:rPr>
          <w:rFonts w:asciiTheme="minorEastAsia" w:eastAsiaTheme="minorEastAsia" w:hAnsiTheme="minorEastAsia" w:hint="eastAsia"/>
          <w:b/>
          <w:sz w:val="24"/>
          <w:szCs w:val="24"/>
        </w:rPr>
        <w:t>1</w:t>
      </w:r>
      <w:r w:rsidRPr="00327489">
        <w:rPr>
          <w:rFonts w:asciiTheme="minorEastAsia" w:eastAsiaTheme="minorEastAsia" w:hAnsiTheme="minorEastAsia"/>
          <w:b/>
          <w:sz w:val="24"/>
          <w:szCs w:val="24"/>
        </w:rPr>
        <w:t>.请问公司就如何提升身业绩、维护股价的具体措施作个介绍</w:t>
      </w:r>
    </w:p>
    <w:p w14:paraId="2C2DC3CA" w14:textId="4816B0AE" w:rsidR="00327489" w:rsidRPr="00327489" w:rsidRDefault="00327489" w:rsidP="00327489">
      <w:pPr>
        <w:adjustRightInd w:val="0"/>
        <w:snapToGrid w:val="0"/>
        <w:spacing w:line="360" w:lineRule="auto"/>
        <w:ind w:firstLineChars="200" w:firstLine="480"/>
        <w:rPr>
          <w:rFonts w:asciiTheme="minorEastAsia" w:eastAsiaTheme="minorEastAsia" w:hAnsiTheme="minorEastAsia" w:hint="eastAsia"/>
          <w:bCs/>
          <w:sz w:val="24"/>
          <w:szCs w:val="24"/>
        </w:rPr>
      </w:pPr>
      <w:r w:rsidRPr="00327489">
        <w:rPr>
          <w:rFonts w:asciiTheme="minorEastAsia" w:eastAsiaTheme="minorEastAsia" w:hAnsiTheme="minorEastAsia"/>
          <w:bCs/>
          <w:sz w:val="24"/>
          <w:szCs w:val="24"/>
        </w:rPr>
        <w:t>答:尊敬的投资者，您好。随着公司转型的落地，智算业务是目前公司的核心增长引擎，该业务主要覆盖三大核心：算力中心EPC建设、算力设备销售、算力租赁服务，以及配套提供算力平台软件、异构调优、运营服务等。2026年上半年，公司计提股权激励费用和处置白云数据中心长期应收款，减少了上半年净利润合计8,544.07万元，最终上半年实现净利润5,172.53万元，充分体现公司算力转型后的业务韧劲。后续，公司还将积极拓展新能源及海外市场，挖掘公司潜在发展机会，力争以良好的经营业绩为广大股东创造可持续回报。感谢您对公司的关注。</w:t>
      </w:r>
    </w:p>
    <w:p w14:paraId="7CDC6997" w14:textId="01AFF9AB" w:rsidR="00683B3A" w:rsidRPr="00683B3A" w:rsidRDefault="00327489" w:rsidP="00683B3A">
      <w:pPr>
        <w:adjustRightInd w:val="0"/>
        <w:snapToGrid w:val="0"/>
        <w:spacing w:line="360" w:lineRule="auto"/>
        <w:ind w:firstLineChars="200" w:firstLine="482"/>
        <w:rPr>
          <w:rFonts w:asciiTheme="minorEastAsia" w:eastAsiaTheme="minorEastAsia" w:hAnsiTheme="minorEastAsia" w:hint="eastAsia"/>
          <w:b/>
          <w:sz w:val="24"/>
          <w:szCs w:val="24"/>
        </w:rPr>
      </w:pPr>
      <w:r>
        <w:rPr>
          <w:rFonts w:asciiTheme="minorEastAsia" w:eastAsiaTheme="minorEastAsia" w:hAnsiTheme="minorEastAsia" w:hint="eastAsia"/>
          <w:b/>
          <w:sz w:val="24"/>
          <w:szCs w:val="24"/>
        </w:rPr>
        <w:t>2</w:t>
      </w:r>
      <w:r w:rsidR="00683B3A" w:rsidRPr="00683B3A">
        <w:rPr>
          <w:rFonts w:asciiTheme="minorEastAsia" w:eastAsiaTheme="minorEastAsia" w:hAnsiTheme="minorEastAsia" w:hint="eastAsia"/>
          <w:b/>
          <w:sz w:val="24"/>
          <w:szCs w:val="24"/>
        </w:rPr>
        <w:t>.面对通信+算力融合的行业大趋势，公司中长期战略规划中，是偏向做项目工程服务商，还是逐步延伸至产品服务环节？</w:t>
      </w:r>
    </w:p>
    <w:p w14:paraId="2ECBBE7E" w14:textId="3B15E1DD" w:rsidR="00683B3A" w:rsidRDefault="00683B3A" w:rsidP="00683B3A">
      <w:pPr>
        <w:adjustRightInd w:val="0"/>
        <w:snapToGrid w:val="0"/>
        <w:spacing w:line="360" w:lineRule="auto"/>
        <w:rPr>
          <w:rFonts w:ascii="宋体" w:hAnsi="宋体"/>
          <w:sz w:val="24"/>
          <w:szCs w:val="24"/>
        </w:rPr>
      </w:pPr>
      <w:r w:rsidRPr="00683B3A">
        <w:rPr>
          <w:rFonts w:ascii="宋体" w:hAnsi="宋体" w:hint="eastAsia"/>
          <w:sz w:val="24"/>
          <w:szCs w:val="24"/>
        </w:rPr>
        <w:t xml:space="preserve">   答:尊敬的投资者，您好。经过近几年的业务转型，目前“智算业务”已是公司未来发展的核心引擎，该业务主要覆盖三大核心：算力中心EPC建设、算力设备销售、算力租赁服务，以及配套提供算力平台软件、异构调优、运营服务等。</w:t>
      </w:r>
      <w:r w:rsidR="0083702C" w:rsidRPr="0083702C">
        <w:rPr>
          <w:rFonts w:ascii="宋体" w:hAnsi="宋体" w:hint="eastAsia"/>
          <w:sz w:val="24"/>
          <w:szCs w:val="24"/>
        </w:rPr>
        <w:t>具体中长期战略规划详见公司</w:t>
      </w:r>
      <w:r w:rsidR="00301839">
        <w:rPr>
          <w:rFonts w:ascii="宋体" w:hAnsi="宋体" w:hint="eastAsia"/>
          <w:sz w:val="24"/>
          <w:szCs w:val="24"/>
        </w:rPr>
        <w:t>《</w:t>
      </w:r>
      <w:r w:rsidR="0083702C" w:rsidRPr="0083702C">
        <w:rPr>
          <w:rFonts w:ascii="宋体" w:hAnsi="宋体" w:hint="eastAsia"/>
          <w:sz w:val="24"/>
          <w:szCs w:val="24"/>
        </w:rPr>
        <w:t>2026年</w:t>
      </w:r>
      <w:r w:rsidR="00301839">
        <w:rPr>
          <w:rFonts w:ascii="宋体" w:hAnsi="宋体" w:hint="eastAsia"/>
          <w:sz w:val="24"/>
          <w:szCs w:val="24"/>
        </w:rPr>
        <w:t>半年</w:t>
      </w:r>
      <w:r w:rsidR="004353F6">
        <w:rPr>
          <w:rFonts w:ascii="宋体" w:hAnsi="宋体" w:hint="eastAsia"/>
          <w:sz w:val="24"/>
          <w:szCs w:val="24"/>
        </w:rPr>
        <w:t>度</w:t>
      </w:r>
      <w:r w:rsidR="00301839">
        <w:rPr>
          <w:rFonts w:ascii="宋体" w:hAnsi="宋体" w:hint="eastAsia"/>
          <w:sz w:val="24"/>
          <w:szCs w:val="24"/>
        </w:rPr>
        <w:t>报告》</w:t>
      </w:r>
      <w:r w:rsidR="0083702C" w:rsidRPr="0083702C">
        <w:rPr>
          <w:rFonts w:ascii="宋体" w:hAnsi="宋体" w:hint="eastAsia"/>
          <w:sz w:val="24"/>
          <w:szCs w:val="24"/>
        </w:rPr>
        <w:t>。</w:t>
      </w:r>
      <w:r w:rsidRPr="00683B3A">
        <w:rPr>
          <w:rFonts w:ascii="宋体" w:hAnsi="宋体" w:hint="eastAsia"/>
          <w:sz w:val="24"/>
          <w:szCs w:val="24"/>
        </w:rPr>
        <w:t>公司提醒广大投资者，新业务/市场未来形成收入有不确定性，敬请理性决策，注意投资风险。感谢您的关注与支持。</w:t>
      </w:r>
    </w:p>
    <w:p w14:paraId="6C1F9830" w14:textId="77777777" w:rsidR="004353F6" w:rsidRPr="00683B3A" w:rsidRDefault="004353F6" w:rsidP="00683B3A">
      <w:pPr>
        <w:adjustRightInd w:val="0"/>
        <w:snapToGrid w:val="0"/>
        <w:spacing w:line="360" w:lineRule="auto"/>
        <w:rPr>
          <w:rFonts w:ascii="宋体" w:hAnsi="宋体" w:hint="eastAsia"/>
          <w:sz w:val="24"/>
          <w:szCs w:val="24"/>
        </w:rPr>
      </w:pPr>
    </w:p>
    <w:p w14:paraId="5957AC55" w14:textId="2E755AD8" w:rsidR="00683B3A" w:rsidRPr="00683B3A" w:rsidRDefault="00327489" w:rsidP="00683B3A">
      <w:pPr>
        <w:adjustRightInd w:val="0"/>
        <w:snapToGrid w:val="0"/>
        <w:spacing w:line="360" w:lineRule="auto"/>
        <w:ind w:firstLineChars="200" w:firstLine="482"/>
        <w:rPr>
          <w:rFonts w:asciiTheme="minorEastAsia" w:eastAsiaTheme="minorEastAsia" w:hAnsiTheme="minorEastAsia" w:hint="eastAsia"/>
          <w:b/>
          <w:sz w:val="24"/>
          <w:szCs w:val="24"/>
        </w:rPr>
      </w:pPr>
      <w:r>
        <w:rPr>
          <w:rFonts w:asciiTheme="minorEastAsia" w:eastAsiaTheme="minorEastAsia" w:hAnsiTheme="minorEastAsia" w:hint="eastAsia"/>
          <w:b/>
          <w:sz w:val="24"/>
          <w:szCs w:val="24"/>
        </w:rPr>
        <w:lastRenderedPageBreak/>
        <w:t>3</w:t>
      </w:r>
      <w:r w:rsidR="00683B3A" w:rsidRPr="00683B3A">
        <w:rPr>
          <w:rFonts w:asciiTheme="minorEastAsia" w:eastAsiaTheme="minorEastAsia" w:hAnsiTheme="minorEastAsia" w:hint="eastAsia"/>
          <w:b/>
          <w:sz w:val="24"/>
          <w:szCs w:val="24"/>
        </w:rPr>
        <w:t>.梁总您好，请问关于贵公司近期债务诉讼是否会影响公司正常经营？关于贵司3月与广东微云公司合资创办的公司拿到相应资质了吗？对于后面的市值管理和应收账款是否有具体措施？</w:t>
      </w:r>
    </w:p>
    <w:p w14:paraId="137B1A70" w14:textId="0AA86EF1" w:rsidR="00683B3A" w:rsidRPr="00683B3A" w:rsidRDefault="00683B3A" w:rsidP="00683B3A">
      <w:pPr>
        <w:adjustRightInd w:val="0"/>
        <w:snapToGrid w:val="0"/>
        <w:spacing w:line="360" w:lineRule="auto"/>
        <w:rPr>
          <w:rFonts w:ascii="宋体" w:hAnsi="宋体" w:hint="eastAsia"/>
          <w:sz w:val="24"/>
          <w:szCs w:val="24"/>
        </w:rPr>
      </w:pPr>
      <w:r w:rsidRPr="00683B3A">
        <w:rPr>
          <w:rFonts w:ascii="宋体" w:hAnsi="宋体" w:hint="eastAsia"/>
          <w:sz w:val="24"/>
          <w:szCs w:val="24"/>
        </w:rPr>
        <w:t xml:space="preserve">    答:尊敬的投资者，您好。公司近期发生的诉讼纠纷主要系下游客户项目结算款项未能按期收回所致。针对上述情况，公司已进一步加大应收账款催收力度，同时运用包括法律途径在内的多种处置方式，推动相关事项妥善化解，保障生产经营平稳运行。尽管业务转型过程中面临诸多挑战，但公司管理层对国产算力行业的发展前景及公司未来成长空间保持充分信心。管理层将凝心聚力，持续扎实推进各项业务落地，力争以良好的经营业绩为广大股东创造可持续回报。公司与广东微云科技合资设立的超微智算（广东）科技有限公司已于2026年3月完成工商注册登记并取得营业执照。本次合资是为了整合各方在技术、产品、渠道生态和客户资源的优势，共同推进前沿算力产品相关业务开拓，合资对方广东微云科技是英伟达NPN，也是中国长城英伟达数据中心产品线总代理，具备相应的业务基础，目前相关业务仍在积极推进当中。敬请您理性决策，注意投资风险，感谢您的关注与支持。</w:t>
      </w:r>
    </w:p>
    <w:p w14:paraId="3F909E14" w14:textId="0B06C27C" w:rsidR="00683B3A" w:rsidRPr="00683B3A" w:rsidRDefault="00683B3A" w:rsidP="00683B3A">
      <w:pPr>
        <w:adjustRightInd w:val="0"/>
        <w:snapToGrid w:val="0"/>
        <w:spacing w:line="360" w:lineRule="auto"/>
        <w:ind w:firstLineChars="200" w:firstLine="482"/>
        <w:rPr>
          <w:rFonts w:asciiTheme="minorEastAsia" w:eastAsiaTheme="minorEastAsia" w:hAnsiTheme="minorEastAsia" w:hint="eastAsia"/>
          <w:b/>
          <w:sz w:val="24"/>
          <w:szCs w:val="24"/>
        </w:rPr>
      </w:pPr>
      <w:r w:rsidRPr="00683B3A">
        <w:rPr>
          <w:rFonts w:asciiTheme="minorEastAsia" w:eastAsiaTheme="minorEastAsia" w:hAnsiTheme="minorEastAsia" w:hint="eastAsia"/>
          <w:b/>
          <w:sz w:val="24"/>
          <w:szCs w:val="24"/>
        </w:rPr>
        <w:t>4.公司对于巨门系应收账款的进度如何？是否做好了全部计提坏账的准备？公司目前经营现金流是否紧张？</w:t>
      </w:r>
    </w:p>
    <w:p w14:paraId="2A0D4600" w14:textId="77777777" w:rsidR="00683B3A" w:rsidRPr="00683B3A" w:rsidRDefault="00683B3A" w:rsidP="00683B3A">
      <w:pPr>
        <w:adjustRightInd w:val="0"/>
        <w:snapToGrid w:val="0"/>
        <w:spacing w:line="360" w:lineRule="auto"/>
        <w:rPr>
          <w:rFonts w:ascii="宋体" w:hAnsi="宋体" w:hint="eastAsia"/>
          <w:sz w:val="24"/>
          <w:szCs w:val="24"/>
        </w:rPr>
      </w:pPr>
      <w:r w:rsidRPr="00683B3A">
        <w:rPr>
          <w:rFonts w:ascii="宋体" w:hAnsi="宋体" w:hint="eastAsia"/>
          <w:sz w:val="24"/>
          <w:szCs w:val="24"/>
        </w:rPr>
        <w:t xml:space="preserve">    答:尊敬的投资者，您好。今年以来，因算力业务交易形成的巨门系应收账款及其他应收款有陆续回收，公司将持续加强督促该款项的回收工作。除此之外，公司正通过持续强化智算业务订单交付以保障经营利润，同时拓展融资渠道、加强成本费用控制等多项措施保障现金流。感谢您的关注与支持。</w:t>
      </w:r>
    </w:p>
    <w:p w14:paraId="5A433495" w14:textId="4007EC73" w:rsidR="00683B3A" w:rsidRPr="00683B3A" w:rsidRDefault="00683B3A" w:rsidP="00683B3A">
      <w:pPr>
        <w:adjustRightInd w:val="0"/>
        <w:snapToGrid w:val="0"/>
        <w:spacing w:line="360" w:lineRule="auto"/>
        <w:ind w:firstLineChars="200" w:firstLine="482"/>
        <w:rPr>
          <w:rFonts w:asciiTheme="minorEastAsia" w:eastAsiaTheme="minorEastAsia" w:hAnsiTheme="minorEastAsia" w:hint="eastAsia"/>
          <w:b/>
          <w:sz w:val="24"/>
          <w:szCs w:val="24"/>
        </w:rPr>
      </w:pPr>
      <w:r w:rsidRPr="00683B3A">
        <w:rPr>
          <w:rFonts w:asciiTheme="minorEastAsia" w:eastAsiaTheme="minorEastAsia" w:hAnsiTheme="minorEastAsia" w:hint="eastAsia"/>
          <w:b/>
          <w:sz w:val="24"/>
          <w:szCs w:val="24"/>
        </w:rPr>
        <w:t>5.这个股价还能不能涨，一直喋喋不休的</w:t>
      </w:r>
    </w:p>
    <w:p w14:paraId="12EBBF27" w14:textId="7910F2B0" w:rsidR="00ED4122" w:rsidRDefault="00683B3A" w:rsidP="00ED4122">
      <w:pPr>
        <w:adjustRightInd w:val="0"/>
        <w:snapToGrid w:val="0"/>
        <w:spacing w:line="360" w:lineRule="auto"/>
        <w:ind w:firstLine="480"/>
        <w:rPr>
          <w:rFonts w:ascii="宋体" w:hAnsi="宋体" w:hint="eastAsia"/>
          <w:sz w:val="24"/>
          <w:szCs w:val="24"/>
        </w:rPr>
      </w:pPr>
      <w:r w:rsidRPr="00683B3A">
        <w:rPr>
          <w:rFonts w:ascii="宋体" w:hAnsi="宋体" w:hint="eastAsia"/>
          <w:sz w:val="24"/>
          <w:szCs w:val="24"/>
        </w:rPr>
        <w:t>答:尊敬的投资者，您好。二级市场股价波动受宏观经济、市场情绪、资金偏好等多重因素影响，公司始终坚持做好公司经营和可持续发展，增强股东获得感。敬请注意投资风险，感谢您的关注与支持，谢谢</w:t>
      </w:r>
    </w:p>
    <w:p w14:paraId="786A61C7" w14:textId="329DC290" w:rsidR="00683B3A" w:rsidRPr="00683B3A" w:rsidRDefault="00683B3A" w:rsidP="00ED4122">
      <w:pPr>
        <w:adjustRightInd w:val="0"/>
        <w:snapToGrid w:val="0"/>
        <w:spacing w:line="360" w:lineRule="auto"/>
        <w:ind w:firstLine="480"/>
        <w:rPr>
          <w:rFonts w:ascii="宋体" w:hAnsi="宋体" w:hint="eastAsia"/>
          <w:sz w:val="24"/>
          <w:szCs w:val="24"/>
        </w:rPr>
      </w:pPr>
      <w:r w:rsidRPr="00683B3A">
        <w:rPr>
          <w:rFonts w:asciiTheme="minorEastAsia" w:eastAsiaTheme="minorEastAsia" w:hAnsiTheme="minorEastAsia" w:hint="eastAsia"/>
          <w:b/>
          <w:sz w:val="24"/>
          <w:szCs w:val="24"/>
        </w:rPr>
        <w:t>6.从2026半年报营业收入数据来看，公司本期整体营收同比出现变动，请问哪些业务是拉动或者拖累上半年营收的核心因素？</w:t>
      </w:r>
    </w:p>
    <w:p w14:paraId="0E0AB7C7" w14:textId="4C38F47B" w:rsidR="00ED4122" w:rsidRDefault="00683B3A" w:rsidP="00ED4122">
      <w:pPr>
        <w:adjustRightInd w:val="0"/>
        <w:snapToGrid w:val="0"/>
        <w:spacing w:line="360" w:lineRule="auto"/>
        <w:ind w:firstLine="480"/>
        <w:rPr>
          <w:rFonts w:ascii="宋体" w:hAnsi="宋体" w:hint="eastAsia"/>
          <w:sz w:val="24"/>
          <w:szCs w:val="24"/>
        </w:rPr>
      </w:pPr>
      <w:r w:rsidRPr="00683B3A">
        <w:rPr>
          <w:rFonts w:ascii="宋体" w:hAnsi="宋体" w:hint="eastAsia"/>
          <w:sz w:val="24"/>
          <w:szCs w:val="24"/>
        </w:rPr>
        <w:t>答:尊敬的投资者，你好。公司2026年上半年的营业收入下降的主要原因是上年同期公司算力建设业务达到验收条件，本报告期内暂无相关业务达到收入确认所致。感谢您的关注与支持。</w:t>
      </w:r>
    </w:p>
    <w:p w14:paraId="4A114078" w14:textId="6D451385" w:rsidR="00683B3A" w:rsidRPr="00683B3A" w:rsidRDefault="00683B3A" w:rsidP="00ED4122">
      <w:pPr>
        <w:adjustRightInd w:val="0"/>
        <w:snapToGrid w:val="0"/>
        <w:spacing w:line="360" w:lineRule="auto"/>
        <w:ind w:firstLine="480"/>
        <w:rPr>
          <w:rFonts w:asciiTheme="minorEastAsia" w:eastAsiaTheme="minorEastAsia" w:hAnsiTheme="minorEastAsia" w:hint="eastAsia"/>
          <w:b/>
          <w:sz w:val="24"/>
          <w:szCs w:val="24"/>
        </w:rPr>
      </w:pPr>
      <w:r w:rsidRPr="00683B3A">
        <w:rPr>
          <w:rFonts w:asciiTheme="minorEastAsia" w:eastAsiaTheme="minorEastAsia" w:hAnsiTheme="minorEastAsia" w:hint="eastAsia"/>
          <w:b/>
          <w:sz w:val="24"/>
          <w:szCs w:val="24"/>
        </w:rPr>
        <w:t>7.之前提到过“增发”，现在有这方面的考虑么？</w:t>
      </w:r>
    </w:p>
    <w:p w14:paraId="1BBC6D2B" w14:textId="37BF0CDD" w:rsidR="00683B3A" w:rsidRPr="006E7A7B" w:rsidRDefault="00683B3A" w:rsidP="00683B3A">
      <w:pPr>
        <w:adjustRightInd w:val="0"/>
        <w:snapToGrid w:val="0"/>
        <w:spacing w:line="360" w:lineRule="auto"/>
        <w:rPr>
          <w:rFonts w:ascii="宋体" w:hAnsi="宋体" w:hint="eastAsia"/>
          <w:sz w:val="24"/>
          <w:szCs w:val="24"/>
        </w:rPr>
      </w:pPr>
      <w:r w:rsidRPr="00683B3A">
        <w:rPr>
          <w:rFonts w:ascii="宋体" w:hAnsi="宋体" w:hint="eastAsia"/>
          <w:sz w:val="24"/>
          <w:szCs w:val="24"/>
        </w:rPr>
        <w:t xml:space="preserve">    答:尊敬的投资者，您好。公司将根据自身战略发展和业务资金需求在适当时机借助资本市场平台获取相应支持，届时公司将根据相关规定履行信息披露义务，感谢您的关注与支持。</w:t>
      </w:r>
    </w:p>
    <w:p w14:paraId="3D60B02C" w14:textId="77777777" w:rsidR="006E7A7B" w:rsidRDefault="006E7A7B" w:rsidP="003F013F">
      <w:pPr>
        <w:adjustRightInd w:val="0"/>
        <w:snapToGrid w:val="0"/>
        <w:spacing w:line="360" w:lineRule="auto"/>
        <w:ind w:firstLineChars="200" w:firstLine="480"/>
        <w:rPr>
          <w:rFonts w:asciiTheme="minorEastAsia" w:eastAsiaTheme="minorEastAsia" w:hAnsiTheme="minorEastAsia" w:hint="eastAsia"/>
          <w:sz w:val="24"/>
          <w:szCs w:val="24"/>
        </w:rPr>
      </w:pPr>
    </w:p>
    <w:p w14:paraId="1C6E30CD" w14:textId="77777777" w:rsidR="002D6539" w:rsidRDefault="00F02F4E">
      <w:pPr>
        <w:adjustRightInd w:val="0"/>
        <w:snapToGrid w:val="0"/>
        <w:spacing w:line="360" w:lineRule="auto"/>
        <w:ind w:firstLineChars="200" w:firstLine="480"/>
        <w:rPr>
          <w:rFonts w:asciiTheme="minorEastAsia" w:eastAsiaTheme="minorEastAsia" w:hAnsiTheme="minorEastAsia" w:hint="eastAsia"/>
          <w:sz w:val="24"/>
          <w:szCs w:val="24"/>
        </w:rPr>
      </w:pPr>
      <w:r w:rsidRPr="00F02F4E">
        <w:rPr>
          <w:rFonts w:asciiTheme="minorEastAsia" w:eastAsiaTheme="minorEastAsia" w:hAnsiTheme="minorEastAsia" w:hint="eastAsia"/>
          <w:sz w:val="24"/>
          <w:szCs w:val="24"/>
        </w:rPr>
        <w:t>感谢各位投资者积极参与本次说明会，公司在此对长期以来关注和支持公司发展并积极提出建议的投资者表示衷心感谢！</w:t>
      </w:r>
    </w:p>
    <w:p w14:paraId="72AEBAE0" w14:textId="77777777" w:rsidR="006E7A7B" w:rsidRPr="00F02F4E" w:rsidRDefault="006E7A7B">
      <w:pPr>
        <w:adjustRightInd w:val="0"/>
        <w:snapToGrid w:val="0"/>
        <w:spacing w:line="360" w:lineRule="auto"/>
        <w:ind w:firstLineChars="200" w:firstLine="480"/>
        <w:rPr>
          <w:rFonts w:asciiTheme="minorEastAsia" w:eastAsiaTheme="minorEastAsia" w:hAnsiTheme="minorEastAsia" w:hint="eastAsia"/>
          <w:sz w:val="24"/>
          <w:szCs w:val="24"/>
        </w:rPr>
      </w:pPr>
    </w:p>
    <w:p w14:paraId="4A52E5C4" w14:textId="77777777" w:rsidR="002D6539" w:rsidRPr="00F02F4E" w:rsidRDefault="002D6539">
      <w:pPr>
        <w:adjustRightInd w:val="0"/>
        <w:snapToGrid w:val="0"/>
        <w:spacing w:line="360" w:lineRule="auto"/>
        <w:ind w:firstLineChars="200" w:firstLine="480"/>
        <w:rPr>
          <w:rFonts w:asciiTheme="minorEastAsia" w:eastAsiaTheme="minorEastAsia" w:hAnsiTheme="minorEastAsia" w:hint="eastAsia"/>
          <w:sz w:val="24"/>
          <w:szCs w:val="24"/>
        </w:rPr>
      </w:pPr>
    </w:p>
    <w:p w14:paraId="69455A01" w14:textId="11AF86A2" w:rsidR="002D6539" w:rsidRPr="00F02F4E" w:rsidRDefault="00FB22DF">
      <w:pPr>
        <w:adjustRightInd w:val="0"/>
        <w:snapToGrid w:val="0"/>
        <w:spacing w:line="360" w:lineRule="auto"/>
        <w:jc w:val="right"/>
        <w:rPr>
          <w:rFonts w:asciiTheme="minorEastAsia" w:eastAsiaTheme="minorEastAsia" w:hAnsiTheme="minorEastAsia" w:hint="eastAsia"/>
          <w:sz w:val="24"/>
          <w:szCs w:val="24"/>
        </w:rPr>
      </w:pPr>
      <w:r w:rsidRPr="00F02F4E">
        <w:rPr>
          <w:rFonts w:asciiTheme="minorEastAsia" w:eastAsiaTheme="minorEastAsia" w:hAnsiTheme="minorEastAsia" w:hint="eastAsia"/>
          <w:sz w:val="24"/>
          <w:szCs w:val="24"/>
        </w:rPr>
        <w:t>超讯</w:t>
      </w:r>
      <w:r w:rsidR="00683B3A">
        <w:rPr>
          <w:rFonts w:asciiTheme="minorEastAsia" w:eastAsiaTheme="minorEastAsia" w:hAnsiTheme="minorEastAsia" w:hint="eastAsia"/>
          <w:sz w:val="24"/>
          <w:szCs w:val="24"/>
        </w:rPr>
        <w:t>科技</w:t>
      </w:r>
      <w:r w:rsidRPr="00F02F4E">
        <w:rPr>
          <w:rFonts w:asciiTheme="minorEastAsia" w:eastAsiaTheme="minorEastAsia" w:hAnsiTheme="minorEastAsia" w:hint="eastAsia"/>
          <w:sz w:val="24"/>
          <w:szCs w:val="24"/>
        </w:rPr>
        <w:t>股份有限公司</w:t>
      </w:r>
      <w:r w:rsidR="00F02F4E" w:rsidRPr="00F02F4E">
        <w:rPr>
          <w:rFonts w:asciiTheme="minorEastAsia" w:eastAsiaTheme="minorEastAsia" w:hAnsiTheme="minorEastAsia" w:hint="eastAsia"/>
          <w:sz w:val="24"/>
          <w:szCs w:val="24"/>
        </w:rPr>
        <w:t>董事会</w:t>
      </w:r>
    </w:p>
    <w:p w14:paraId="249AD558" w14:textId="5B98B55C" w:rsidR="002D6539" w:rsidRPr="00F02F4E" w:rsidRDefault="006E7A7B">
      <w:pPr>
        <w:adjustRightInd w:val="0"/>
        <w:snapToGrid w:val="0"/>
        <w:spacing w:line="360" w:lineRule="auto"/>
        <w:jc w:val="right"/>
        <w:rPr>
          <w:rFonts w:asciiTheme="minorEastAsia" w:eastAsiaTheme="minorEastAsia" w:hAnsiTheme="minorEastAsia" w:hint="eastAsia"/>
          <w:sz w:val="24"/>
          <w:szCs w:val="24"/>
        </w:rPr>
      </w:pPr>
      <w:r>
        <w:rPr>
          <w:rFonts w:asciiTheme="minorEastAsia" w:eastAsiaTheme="minorEastAsia" w:hAnsiTheme="minorEastAsia" w:hint="eastAsia"/>
          <w:sz w:val="24"/>
          <w:szCs w:val="24"/>
        </w:rPr>
        <w:t>202</w:t>
      </w:r>
      <w:r w:rsidR="00683B3A">
        <w:rPr>
          <w:rFonts w:asciiTheme="minorEastAsia" w:eastAsiaTheme="minorEastAsia" w:hAnsiTheme="minorEastAsia" w:hint="eastAsia"/>
          <w:sz w:val="24"/>
          <w:szCs w:val="24"/>
        </w:rPr>
        <w:t>6</w:t>
      </w:r>
      <w:r w:rsidR="00F02F4E" w:rsidRPr="00F02F4E">
        <w:rPr>
          <w:rFonts w:asciiTheme="minorEastAsia" w:eastAsiaTheme="minorEastAsia" w:hAnsiTheme="minorEastAsia" w:hint="eastAsia"/>
          <w:sz w:val="24"/>
          <w:szCs w:val="24"/>
        </w:rPr>
        <w:t>年</w:t>
      </w:r>
      <w:r w:rsidR="00683B3A">
        <w:rPr>
          <w:rFonts w:asciiTheme="minorEastAsia" w:eastAsiaTheme="minorEastAsia" w:hAnsiTheme="minorEastAsia" w:hint="eastAsia"/>
          <w:sz w:val="24"/>
          <w:szCs w:val="24"/>
        </w:rPr>
        <w:t>8</w:t>
      </w:r>
      <w:r w:rsidR="00F02F4E" w:rsidRPr="00F02F4E">
        <w:rPr>
          <w:rFonts w:asciiTheme="minorEastAsia" w:eastAsiaTheme="minorEastAsia" w:hAnsiTheme="minorEastAsia" w:hint="eastAsia"/>
          <w:sz w:val="24"/>
          <w:szCs w:val="24"/>
        </w:rPr>
        <w:t>月</w:t>
      </w:r>
      <w:r w:rsidR="00683B3A">
        <w:rPr>
          <w:rFonts w:asciiTheme="minorEastAsia" w:eastAsiaTheme="minorEastAsia" w:hAnsiTheme="minorEastAsia" w:hint="eastAsia"/>
          <w:sz w:val="24"/>
          <w:szCs w:val="24"/>
        </w:rPr>
        <w:t>31</w:t>
      </w:r>
      <w:r w:rsidR="00F02F4E" w:rsidRPr="00F02F4E">
        <w:rPr>
          <w:rFonts w:asciiTheme="minorEastAsia" w:eastAsiaTheme="minorEastAsia" w:hAnsiTheme="minorEastAsia" w:hint="eastAsia"/>
          <w:sz w:val="24"/>
          <w:szCs w:val="24"/>
        </w:rPr>
        <w:t>日</w:t>
      </w:r>
    </w:p>
    <w:sectPr w:rsidR="002D6539" w:rsidRPr="00F02F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42E4" w14:textId="77777777" w:rsidR="00B6293B" w:rsidRDefault="00B6293B" w:rsidP="008D1D0D">
      <w:r>
        <w:separator/>
      </w:r>
    </w:p>
  </w:endnote>
  <w:endnote w:type="continuationSeparator" w:id="0">
    <w:p w14:paraId="472347E3" w14:textId="77777777" w:rsidR="00B6293B" w:rsidRDefault="00B6293B" w:rsidP="008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8FB73" w14:textId="77777777" w:rsidR="00B6293B" w:rsidRDefault="00B6293B" w:rsidP="008D1D0D">
      <w:r>
        <w:separator/>
      </w:r>
    </w:p>
  </w:footnote>
  <w:footnote w:type="continuationSeparator" w:id="0">
    <w:p w14:paraId="6AD5746B" w14:textId="77777777" w:rsidR="00B6293B" w:rsidRDefault="00B6293B" w:rsidP="008D1D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trackRevisions/>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mY0Njc3MjUzM2Q5MjMyYmZkNmQyZjlhZTE3ZWZlZWUifQ=="/>
  </w:docVars>
  <w:rsids>
    <w:rsidRoot w:val="00AF36DA"/>
    <w:rsid w:val="00001739"/>
    <w:rsid w:val="00006080"/>
    <w:rsid w:val="00015F95"/>
    <w:rsid w:val="00023205"/>
    <w:rsid w:val="000425DB"/>
    <w:rsid w:val="000433F2"/>
    <w:rsid w:val="00053148"/>
    <w:rsid w:val="00057161"/>
    <w:rsid w:val="00064DED"/>
    <w:rsid w:val="000B77EC"/>
    <w:rsid w:val="000C64E4"/>
    <w:rsid w:val="000D1335"/>
    <w:rsid w:val="000D2B72"/>
    <w:rsid w:val="000E30AA"/>
    <w:rsid w:val="000E4DDE"/>
    <w:rsid w:val="001026A4"/>
    <w:rsid w:val="00106EAF"/>
    <w:rsid w:val="001145BB"/>
    <w:rsid w:val="00117764"/>
    <w:rsid w:val="001300F4"/>
    <w:rsid w:val="00140A32"/>
    <w:rsid w:val="00147806"/>
    <w:rsid w:val="00156F17"/>
    <w:rsid w:val="0016627A"/>
    <w:rsid w:val="001870B1"/>
    <w:rsid w:val="001A6BD6"/>
    <w:rsid w:val="001D6CAF"/>
    <w:rsid w:val="001E4943"/>
    <w:rsid w:val="001F5EDE"/>
    <w:rsid w:val="001F6501"/>
    <w:rsid w:val="0021520A"/>
    <w:rsid w:val="00222606"/>
    <w:rsid w:val="00226FE2"/>
    <w:rsid w:val="002322CD"/>
    <w:rsid w:val="00244182"/>
    <w:rsid w:val="0025103B"/>
    <w:rsid w:val="002615F3"/>
    <w:rsid w:val="00266CC3"/>
    <w:rsid w:val="002A3D8E"/>
    <w:rsid w:val="002D6539"/>
    <w:rsid w:val="002E5E95"/>
    <w:rsid w:val="002F1295"/>
    <w:rsid w:val="002F5F06"/>
    <w:rsid w:val="003011D1"/>
    <w:rsid w:val="00301839"/>
    <w:rsid w:val="00301CBA"/>
    <w:rsid w:val="00327489"/>
    <w:rsid w:val="00332044"/>
    <w:rsid w:val="00332F21"/>
    <w:rsid w:val="00334C3C"/>
    <w:rsid w:val="00334C7F"/>
    <w:rsid w:val="00340FB6"/>
    <w:rsid w:val="003502FC"/>
    <w:rsid w:val="003617E8"/>
    <w:rsid w:val="0037217B"/>
    <w:rsid w:val="0037684F"/>
    <w:rsid w:val="003864F7"/>
    <w:rsid w:val="00396EC9"/>
    <w:rsid w:val="003A308A"/>
    <w:rsid w:val="003B6841"/>
    <w:rsid w:val="003C6865"/>
    <w:rsid w:val="003D7677"/>
    <w:rsid w:val="003D7EF8"/>
    <w:rsid w:val="003F013F"/>
    <w:rsid w:val="003F52F9"/>
    <w:rsid w:val="00407DA9"/>
    <w:rsid w:val="00413999"/>
    <w:rsid w:val="00422D99"/>
    <w:rsid w:val="004353F6"/>
    <w:rsid w:val="00440DFC"/>
    <w:rsid w:val="0045073C"/>
    <w:rsid w:val="00456C33"/>
    <w:rsid w:val="0046239D"/>
    <w:rsid w:val="00475EF3"/>
    <w:rsid w:val="0048276D"/>
    <w:rsid w:val="00492D85"/>
    <w:rsid w:val="00521446"/>
    <w:rsid w:val="005251A1"/>
    <w:rsid w:val="005362B1"/>
    <w:rsid w:val="0053721F"/>
    <w:rsid w:val="0055135D"/>
    <w:rsid w:val="00553563"/>
    <w:rsid w:val="005672A3"/>
    <w:rsid w:val="005903B8"/>
    <w:rsid w:val="005D3977"/>
    <w:rsid w:val="005F0AE6"/>
    <w:rsid w:val="005F17C6"/>
    <w:rsid w:val="005F471A"/>
    <w:rsid w:val="005F6E89"/>
    <w:rsid w:val="0061023E"/>
    <w:rsid w:val="00627B37"/>
    <w:rsid w:val="00630AF9"/>
    <w:rsid w:val="0064111A"/>
    <w:rsid w:val="00641612"/>
    <w:rsid w:val="006835B5"/>
    <w:rsid w:val="00683B3A"/>
    <w:rsid w:val="006B72F0"/>
    <w:rsid w:val="006B7331"/>
    <w:rsid w:val="006C3637"/>
    <w:rsid w:val="006E7A7B"/>
    <w:rsid w:val="0070500E"/>
    <w:rsid w:val="00705EF4"/>
    <w:rsid w:val="00736D8E"/>
    <w:rsid w:val="00751F14"/>
    <w:rsid w:val="00754860"/>
    <w:rsid w:val="00780B3B"/>
    <w:rsid w:val="00787D1A"/>
    <w:rsid w:val="00790264"/>
    <w:rsid w:val="007A4362"/>
    <w:rsid w:val="007C5F05"/>
    <w:rsid w:val="007E288D"/>
    <w:rsid w:val="007E3EEF"/>
    <w:rsid w:val="007F6356"/>
    <w:rsid w:val="008059F1"/>
    <w:rsid w:val="00826420"/>
    <w:rsid w:val="00827315"/>
    <w:rsid w:val="00827A1A"/>
    <w:rsid w:val="0083702C"/>
    <w:rsid w:val="008420E2"/>
    <w:rsid w:val="00844BC7"/>
    <w:rsid w:val="008651B5"/>
    <w:rsid w:val="008818F5"/>
    <w:rsid w:val="00886C43"/>
    <w:rsid w:val="008A413A"/>
    <w:rsid w:val="008B3880"/>
    <w:rsid w:val="008D1D0D"/>
    <w:rsid w:val="008D3254"/>
    <w:rsid w:val="008F27DD"/>
    <w:rsid w:val="008F5469"/>
    <w:rsid w:val="008F63C8"/>
    <w:rsid w:val="008F799C"/>
    <w:rsid w:val="009057A7"/>
    <w:rsid w:val="009127D5"/>
    <w:rsid w:val="0094289C"/>
    <w:rsid w:val="009437E4"/>
    <w:rsid w:val="009741D0"/>
    <w:rsid w:val="009779E3"/>
    <w:rsid w:val="009A3EFA"/>
    <w:rsid w:val="009A7E32"/>
    <w:rsid w:val="009E15CC"/>
    <w:rsid w:val="009F716A"/>
    <w:rsid w:val="00A71709"/>
    <w:rsid w:val="00AC3BAF"/>
    <w:rsid w:val="00AD2740"/>
    <w:rsid w:val="00AF36DA"/>
    <w:rsid w:val="00AF6452"/>
    <w:rsid w:val="00B25A8F"/>
    <w:rsid w:val="00B310E3"/>
    <w:rsid w:val="00B3570B"/>
    <w:rsid w:val="00B50D1D"/>
    <w:rsid w:val="00B6293B"/>
    <w:rsid w:val="00B6518E"/>
    <w:rsid w:val="00B81E41"/>
    <w:rsid w:val="00B85524"/>
    <w:rsid w:val="00B92284"/>
    <w:rsid w:val="00B95755"/>
    <w:rsid w:val="00BB1A62"/>
    <w:rsid w:val="00BB3E7D"/>
    <w:rsid w:val="00BC2CFC"/>
    <w:rsid w:val="00BC56AB"/>
    <w:rsid w:val="00BD014B"/>
    <w:rsid w:val="00BD75AE"/>
    <w:rsid w:val="00BE3701"/>
    <w:rsid w:val="00C0258B"/>
    <w:rsid w:val="00C06766"/>
    <w:rsid w:val="00C10290"/>
    <w:rsid w:val="00C137F9"/>
    <w:rsid w:val="00C37EA5"/>
    <w:rsid w:val="00C4375A"/>
    <w:rsid w:val="00C5433A"/>
    <w:rsid w:val="00C74686"/>
    <w:rsid w:val="00C75399"/>
    <w:rsid w:val="00C943CE"/>
    <w:rsid w:val="00CA7F4B"/>
    <w:rsid w:val="00CC57AB"/>
    <w:rsid w:val="00CD11D0"/>
    <w:rsid w:val="00CD2DE8"/>
    <w:rsid w:val="00CD7398"/>
    <w:rsid w:val="00D055BC"/>
    <w:rsid w:val="00D06BED"/>
    <w:rsid w:val="00D3440C"/>
    <w:rsid w:val="00D54932"/>
    <w:rsid w:val="00D7025A"/>
    <w:rsid w:val="00D73649"/>
    <w:rsid w:val="00D80AD0"/>
    <w:rsid w:val="00D92C10"/>
    <w:rsid w:val="00DA1C0A"/>
    <w:rsid w:val="00DC3790"/>
    <w:rsid w:val="00DC4FAF"/>
    <w:rsid w:val="00DC71C8"/>
    <w:rsid w:val="00DC7630"/>
    <w:rsid w:val="00DD241D"/>
    <w:rsid w:val="00DD6C60"/>
    <w:rsid w:val="00DF32CC"/>
    <w:rsid w:val="00E104AD"/>
    <w:rsid w:val="00E304B1"/>
    <w:rsid w:val="00E31390"/>
    <w:rsid w:val="00E322B0"/>
    <w:rsid w:val="00E56763"/>
    <w:rsid w:val="00E75E70"/>
    <w:rsid w:val="00E96104"/>
    <w:rsid w:val="00EB6D75"/>
    <w:rsid w:val="00EB74AB"/>
    <w:rsid w:val="00ED4122"/>
    <w:rsid w:val="00ED630D"/>
    <w:rsid w:val="00EE66B2"/>
    <w:rsid w:val="00F01FE1"/>
    <w:rsid w:val="00F02F4E"/>
    <w:rsid w:val="00F103F3"/>
    <w:rsid w:val="00F13040"/>
    <w:rsid w:val="00F32538"/>
    <w:rsid w:val="00F578BA"/>
    <w:rsid w:val="00F61AA5"/>
    <w:rsid w:val="00F631B1"/>
    <w:rsid w:val="00F67742"/>
    <w:rsid w:val="00F72D0C"/>
    <w:rsid w:val="00F9092E"/>
    <w:rsid w:val="00FA009F"/>
    <w:rsid w:val="00FA2921"/>
    <w:rsid w:val="00FB02C1"/>
    <w:rsid w:val="00FB0A61"/>
    <w:rsid w:val="00FB2178"/>
    <w:rsid w:val="00FB22DF"/>
    <w:rsid w:val="17203B91"/>
    <w:rsid w:val="35DC1B36"/>
    <w:rsid w:val="619F60B9"/>
    <w:rsid w:val="70D30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CBAF1"/>
  <w15:docId w15:val="{A5636259-C1EC-48C1-AD6D-8A36385F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paragraph" w:styleId="ae">
    <w:name w:val="List Paragraph"/>
    <w:basedOn w:val="a"/>
    <w:uiPriority w:val="34"/>
    <w:qFormat/>
    <w:pPr>
      <w:ind w:firstLineChars="200" w:firstLine="420"/>
    </w:p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kern w:val="2"/>
      <w:sz w:val="21"/>
      <w:szCs w:val="22"/>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paragraph" w:styleId="af">
    <w:name w:val="Revision"/>
    <w:hidden/>
    <w:uiPriority w:val="99"/>
    <w:unhideWhenUsed/>
    <w:rsid w:val="0083702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934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F0BF6-C060-4289-B76F-9B8F86706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936</Words>
  <Characters>974</Characters>
  <Application>Microsoft Office Word</Application>
  <DocSecurity>0</DocSecurity>
  <Lines>37</Lines>
  <Paragraphs>20</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dc:creator>
  <cp:lastModifiedBy>浩拥 何</cp:lastModifiedBy>
  <cp:revision>20</cp:revision>
  <cp:lastPrinted>2023-09-21T09:31:00Z</cp:lastPrinted>
  <dcterms:created xsi:type="dcterms:W3CDTF">2023-09-21T09:22:00Z</dcterms:created>
  <dcterms:modified xsi:type="dcterms:W3CDTF">2026-09-08T09:34:00Z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F7A4ADC67693462F8CB1545CEAB05CF6</vt:lpwstr>
  </property>
</Properties>
</file>