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5BF17">
      <w:pPr>
        <w:pStyle w:val="2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>证券代码：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603230</w:t>
      </w: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内蒙新华</w:t>
      </w:r>
    </w:p>
    <w:p w14:paraId="6CCB8712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79C04B77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内蒙古新华发行集团股份有限公司</w:t>
      </w:r>
    </w:p>
    <w:p w14:paraId="7A9D1259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p w14:paraId="6DFA058F">
      <w:pPr>
        <w:spacing w:before="51" w:after="32"/>
        <w:ind w:right="619"/>
        <w:jc w:val="right"/>
        <w:rPr>
          <w:rFonts w:hint="default" w:ascii="宋体" w:hAnsi="宋体" w:eastAsia="宋体" w:cs="宋体"/>
          <w:sz w:val="20"/>
          <w:szCs w:val="20"/>
          <w:lang w:val="en-US" w:eastAsia="zh-CN"/>
        </w:rPr>
      </w:pPr>
      <w:r>
        <w:rPr>
          <w:rFonts w:hint="eastAsia" w:ascii="宋体" w:hAnsi="宋体" w:eastAsia="宋体" w:cs="宋体"/>
          <w:sz w:val="20"/>
          <w:szCs w:val="20"/>
        </w:rPr>
        <w:t>编号：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2026</w:t>
      </w:r>
      <w:r>
        <w:rPr>
          <w:rFonts w:hint="eastAsia" w:ascii="宋体" w:hAnsi="宋体" w:eastAsia="宋体" w:cs="宋体"/>
          <w:sz w:val="20"/>
          <w:szCs w:val="20"/>
        </w:rPr>
        <w:t xml:space="preserve"> -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003</w:t>
      </w:r>
    </w:p>
    <w:tbl>
      <w:tblPr>
        <w:tblStyle w:val="9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59728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2A797784">
            <w:pPr>
              <w:pStyle w:val="12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D5416D5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5A52E139">
            <w:pPr>
              <w:pStyle w:val="12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0595BAF">
            <w:pPr>
              <w:pStyle w:val="12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1C59C9C4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69F57910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  <w:lang w:val="zh-CN" w:eastAsia="zh-CN" w:bidi="zh-CN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531B3D2D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29EFAF7B">
            <w:pPr>
              <w:pStyle w:val="12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36BBB446">
            <w:pPr>
              <w:pStyle w:val="12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A9FDC32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46BB4208">
            <w:pPr>
              <w:pStyle w:val="12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DC8B172">
            <w:pPr>
              <w:pStyle w:val="12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其他（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</w:rPr>
              <w:t>请文字说明其他活动内容）</w:t>
            </w:r>
          </w:p>
        </w:tc>
      </w:tr>
      <w:tr w14:paraId="79DB1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684947A3">
            <w:pPr>
              <w:pStyle w:val="12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4B1E7D4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hint="default" w:eastAsia="宋体" w:cs="宋体" w:asciiTheme="minorEastAsia" w:hAnsi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线上参与公司2026年半年度业绩说明会的投资者</w:t>
            </w:r>
          </w:p>
        </w:tc>
      </w:tr>
      <w:tr w14:paraId="7360E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36977C9B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6920F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2026年09月09日 15:00-16:00</w:t>
            </w:r>
          </w:p>
        </w:tc>
      </w:tr>
      <w:tr w14:paraId="28594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2DF79CA1">
            <w:pPr>
              <w:pStyle w:val="12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56FB920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cs="宋体" w:asciiTheme="minorEastAsia" w:hAnsiTheme="minorEastAsia" w:eastAsiaTheme="minorEastAsia"/>
                <w:sz w:val="20"/>
                <w:szCs w:val="20"/>
              </w:rPr>
            </w:pPr>
            <w:r>
              <w:rPr>
                <w:rFonts w:cs="宋体" w:asciiTheme="minorEastAsia" w:hAnsiTheme="minorEastAsia" w:eastAsiaTheme="minorEastAsia"/>
                <w:sz w:val="20"/>
                <w:szCs w:val="20"/>
              </w:rPr>
              <w:t>价值在线（https://www.ir-online.cn/）网络互动</w:t>
            </w:r>
          </w:p>
        </w:tc>
      </w:tr>
      <w:tr w14:paraId="06DB6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3A13660D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08EE312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董事长 秦建平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财务负责人 谢美玲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董事会秘书 张瑞平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独立董事 王中华</w:t>
            </w:r>
          </w:p>
        </w:tc>
      </w:tr>
      <w:tr w14:paraId="31222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580" w:type="dxa"/>
          </w:tcPr>
          <w:p w14:paraId="1CD5B90C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16349EB1">
            <w:pPr>
              <w:pStyle w:val="12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0C88A24B">
            <w:pPr>
              <w:pStyle w:val="12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2728362C">
            <w:pPr>
              <w:pStyle w:val="12"/>
              <w:spacing w:before="1" w:line="499" w:lineRule="auto"/>
              <w:ind w:left="107" w:right="96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06B098B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 xml:space="preserve">    1.公司如何维护股东利益，将如何转型？是不是口号还是将实行动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，公司始终重视股东权益维护，在治理层面，严格遵循法规完善公司治理结构；在回报层面，上市以来连续实施现金分红；在沟通层面，通过上证E互动、业绩说明会等多种渠道保障投资者知情权。关于业务转型，公司已明确以教育服务、文化消费和现代物流三大板块为核心，加快从“图书发行商”向“综合文化服务商”转变，围绕政府、学校、社区等不同主体提供阅读空间设计、阅读活动策划、阅读课程开发等一体化解决方案；同时整合服务资源，丰富“文化+”多元业态，持续培育新质生产力，积极寻找新的利润增长点。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sz w:val="20"/>
              </w:rPr>
              <w:t>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2.上半年公司在降本增效以及内控安全管理方面做了哪些工作？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！2026年上半年，公司在推进降本增效，内控建设方面主要开展了以下工作：一是扎实推进合规内控体系建设，累计制订和修订各类制度13项；修订国有资产转让、交易监督、产权登记等6项管理制度，全面提升产权规范化水平；二是开展成本管控专项行动，严控物流、运维及各类非刚性支出；三是建立常态化经营调度督导机制，经营管理层先后深入各子分公司调研督导20余次，摸排经营短板、破解发展难题；四是常态化开展门店卖场、仓储库区、办公区域风险排查，整治房屋资产安全隐患20余处，筑牢安全发展防线。感谢您对公司的关注。</w:t>
            </w:r>
            <w:r>
              <w:rPr>
                <w:rFonts w:ascii="宋体" w:hAnsi="宋体" w:eastAsia="宋体" w:cs="宋体"/>
                <w:b w:val="0"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/>
                <w:sz w:val="20"/>
              </w:rPr>
              <w:t xml:space="preserve">    3.公司提到加快从“图书发行商”向“综合文化服务商”转型，请问这一战略转型的核心竞争力体现在哪些方面？</w:t>
            </w:r>
            <w:r>
              <w:rPr>
                <w:rFonts w:ascii="宋体" w:hAnsi="宋体" w:eastAsia="宋体" w:cs="宋体"/>
                <w:b/>
                <w:sz w:val="20"/>
              </w:rPr>
              <w:br w:type="textWrapping"/>
            </w:r>
            <w:r>
              <w:rPr>
                <w:rFonts w:ascii="宋体" w:hAnsi="宋体" w:eastAsia="宋体" w:cs="宋体"/>
                <w:b w:val="0"/>
                <w:sz w:val="20"/>
              </w:rPr>
              <w:t xml:space="preserve">    答:尊敬的投资者您好！公司的核心竞争力主要体现在以下三个方面：一是覆盖全区的渠道网络与教育资源优势。公司构建起遍布全区城乡的实体门店网络，同时承担自治区中小学教材、教辅的发行任务，深度绑定教育体系，线上线下渠道协同，具备完整的图书发行供应链，拥有稳定的刚需业务底盘；二是线下实体文化空间体验优势。公司将门店定位为城市文化会客厅，提供免费阅读、文化讲座、研学活动等公共文化场景，门店不再单纯卖书，而是提供沉浸式阅读体验，通过空间服务吸引客流，打造线下独有的场景价值，弥补线上消费缺少的文化体验感；三是多元业态融合的综合运营能力。公司突破单一卖书模式，拓展文创、咖啡、研学等多元业务，实现“图书+”跨界经营，依托自身品牌、场地、客户资源，把图书主业和衍生服务结合，拓宽收入来源，提升综合盈利能力，以增强在市场环境中的生存与发展能力。感谢您对公司的关注。</w:t>
            </w:r>
          </w:p>
        </w:tc>
      </w:tr>
      <w:tr w14:paraId="5E3AD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04192400">
            <w:pPr>
              <w:pStyle w:val="12"/>
              <w:spacing w:before="1"/>
              <w:ind w:left="107"/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5F335693">
            <w:pPr>
              <w:pStyle w:val="12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31947BB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69DCE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3B11EEC9">
            <w:pPr>
              <w:pStyle w:val="12"/>
              <w:spacing w:before="1"/>
              <w:ind w:left="107" w:leftChars="0"/>
              <w:rPr>
                <w:rFonts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1D24E73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 w:line="360" w:lineRule="auto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</w:p>
        </w:tc>
      </w:tr>
      <w:tr w14:paraId="20071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76F72EF">
            <w:pPr>
              <w:pStyle w:val="12"/>
              <w:spacing w:before="1"/>
              <w:ind w:left="107" w:leftChars="0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7753B3C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0" w:beforeAutospacing="1"/>
              <w:textAlignment w:val="auto"/>
              <w:rPr>
                <w:rFonts w:ascii="宋体" w:hAnsi="宋体" w:eastAsia="宋体" w:cs="宋体"/>
                <w:sz w:val="20"/>
                <w:szCs w:val="20"/>
                <w:lang w:val="zh-CN" w:eastAsia="zh-CN" w:bidi="zh-CN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2026年09月09日</w:t>
            </w:r>
          </w:p>
        </w:tc>
      </w:tr>
    </w:tbl>
    <w:p w14:paraId="5DE9FB83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2AA0BFF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9D22B4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A36849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5E6746E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1289</Words>
  <Characters>1356</Characters>
  <Lines>2</Lines>
  <Paragraphs>1</Paragraphs>
  <TotalTime>5</TotalTime>
  <ScaleCrop>false</ScaleCrop>
  <LinksUpToDate>false</LinksUpToDate>
  <CharactersWithSpaces>1439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林晓荣</cp:lastModifiedBy>
  <cp:lastPrinted>2026-09-09T08:17:00Z</cp:lastPrinted>
  <dcterms:modified xsi:type="dcterms:W3CDTF">2026-09-09T08:21:22Z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F5FEAF21D7BC4A45A5B30F02D3D4A8D8_13</vt:lpwstr>
  </property>
  <property fmtid="{D5CDD505-2E9C-101B-9397-08002B2CF9AE}" pid="4" name="KSOTemplateDocerSaveRecord">
    <vt:lpwstr>eyJoZGlkIjoiZWY5YjI5ZTg3MDljYzQ0YTM0M2JhNTU1NDEwNTYzNTQiLCJ1c2VySWQiOiI2MzMyNDk1ODMifQ==</vt:lpwstr>
  </property>
</Properties>
</file>