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87463">
      <w:pPr>
        <w:widowControl/>
        <w:tabs>
          <w:tab w:val="right" w:pos="8360"/>
        </w:tabs>
        <w:spacing w:before="120" w:after="240"/>
        <w:jc w:val="left"/>
        <w:rPr>
          <w:rFonts w:ascii="Times New Roman" w:hAnsi="Times New Roman" w:eastAsia="宋体" w:cs="Times New Roman"/>
          <w:b/>
          <w:bCs/>
          <w:sz w:val="24"/>
          <w:szCs w:val="24"/>
          <w:lang w:val="ru-RU"/>
        </w:rPr>
      </w:pPr>
      <w:r>
        <w:rPr>
          <w:rFonts w:ascii="Times New Roman" w:hAnsi="Times New Roman" w:eastAsia="宋体" w:cs="Times New Roman"/>
          <w:b/>
          <w:bCs/>
          <w:sz w:val="24"/>
          <w:szCs w:val="24"/>
          <w:lang w:val="ru-RU"/>
        </w:rPr>
        <w:t>证券代码：603120</w:t>
      </w:r>
      <w:r>
        <w:rPr>
          <w:rFonts w:ascii="Times New Roman" w:hAnsi="Times New Roman" w:eastAsia="宋体" w:cs="Times New Roman"/>
          <w:b/>
          <w:bCs/>
          <w:sz w:val="24"/>
          <w:szCs w:val="24"/>
          <w:lang w:val="ru-RU"/>
        </w:rPr>
        <w:tab/>
      </w:r>
      <w:r>
        <w:rPr>
          <w:rFonts w:ascii="Times New Roman" w:hAnsi="Times New Roman" w:eastAsia="宋体" w:cs="Times New Roman"/>
          <w:b/>
          <w:bCs/>
          <w:sz w:val="24"/>
          <w:szCs w:val="24"/>
          <w:lang w:val="ru-RU"/>
        </w:rPr>
        <w:t>证券简称：肯特催化</w:t>
      </w:r>
    </w:p>
    <w:p w14:paraId="3F8BEDD5">
      <w:pPr>
        <w:widowControl/>
        <w:adjustRightInd w:val="0"/>
        <w:snapToGrid w:val="0"/>
        <w:spacing w:line="360" w:lineRule="auto"/>
        <w:jc w:val="center"/>
        <w:rPr>
          <w:rFonts w:hint="eastAsia" w:ascii="宋体" w:hAnsi="宋体" w:eastAsia="宋体" w:cs="RDFSIJ+ºÚÌå"/>
          <w:b/>
          <w:bCs/>
          <w:color w:val="000000"/>
          <w:sz w:val="32"/>
          <w:szCs w:val="32"/>
          <w:lang w:val="ru-RU"/>
        </w:rPr>
      </w:pPr>
      <w:r>
        <w:rPr>
          <w:rFonts w:hint="eastAsia" w:ascii="宋体" w:hAnsi="宋体" w:eastAsia="宋体" w:cs="RDFSIJ+ºÚÌå"/>
          <w:b/>
          <w:bCs/>
          <w:color w:val="000000"/>
          <w:sz w:val="32"/>
          <w:szCs w:val="32"/>
          <w:lang w:val="ru-RU"/>
        </w:rPr>
        <w:t>肯特催化材料股份有限公司</w:t>
      </w:r>
    </w:p>
    <w:p w14:paraId="19405468">
      <w:pPr>
        <w:widowControl/>
        <w:adjustRightInd w:val="0"/>
        <w:snapToGrid w:val="0"/>
        <w:spacing w:line="360" w:lineRule="auto"/>
        <w:jc w:val="center"/>
        <w:rPr>
          <w:rFonts w:hint="eastAsia" w:ascii="宋体" w:hAnsi="宋体" w:eastAsia="宋体" w:cs="RDFSIJ+ºÚÌå"/>
          <w:color w:val="000000"/>
          <w:sz w:val="32"/>
          <w:szCs w:val="32"/>
          <w:lang w:val="ru-RU"/>
        </w:rPr>
      </w:pPr>
      <w:r>
        <w:rPr>
          <w:rFonts w:hint="eastAsia" w:ascii="宋体" w:hAnsi="宋体" w:eastAsia="宋体" w:cs="RDFSIJ+ºÚÌå"/>
          <w:b/>
          <w:bCs/>
          <w:color w:val="000000"/>
          <w:sz w:val="32"/>
          <w:szCs w:val="32"/>
          <w:lang w:val="ru-RU"/>
        </w:rPr>
        <w:t>投资者关系活动记录表</w:t>
      </w:r>
    </w:p>
    <w:p w14:paraId="2F9B7ED8">
      <w:pPr>
        <w:widowControl/>
        <w:adjustRightInd w:val="0"/>
        <w:snapToGrid w:val="0"/>
        <w:spacing w:line="360" w:lineRule="auto"/>
        <w:jc w:val="right"/>
        <w:rPr>
          <w:rFonts w:hint="eastAsia" w:ascii="Times New Roman" w:hAnsi="Times New Roman" w:eastAsia="宋体" w:cs="Times New Roman"/>
          <w:color w:val="000000"/>
          <w:sz w:val="24"/>
          <w:szCs w:val="24"/>
        </w:rPr>
      </w:pPr>
      <w:r>
        <w:rPr>
          <w:rFonts w:ascii="Times New Roman" w:hAnsi="Times New Roman" w:eastAsia="宋体" w:cs="Times New Roman"/>
          <w:color w:val="000000"/>
          <w:sz w:val="24"/>
          <w:szCs w:val="24"/>
          <w:lang w:val="ru-RU"/>
        </w:rPr>
        <w:t>编号：202</w:t>
      </w:r>
      <w:r>
        <w:rPr>
          <w:rFonts w:hint="eastAsia" w:ascii="Times New Roman" w:hAnsi="Times New Roman" w:eastAsia="宋体" w:cs="Times New Roman"/>
          <w:color w:val="000000"/>
          <w:sz w:val="24"/>
          <w:szCs w:val="24"/>
          <w:lang w:val="ru-RU"/>
        </w:rPr>
        <w:t>60909</w:t>
      </w:r>
    </w:p>
    <w:tbl>
      <w:tblPr>
        <w:tblStyle w:val="14"/>
        <w:tblW w:w="964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7655"/>
      </w:tblGrid>
      <w:tr w14:paraId="4DC7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53F2DD24">
            <w:pPr>
              <w:widowControl/>
              <w:wordWrap w:val="0"/>
              <w:adjustRightInd w:val="0"/>
              <w:snapToGrid w:val="0"/>
              <w:spacing w:before="120" w:line="360" w:lineRule="auto"/>
              <w:jc w:val="center"/>
              <w:rPr>
                <w:rFonts w:hint="eastAsia" w:ascii="宋体" w:hAnsi="宋体" w:eastAsia="宋体" w:cs="Times New Roman"/>
                <w:sz w:val="24"/>
                <w:szCs w:val="24"/>
                <w:lang w:val="ru-RU"/>
              </w:rPr>
            </w:pPr>
            <w:r>
              <w:rPr>
                <w:rFonts w:hint="eastAsia" w:ascii="宋体" w:hAnsi="宋体" w:eastAsia="宋体" w:cs="Times New Roman"/>
                <w:sz w:val="24"/>
                <w:szCs w:val="24"/>
                <w:lang w:val="ru-RU"/>
              </w:rPr>
              <w:t>投资者关系活动类别</w:t>
            </w:r>
          </w:p>
        </w:tc>
        <w:tc>
          <w:tcPr>
            <w:tcW w:w="7655" w:type="dxa"/>
            <w:tcBorders>
              <w:top w:val="single" w:color="auto" w:sz="4" w:space="0"/>
              <w:left w:val="single" w:color="auto" w:sz="4" w:space="0"/>
              <w:bottom w:val="single" w:color="auto" w:sz="4" w:space="0"/>
              <w:right w:val="single" w:color="auto" w:sz="4" w:space="0"/>
            </w:tcBorders>
            <w:vAlign w:val="center"/>
          </w:tcPr>
          <w:p w14:paraId="109277A2">
            <w:pPr>
              <w:tabs>
                <w:tab w:val="right" w:pos="8360"/>
              </w:tabs>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lang w:val="ru-RU"/>
              </w:rPr>
            </w:pPr>
            <w:r>
              <w:rPr>
                <w:rFonts w:ascii="宋体" w:hAnsi="宋体" w:eastAsia="宋体" w:cs="USHEHF+ËÎÌå"/>
                <w:color w:val="000000"/>
                <w:sz w:val="24"/>
              </w:rPr>
              <w:t>√</w:t>
            </w:r>
            <w:r>
              <w:rPr>
                <w:rFonts w:hint="eastAsia" w:ascii="宋体" w:hAnsi="宋体" w:eastAsia="宋体" w:cs="USHEHF+ËÎÌå"/>
                <w:color w:val="000000"/>
                <w:sz w:val="24"/>
                <w:lang w:val="ru-RU"/>
              </w:rPr>
              <w:t xml:space="preserve">特定对象调研                   □分析师会议 </w:t>
            </w:r>
          </w:p>
          <w:p w14:paraId="5E042943">
            <w:pPr>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lang w:val="ru-RU"/>
              </w:rPr>
            </w:pPr>
            <w:bookmarkStart w:id="0" w:name="OLE_LINK1"/>
            <w:r>
              <w:rPr>
                <w:rFonts w:hint="eastAsia" w:ascii="宋体" w:hAnsi="宋体" w:eastAsia="宋体" w:cs="USHEHF+ËÎÌå"/>
                <w:color w:val="000000"/>
                <w:sz w:val="24"/>
                <w:lang w:val="ru-RU"/>
              </w:rPr>
              <w:t>□</w:t>
            </w:r>
            <w:bookmarkEnd w:id="0"/>
            <w:r>
              <w:rPr>
                <w:rFonts w:hint="eastAsia" w:ascii="宋体" w:hAnsi="宋体" w:eastAsia="宋体" w:cs="USHEHF+ËÎÌå"/>
                <w:color w:val="000000"/>
                <w:sz w:val="24"/>
                <w:lang w:val="ru-RU"/>
              </w:rPr>
              <w:t>媒体采访                       □业绩说明会</w:t>
            </w:r>
          </w:p>
          <w:p w14:paraId="60AFDE02">
            <w:pPr>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lang w:val="ru-RU"/>
              </w:rPr>
            </w:pPr>
            <w:r>
              <w:rPr>
                <w:rFonts w:hint="eastAsia" w:ascii="宋体" w:hAnsi="宋体" w:eastAsia="宋体" w:cs="USHEHF+ËÎÌå"/>
                <w:color w:val="000000"/>
                <w:sz w:val="24"/>
                <w:lang w:val="ru-RU"/>
              </w:rPr>
              <w:t>□新闻发布会                     □路演活动</w:t>
            </w:r>
          </w:p>
          <w:p w14:paraId="55E4D76E">
            <w:pPr>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lang w:val="ru-RU"/>
              </w:rPr>
            </w:pPr>
            <w:r>
              <w:rPr>
                <w:rFonts w:hint="eastAsia" w:ascii="宋体" w:hAnsi="宋体" w:eastAsia="宋体" w:cs="USHEHF+ËÎÌå"/>
                <w:color w:val="000000"/>
                <w:sz w:val="24"/>
                <w:lang w:val="ru-RU"/>
              </w:rPr>
              <w:t>□现场参观</w:t>
            </w:r>
          </w:p>
          <w:p w14:paraId="1D6BDB46">
            <w:pPr>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u w:val="single"/>
              </w:rPr>
            </w:pPr>
            <w:r>
              <w:rPr>
                <w:rFonts w:hint="eastAsia" w:ascii="Segoe UI Symbol" w:hAnsi="Segoe UI Symbol" w:eastAsia="宋体" w:cs="Segoe UI Symbol"/>
                <w:color w:val="000000"/>
                <w:sz w:val="24"/>
                <w:lang w:val="ru-RU"/>
              </w:rPr>
              <w:t>□</w:t>
            </w:r>
            <w:r>
              <w:rPr>
                <w:rFonts w:hint="eastAsia" w:ascii="宋体" w:hAnsi="宋体" w:eastAsia="宋体" w:cs="宋体"/>
                <w:color w:val="000000"/>
                <w:sz w:val="24"/>
                <w:lang w:val="ru-RU"/>
              </w:rPr>
              <w:t>其他：</w:t>
            </w:r>
            <w:r>
              <w:rPr>
                <w:rFonts w:hint="eastAsia" w:ascii="宋体" w:hAnsi="宋体" w:eastAsia="宋体" w:cs="USHEHF+ËÎÌå"/>
                <w:color w:val="000000"/>
                <w:sz w:val="24"/>
                <w:u w:val="single"/>
                <w:lang w:val="ru-RU"/>
              </w:rPr>
              <w:t xml:space="preserve"> </w:t>
            </w:r>
            <w:r>
              <w:rPr>
                <w:rFonts w:hint="eastAsia" w:ascii="宋体" w:hAnsi="宋体" w:eastAsia="宋体" w:cs="USHEHF+ËÎÌå"/>
                <w:color w:val="000000"/>
                <w:sz w:val="24"/>
                <w:u w:val="single"/>
              </w:rPr>
              <w:t xml:space="preserve">     </w:t>
            </w:r>
          </w:p>
        </w:tc>
      </w:tr>
      <w:tr w14:paraId="7CE7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062D9586">
            <w:pPr>
              <w:widowControl/>
              <w:wordWrap w:val="0"/>
              <w:adjustRightInd w:val="0"/>
              <w:snapToGrid w:val="0"/>
              <w:spacing w:before="120" w:line="360" w:lineRule="auto"/>
              <w:jc w:val="center"/>
              <w:rPr>
                <w:rFonts w:hint="eastAsia" w:ascii="宋体" w:hAnsi="宋体" w:eastAsia="宋体" w:cs="USHEHF+ËÎÌå"/>
                <w:color w:val="000000"/>
                <w:sz w:val="24"/>
                <w:lang w:val="ru-RU"/>
              </w:rPr>
            </w:pPr>
            <w:r>
              <w:rPr>
                <w:rFonts w:hint="eastAsia" w:ascii="宋体" w:hAnsi="宋体" w:eastAsia="宋体" w:cs="USHEHF+ËÎÌå"/>
                <w:color w:val="000000"/>
                <w:sz w:val="24"/>
                <w:lang w:val="ru-RU"/>
              </w:rPr>
              <w:t>参与</w:t>
            </w:r>
            <w:r>
              <w:rPr>
                <w:rFonts w:hint="eastAsia" w:ascii="宋体" w:hAnsi="宋体" w:eastAsia="宋体" w:cs="Times New Roman"/>
                <w:sz w:val="24"/>
                <w:szCs w:val="24"/>
                <w:lang w:val="ru-RU"/>
              </w:rPr>
              <w:t>单位</w:t>
            </w:r>
            <w:r>
              <w:rPr>
                <w:rFonts w:hint="eastAsia" w:ascii="宋体" w:hAnsi="宋体" w:eastAsia="宋体" w:cs="USHEHF+ËÎÌå"/>
                <w:color w:val="000000"/>
                <w:sz w:val="24"/>
                <w:lang w:val="ru-RU"/>
              </w:rPr>
              <w:t>名称及人员姓名</w:t>
            </w:r>
          </w:p>
        </w:tc>
        <w:tc>
          <w:tcPr>
            <w:tcW w:w="7655" w:type="dxa"/>
            <w:tcBorders>
              <w:top w:val="single" w:color="auto" w:sz="4" w:space="0"/>
              <w:left w:val="single" w:color="auto" w:sz="4" w:space="0"/>
              <w:bottom w:val="single" w:color="auto" w:sz="4" w:space="0"/>
              <w:right w:val="single" w:color="auto" w:sz="4" w:space="0"/>
            </w:tcBorders>
            <w:vAlign w:val="center"/>
          </w:tcPr>
          <w:p w14:paraId="55EC793D">
            <w:pPr>
              <w:spacing w:line="360" w:lineRule="auto"/>
              <w:rPr>
                <w:rFonts w:hint="eastAsia" w:ascii="宋体" w:hAnsi="宋体" w:eastAsia="宋体"/>
                <w:sz w:val="24"/>
                <w:szCs w:val="24"/>
              </w:rPr>
            </w:pPr>
            <w:r>
              <w:rPr>
                <w:rFonts w:hint="eastAsia" w:ascii="宋体" w:hAnsi="宋体" w:eastAsia="宋体"/>
                <w:sz w:val="24"/>
                <w:szCs w:val="24"/>
              </w:rPr>
              <w:t>东方证券陈传双     农银汇理陈宇泽</w:t>
            </w:r>
          </w:p>
          <w:p w14:paraId="70CDD62D">
            <w:pPr>
              <w:spacing w:line="360" w:lineRule="auto"/>
              <w:rPr>
                <w:rFonts w:hint="eastAsia" w:ascii="宋体" w:hAnsi="宋体" w:eastAsia="宋体"/>
                <w:sz w:val="24"/>
                <w:szCs w:val="24"/>
              </w:rPr>
            </w:pPr>
            <w:r>
              <w:rPr>
                <w:rFonts w:hint="eastAsia" w:ascii="宋体" w:hAnsi="宋体" w:eastAsia="宋体"/>
                <w:sz w:val="24"/>
                <w:szCs w:val="24"/>
              </w:rPr>
              <w:t>泰康资产</w:t>
            </w:r>
            <w:r>
              <w:rPr>
                <w:rFonts w:ascii="宋体" w:hAnsi="宋体" w:eastAsia="宋体"/>
                <w:sz w:val="24"/>
                <w:szCs w:val="24"/>
              </w:rPr>
              <w:t>奚佳</w:t>
            </w:r>
            <w:r>
              <w:rPr>
                <w:rFonts w:hint="eastAsia" w:ascii="宋体" w:hAnsi="宋体" w:eastAsia="宋体"/>
                <w:sz w:val="24"/>
                <w:szCs w:val="24"/>
              </w:rPr>
              <w:t xml:space="preserve">       中邮基金王欢</w:t>
            </w:r>
          </w:p>
          <w:p w14:paraId="0D377FD6">
            <w:pPr>
              <w:spacing w:line="360" w:lineRule="auto"/>
              <w:rPr>
                <w:rFonts w:hint="eastAsia" w:ascii="宋体" w:hAnsi="宋体" w:eastAsia="宋体"/>
                <w:sz w:val="24"/>
                <w:szCs w:val="24"/>
              </w:rPr>
            </w:pPr>
            <w:r>
              <w:rPr>
                <w:rFonts w:hint="eastAsia" w:ascii="宋体" w:hAnsi="宋体" w:eastAsia="宋体"/>
                <w:sz w:val="24"/>
                <w:szCs w:val="24"/>
              </w:rPr>
              <w:t>西南证券高望集     浙商资管吴达威</w:t>
            </w:r>
          </w:p>
          <w:p w14:paraId="1DCDD813">
            <w:pPr>
              <w:spacing w:line="360" w:lineRule="auto"/>
              <w:rPr>
                <w:rFonts w:hint="eastAsia" w:ascii="宋体" w:hAnsi="宋体" w:eastAsia="宋体"/>
                <w:sz w:val="24"/>
                <w:szCs w:val="24"/>
              </w:rPr>
            </w:pPr>
            <w:r>
              <w:rPr>
                <w:rFonts w:hint="eastAsia" w:ascii="宋体" w:hAnsi="宋体" w:eastAsia="宋体"/>
                <w:sz w:val="24"/>
                <w:szCs w:val="24"/>
              </w:rPr>
              <w:t>浙商证券毕春晖、张智杰</w:t>
            </w:r>
          </w:p>
        </w:tc>
      </w:tr>
      <w:tr w14:paraId="6001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47C4D635">
            <w:pPr>
              <w:widowControl/>
              <w:wordWrap w:val="0"/>
              <w:adjustRightInd w:val="0"/>
              <w:snapToGrid w:val="0"/>
              <w:spacing w:before="120"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时间</w:t>
            </w:r>
          </w:p>
        </w:tc>
        <w:tc>
          <w:tcPr>
            <w:tcW w:w="7655" w:type="dxa"/>
            <w:tcBorders>
              <w:top w:val="single" w:color="auto" w:sz="4" w:space="0"/>
              <w:left w:val="single" w:color="auto" w:sz="4" w:space="0"/>
              <w:bottom w:val="single" w:color="auto" w:sz="4" w:space="0"/>
              <w:right w:val="single" w:color="auto" w:sz="4" w:space="0"/>
            </w:tcBorders>
            <w:vAlign w:val="center"/>
          </w:tcPr>
          <w:p w14:paraId="0C24F065">
            <w:pPr>
              <w:widowControl/>
              <w:wordWrap w:val="0"/>
              <w:adjustRightInd w:val="0"/>
              <w:spacing w:before="120" w:after="240"/>
              <w:jc w:val="lef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2026年09月08日（星期二）</w:t>
            </w:r>
            <w:r>
              <w:rPr>
                <w:rFonts w:hint="eastAsia" w:ascii="Times New Roman" w:hAnsi="Times New Roman" w:eastAsia="宋体" w:cs="Times New Roman"/>
                <w:sz w:val="24"/>
                <w:szCs w:val="24"/>
                <w:lang w:val="ru-RU"/>
              </w:rPr>
              <w:t>1</w:t>
            </w:r>
            <w:r>
              <w:rPr>
                <w:rFonts w:hint="eastAsia" w:ascii="Times New Roman" w:hAnsi="Times New Roman" w:eastAsia="宋体" w:cs="Times New Roman"/>
                <w:sz w:val="24"/>
                <w:szCs w:val="24"/>
                <w:lang w:val="en-US" w:eastAsia="zh-CN"/>
              </w:rPr>
              <w:t>7</w:t>
            </w:r>
            <w:r>
              <w:rPr>
                <w:rFonts w:hint="eastAsia" w:ascii="Times New Roman" w:hAnsi="Times New Roman" w:eastAsia="宋体" w:cs="Times New Roman"/>
                <w:sz w:val="24"/>
                <w:szCs w:val="24"/>
                <w:lang w:val="ru-RU"/>
              </w:rPr>
              <w:t>:00-1</w:t>
            </w:r>
            <w:r>
              <w:rPr>
                <w:rFonts w:hint="eastAsia" w:ascii="Times New Roman" w:hAnsi="Times New Roman" w:eastAsia="宋体" w:cs="Times New Roman"/>
                <w:sz w:val="24"/>
                <w:szCs w:val="24"/>
                <w:lang w:val="en-US" w:eastAsia="zh-CN"/>
              </w:rPr>
              <w:t>8</w:t>
            </w:r>
            <w:r>
              <w:rPr>
                <w:rFonts w:hint="eastAsia" w:ascii="Times New Roman" w:hAnsi="Times New Roman" w:eastAsia="宋体" w:cs="Times New Roman"/>
                <w:sz w:val="24"/>
                <w:szCs w:val="24"/>
                <w:lang w:val="ru-RU"/>
              </w:rPr>
              <w:t>:00</w:t>
            </w:r>
          </w:p>
          <w:p w14:paraId="655A9B39">
            <w:pPr>
              <w:widowControl/>
              <w:wordWrap w:val="0"/>
              <w:adjustRightInd w:val="0"/>
              <w:spacing w:before="120" w:after="240"/>
              <w:jc w:val="left"/>
              <w:rPr>
                <w:rFonts w:ascii="Times New Roman" w:hAnsi="Times New Roman" w:eastAsia="宋体" w:cs="Times New Roman"/>
                <w:sz w:val="24"/>
                <w:szCs w:val="24"/>
                <w:lang w:val="ru-RU"/>
              </w:rPr>
            </w:pPr>
            <w:r>
              <w:rPr>
                <w:rFonts w:ascii="Times New Roman" w:hAnsi="Times New Roman" w:eastAsia="宋体" w:cs="Times New Roman"/>
                <w:sz w:val="24"/>
                <w:szCs w:val="24"/>
                <w:lang w:val="ru-RU"/>
              </w:rPr>
              <w:t>202</w:t>
            </w:r>
            <w:r>
              <w:rPr>
                <w:rFonts w:hint="eastAsia" w:ascii="Times New Roman" w:hAnsi="Times New Roman" w:eastAsia="宋体" w:cs="Times New Roman"/>
                <w:sz w:val="24"/>
                <w:szCs w:val="24"/>
                <w:lang w:val="ru-RU"/>
              </w:rPr>
              <w:t>6</w:t>
            </w:r>
            <w:r>
              <w:rPr>
                <w:rFonts w:ascii="Times New Roman" w:hAnsi="Times New Roman" w:eastAsia="宋体" w:cs="Times New Roman"/>
                <w:sz w:val="24"/>
                <w:szCs w:val="24"/>
              </w:rPr>
              <w:t>年</w:t>
            </w:r>
            <w:r>
              <w:rPr>
                <w:rFonts w:hint="eastAsia" w:ascii="Times New Roman" w:hAnsi="Times New Roman" w:eastAsia="宋体" w:cs="Times New Roman"/>
                <w:sz w:val="24"/>
                <w:szCs w:val="24"/>
                <w:lang w:val="ru-RU"/>
              </w:rPr>
              <w:t>09</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ru-RU"/>
              </w:rPr>
              <w:t>09</w:t>
            </w:r>
            <w:r>
              <w:rPr>
                <w:rFonts w:ascii="Times New Roman" w:hAnsi="Times New Roman" w:eastAsia="宋体" w:cs="Times New Roman"/>
                <w:sz w:val="24"/>
                <w:szCs w:val="24"/>
              </w:rPr>
              <w:t>日</w:t>
            </w:r>
            <w:r>
              <w:rPr>
                <w:rFonts w:hint="eastAsia" w:ascii="Times New Roman" w:hAnsi="Times New Roman" w:eastAsia="宋体" w:cs="Times New Roman"/>
                <w:sz w:val="24"/>
                <w:szCs w:val="24"/>
                <w:lang w:val="ru-RU"/>
              </w:rPr>
              <w:t>（</w:t>
            </w:r>
            <w:r>
              <w:rPr>
                <w:rFonts w:hint="eastAsia" w:ascii="Times New Roman" w:hAnsi="Times New Roman" w:eastAsia="宋体" w:cs="Times New Roman"/>
                <w:sz w:val="24"/>
                <w:szCs w:val="24"/>
              </w:rPr>
              <w:t>星期三</w:t>
            </w:r>
            <w:r>
              <w:rPr>
                <w:rFonts w:hint="eastAsia" w:ascii="Times New Roman" w:hAnsi="Times New Roman" w:eastAsia="宋体" w:cs="Times New Roman"/>
                <w:sz w:val="24"/>
                <w:szCs w:val="24"/>
                <w:lang w:val="ru-RU"/>
              </w:rPr>
              <w:t>）14:00-16:00</w:t>
            </w:r>
          </w:p>
        </w:tc>
      </w:tr>
      <w:tr w14:paraId="7F72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40990242">
            <w:pPr>
              <w:widowControl/>
              <w:wordWrap w:val="0"/>
              <w:adjustRightInd w:val="0"/>
              <w:snapToGrid w:val="0"/>
              <w:spacing w:before="120"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地点</w:t>
            </w:r>
          </w:p>
        </w:tc>
        <w:tc>
          <w:tcPr>
            <w:tcW w:w="7655" w:type="dxa"/>
            <w:tcBorders>
              <w:top w:val="single" w:color="auto" w:sz="4" w:space="0"/>
              <w:left w:val="single" w:color="auto" w:sz="4" w:space="0"/>
              <w:bottom w:val="single" w:color="auto" w:sz="4" w:space="0"/>
              <w:right w:val="single" w:color="auto" w:sz="4" w:space="0"/>
            </w:tcBorders>
            <w:vAlign w:val="center"/>
          </w:tcPr>
          <w:p w14:paraId="48F87A23">
            <w:pPr>
              <w:wordWrap w:val="0"/>
              <w:autoSpaceDE w:val="0"/>
              <w:autoSpaceDN w:val="0"/>
              <w:adjustRightInd w:val="0"/>
              <w:snapToGrid w:val="0"/>
              <w:spacing w:line="276" w:lineRule="auto"/>
              <w:jc w:val="left"/>
              <w:rPr>
                <w:rFonts w:hint="eastAsia" w:ascii="宋体" w:hAnsi="宋体" w:eastAsia="宋体" w:cstheme="minorEastAsia"/>
                <w:sz w:val="24"/>
                <w:szCs w:val="24"/>
              </w:rPr>
            </w:pPr>
            <w:r>
              <w:rPr>
                <w:rFonts w:hint="eastAsia" w:ascii="宋体" w:hAnsi="宋体" w:eastAsia="宋体" w:cstheme="minorEastAsia"/>
                <w:sz w:val="24"/>
                <w:szCs w:val="24"/>
              </w:rPr>
              <w:t>肯特科技会议室</w:t>
            </w:r>
          </w:p>
        </w:tc>
      </w:tr>
      <w:tr w14:paraId="7BB4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542390F8">
            <w:pPr>
              <w:widowControl/>
              <w:wordWrap w:val="0"/>
              <w:adjustRightInd w:val="0"/>
              <w:snapToGrid w:val="0"/>
              <w:spacing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上市公司接待人员姓名</w:t>
            </w:r>
          </w:p>
        </w:tc>
        <w:tc>
          <w:tcPr>
            <w:tcW w:w="7655" w:type="dxa"/>
            <w:tcBorders>
              <w:top w:val="single" w:color="auto" w:sz="4" w:space="0"/>
              <w:left w:val="single" w:color="auto" w:sz="4" w:space="0"/>
              <w:bottom w:val="single" w:color="auto" w:sz="4" w:space="0"/>
              <w:right w:val="single" w:color="auto" w:sz="4" w:space="0"/>
            </w:tcBorders>
            <w:vAlign w:val="center"/>
          </w:tcPr>
          <w:p w14:paraId="6088D084">
            <w:pPr>
              <w:wordWrap w:val="0"/>
              <w:autoSpaceDE w:val="0"/>
              <w:autoSpaceDN w:val="0"/>
              <w:spacing w:line="360" w:lineRule="auto"/>
              <w:jc w:val="left"/>
              <w:rPr>
                <w:rFonts w:hint="eastAsia" w:ascii="宋体" w:hAnsi="宋体" w:eastAsia="宋体" w:cs="USHEHF+ËÎÌå"/>
                <w:color w:val="000000"/>
                <w:sz w:val="24"/>
                <w:szCs w:val="24"/>
                <w:lang w:val="ru-RU"/>
              </w:rPr>
            </w:pPr>
            <w:r>
              <w:rPr>
                <w:rFonts w:hint="eastAsia" w:ascii="宋体" w:hAnsi="宋体" w:eastAsia="宋体" w:cs="USHEHF+ËÎÌå"/>
                <w:color w:val="000000"/>
                <w:sz w:val="24"/>
                <w:szCs w:val="24"/>
                <w:lang w:val="ru-RU"/>
              </w:rPr>
              <w:t>董事会秘书：张志明</w:t>
            </w:r>
          </w:p>
        </w:tc>
      </w:tr>
      <w:tr w14:paraId="4894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3D3A00BE">
            <w:pPr>
              <w:widowControl/>
              <w:wordWrap w:val="0"/>
              <w:adjustRightInd w:val="0"/>
              <w:snapToGrid w:val="0"/>
              <w:spacing w:before="120" w:line="360" w:lineRule="auto"/>
              <w:jc w:val="center"/>
              <w:rPr>
                <w:rFonts w:hint="eastAsia" w:ascii="宋体" w:hAnsi="宋体" w:eastAsia="宋体" w:cs="Times New Roman"/>
                <w:color w:val="000000"/>
                <w:sz w:val="24"/>
                <w:lang w:val="ru-RU"/>
              </w:rPr>
            </w:pPr>
            <w:r>
              <w:rPr>
                <w:rFonts w:hint="eastAsia" w:ascii="宋体" w:hAnsi="宋体" w:eastAsia="宋体" w:cs="等线"/>
                <w:color w:val="000000"/>
                <w:sz w:val="24"/>
                <w:lang w:val="ru-RU"/>
              </w:rPr>
              <w:t>投资者关系活动主要内容介绍</w:t>
            </w:r>
          </w:p>
        </w:tc>
        <w:tc>
          <w:tcPr>
            <w:tcW w:w="7655" w:type="dxa"/>
            <w:tcBorders>
              <w:top w:val="single" w:color="auto" w:sz="4" w:space="0"/>
              <w:left w:val="single" w:color="auto" w:sz="4" w:space="0"/>
              <w:bottom w:val="single" w:color="auto" w:sz="4" w:space="0"/>
              <w:right w:val="single" w:color="auto" w:sz="4" w:space="0"/>
            </w:tcBorders>
            <w:vAlign w:val="center"/>
          </w:tcPr>
          <w:p w14:paraId="18ED8392">
            <w:pPr>
              <w:widowControl/>
              <w:spacing w:line="36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一、基本情况介绍</w:t>
            </w:r>
          </w:p>
          <w:p w14:paraId="5CB5CA04">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公司是一家专注于季铵（鏻）化合物产品研发、生产和销售的高新技术企业，成立于2009年，总部位于浙江仙居，下辖全资子公司江西肯特化学有限公司和浙江肯特催化材料科技有限公司。公司拥有季铵盐、季铵碱、季鏻盐、冠醚等四大系列产品，为精细化工、分子筛、高分子材料、电池电解液、油田化学品、电子化学品等领域的客户提供产品和服务。</w:t>
            </w:r>
          </w:p>
          <w:p w14:paraId="11DAAE32">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通过多年的技术研发创新及产业化应用，公司产品应用形式不断拓展。从初期的相转移催化剂逐步延伸至分子筛模板剂、固化促进剂、电解液添加剂、电子化学品等多用途，实现了产品结构的持续优化与应用场景的拓展。</w:t>
            </w:r>
          </w:p>
          <w:p w14:paraId="2CC269BC">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（一）研发创新布局</w:t>
            </w:r>
          </w:p>
          <w:p w14:paraId="5F6686AC">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公司</w:t>
            </w:r>
            <w:r>
              <w:rPr>
                <w:rFonts w:hint="eastAsia" w:ascii="Times New Roman" w:hAnsi="Times New Roman" w:eastAsia="宋体" w:cs="Times New Roman"/>
                <w:sz w:val="24"/>
                <w:szCs w:val="24"/>
              </w:rPr>
              <w:t>推行</w:t>
            </w:r>
            <w:r>
              <w:rPr>
                <w:rFonts w:ascii="Times New Roman" w:hAnsi="Times New Roman" w:eastAsia="宋体" w:cs="Times New Roman"/>
                <w:sz w:val="24"/>
                <w:szCs w:val="24"/>
              </w:rPr>
              <w:t>与客户并行研发</w:t>
            </w:r>
            <w:r>
              <w:rPr>
                <w:rFonts w:hint="eastAsia" w:ascii="Times New Roman" w:hAnsi="Times New Roman" w:eastAsia="宋体" w:cs="Times New Roman"/>
                <w:sz w:val="24"/>
                <w:szCs w:val="24"/>
              </w:rPr>
              <w:t>的</w:t>
            </w:r>
            <w:r>
              <w:rPr>
                <w:rFonts w:ascii="Times New Roman" w:hAnsi="Times New Roman" w:eastAsia="宋体" w:cs="Times New Roman"/>
                <w:sz w:val="24"/>
                <w:szCs w:val="24"/>
              </w:rPr>
              <w:t>策略，持续加大研发投入，</w:t>
            </w:r>
            <w:r>
              <w:rPr>
                <w:rFonts w:hint="eastAsia" w:ascii="Times New Roman" w:hAnsi="Times New Roman" w:eastAsia="宋体" w:cs="Times New Roman"/>
                <w:sz w:val="24"/>
                <w:szCs w:val="24"/>
              </w:rPr>
              <w:t>搭建</w:t>
            </w:r>
            <w:r>
              <w:rPr>
                <w:rFonts w:ascii="Times New Roman" w:hAnsi="Times New Roman" w:eastAsia="宋体" w:cs="Times New Roman"/>
                <w:sz w:val="24"/>
                <w:szCs w:val="24"/>
              </w:rPr>
              <w:t>省级高新技术企业研究开发中心等多</w:t>
            </w:r>
            <w:r>
              <w:rPr>
                <w:rFonts w:hint="eastAsia" w:ascii="Times New Roman" w:hAnsi="Times New Roman" w:eastAsia="宋体" w:cs="Times New Roman"/>
                <w:sz w:val="24"/>
                <w:szCs w:val="24"/>
              </w:rPr>
              <w:t>层级</w:t>
            </w:r>
            <w:r>
              <w:rPr>
                <w:rFonts w:ascii="Times New Roman" w:hAnsi="Times New Roman" w:eastAsia="宋体" w:cs="Times New Roman"/>
                <w:sz w:val="24"/>
                <w:szCs w:val="24"/>
              </w:rPr>
              <w:t>创新平台</w:t>
            </w:r>
            <w:r>
              <w:rPr>
                <w:rFonts w:hint="eastAsia" w:ascii="Times New Roman" w:hAnsi="Times New Roman" w:eastAsia="宋体" w:cs="Times New Roman"/>
                <w:sz w:val="24"/>
                <w:szCs w:val="24"/>
              </w:rPr>
              <w:t>；长期</w:t>
            </w:r>
            <w:r>
              <w:rPr>
                <w:rFonts w:ascii="Times New Roman" w:hAnsi="Times New Roman" w:eastAsia="宋体" w:cs="Times New Roman"/>
                <w:sz w:val="24"/>
                <w:szCs w:val="24"/>
              </w:rPr>
              <w:t>与浙江大学、吉林大学等国内知名高校</w:t>
            </w:r>
            <w:r>
              <w:rPr>
                <w:rFonts w:hint="eastAsia" w:ascii="Times New Roman" w:hAnsi="Times New Roman" w:eastAsia="宋体" w:cs="Times New Roman"/>
                <w:sz w:val="24"/>
                <w:szCs w:val="24"/>
              </w:rPr>
              <w:t>开展深度</w:t>
            </w:r>
            <w:r>
              <w:rPr>
                <w:rFonts w:ascii="Times New Roman" w:hAnsi="Times New Roman" w:eastAsia="宋体" w:cs="Times New Roman"/>
                <w:sz w:val="24"/>
                <w:szCs w:val="24"/>
              </w:rPr>
              <w:t>产学研合作，</w:t>
            </w:r>
            <w:r>
              <w:rPr>
                <w:rFonts w:hint="eastAsia" w:ascii="Times New Roman" w:hAnsi="Times New Roman" w:eastAsia="宋体" w:cs="Times New Roman"/>
                <w:sz w:val="24"/>
                <w:szCs w:val="24"/>
              </w:rPr>
              <w:t>搭建</w:t>
            </w:r>
            <w:r>
              <w:rPr>
                <w:rFonts w:ascii="Times New Roman" w:hAnsi="Times New Roman" w:eastAsia="宋体" w:cs="Times New Roman"/>
                <w:sz w:val="24"/>
                <w:szCs w:val="24"/>
              </w:rPr>
              <w:t>完善技术创新体系，为</w:t>
            </w:r>
            <w:r>
              <w:rPr>
                <w:rFonts w:hint="eastAsia" w:ascii="Times New Roman" w:hAnsi="Times New Roman" w:eastAsia="宋体" w:cs="Times New Roman"/>
                <w:sz w:val="24"/>
                <w:szCs w:val="24"/>
              </w:rPr>
              <w:t>新</w:t>
            </w:r>
            <w:r>
              <w:rPr>
                <w:rFonts w:ascii="Times New Roman" w:hAnsi="Times New Roman" w:eastAsia="宋体" w:cs="Times New Roman"/>
                <w:sz w:val="24"/>
                <w:szCs w:val="24"/>
              </w:rPr>
              <w:t>品</w:t>
            </w:r>
            <w:r>
              <w:rPr>
                <w:rFonts w:hint="eastAsia" w:ascii="Times New Roman" w:hAnsi="Times New Roman" w:eastAsia="宋体" w:cs="Times New Roman"/>
                <w:sz w:val="24"/>
                <w:szCs w:val="24"/>
              </w:rPr>
              <w:t>开发、工艺优化</w:t>
            </w:r>
            <w:r>
              <w:rPr>
                <w:rFonts w:ascii="Times New Roman" w:hAnsi="Times New Roman" w:eastAsia="宋体" w:cs="Times New Roman"/>
                <w:sz w:val="24"/>
                <w:szCs w:val="24"/>
              </w:rPr>
              <w:t>提供坚实</w:t>
            </w:r>
            <w:r>
              <w:rPr>
                <w:rFonts w:hint="eastAsia" w:ascii="Times New Roman" w:hAnsi="Times New Roman" w:eastAsia="宋体" w:cs="Times New Roman"/>
                <w:sz w:val="24"/>
                <w:szCs w:val="24"/>
              </w:rPr>
              <w:t>支撑</w:t>
            </w:r>
            <w:r>
              <w:rPr>
                <w:rFonts w:ascii="Times New Roman" w:hAnsi="Times New Roman" w:eastAsia="宋体" w:cs="Times New Roman"/>
                <w:sz w:val="24"/>
                <w:szCs w:val="24"/>
              </w:rPr>
              <w:t>。</w:t>
            </w:r>
          </w:p>
          <w:p w14:paraId="6D4D8750">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（二）市场客户运营</w:t>
            </w:r>
          </w:p>
          <w:p w14:paraId="7A1EA815">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凭借稳定的产品</w:t>
            </w:r>
            <w:r>
              <w:rPr>
                <w:rFonts w:hint="eastAsia" w:ascii="Times New Roman" w:hAnsi="Times New Roman" w:eastAsia="宋体" w:cs="Times New Roman"/>
                <w:sz w:val="24"/>
                <w:szCs w:val="24"/>
              </w:rPr>
              <w:t>品质与</w:t>
            </w:r>
            <w:r>
              <w:rPr>
                <w:rFonts w:ascii="Times New Roman" w:hAnsi="Times New Roman" w:eastAsia="宋体" w:cs="Times New Roman"/>
                <w:sz w:val="24"/>
                <w:szCs w:val="24"/>
              </w:rPr>
              <w:t>良好的行业口碑，</w:t>
            </w:r>
            <w:r>
              <w:rPr>
                <w:rFonts w:hint="eastAsia" w:ascii="Times New Roman" w:hAnsi="Times New Roman" w:eastAsia="宋体" w:cs="Times New Roman"/>
                <w:sz w:val="24"/>
                <w:szCs w:val="24"/>
              </w:rPr>
              <w:t>公司</w:t>
            </w:r>
            <w:r>
              <w:rPr>
                <w:rFonts w:ascii="Times New Roman" w:hAnsi="Times New Roman" w:eastAsia="宋体" w:cs="Times New Roman"/>
                <w:sz w:val="24"/>
                <w:szCs w:val="24"/>
              </w:rPr>
              <w:t>与</w:t>
            </w:r>
            <w:r>
              <w:rPr>
                <w:rFonts w:hint="eastAsia" w:ascii="Times New Roman" w:hAnsi="Times New Roman" w:eastAsia="宋体" w:cs="Times New Roman"/>
                <w:sz w:val="24"/>
                <w:szCs w:val="24"/>
              </w:rPr>
              <w:t>各</w:t>
            </w:r>
            <w:r>
              <w:rPr>
                <w:rFonts w:ascii="Times New Roman" w:hAnsi="Times New Roman" w:eastAsia="宋体" w:cs="Times New Roman"/>
                <w:sz w:val="24"/>
                <w:szCs w:val="24"/>
              </w:rPr>
              <w:t>下游领域</w:t>
            </w:r>
            <w:r>
              <w:rPr>
                <w:rFonts w:hint="eastAsia" w:ascii="Times New Roman" w:hAnsi="Times New Roman" w:eastAsia="宋体" w:cs="Times New Roman"/>
                <w:sz w:val="24"/>
                <w:szCs w:val="24"/>
              </w:rPr>
              <w:t>头部</w:t>
            </w:r>
            <w:r>
              <w:rPr>
                <w:rFonts w:ascii="Times New Roman" w:hAnsi="Times New Roman" w:eastAsia="宋体" w:cs="Times New Roman"/>
                <w:sz w:val="24"/>
                <w:szCs w:val="24"/>
              </w:rPr>
              <w:t>企业建立长期</w:t>
            </w:r>
            <w:r>
              <w:rPr>
                <w:rFonts w:hint="eastAsia" w:ascii="Times New Roman" w:hAnsi="Times New Roman" w:eastAsia="宋体" w:cs="Times New Roman"/>
                <w:sz w:val="24"/>
                <w:szCs w:val="24"/>
              </w:rPr>
              <w:t>深度</w:t>
            </w:r>
            <w:r>
              <w:rPr>
                <w:rFonts w:ascii="Times New Roman" w:hAnsi="Times New Roman" w:eastAsia="宋体" w:cs="Times New Roman"/>
                <w:sz w:val="24"/>
                <w:szCs w:val="24"/>
              </w:rPr>
              <w:t>合作。同时，搭</w:t>
            </w:r>
            <w:r>
              <w:rPr>
                <w:rFonts w:hint="eastAsia" w:ascii="Times New Roman" w:hAnsi="Times New Roman" w:eastAsia="宋体" w:cs="Times New Roman"/>
                <w:sz w:val="24"/>
                <w:szCs w:val="24"/>
              </w:rPr>
              <w:t>建</w:t>
            </w:r>
            <w:r>
              <w:rPr>
                <w:rFonts w:ascii="Times New Roman" w:hAnsi="Times New Roman" w:eastAsia="宋体" w:cs="Times New Roman"/>
                <w:sz w:val="24"/>
                <w:szCs w:val="24"/>
              </w:rPr>
              <w:t>完善的客户关系管理体系，</w:t>
            </w:r>
            <w:r>
              <w:rPr>
                <w:rFonts w:hint="eastAsia" w:ascii="Times New Roman" w:hAnsi="Times New Roman" w:eastAsia="宋体" w:cs="Times New Roman"/>
                <w:sz w:val="24"/>
                <w:szCs w:val="24"/>
              </w:rPr>
              <w:t>常态化开展</w:t>
            </w:r>
            <w:r>
              <w:rPr>
                <w:rFonts w:ascii="Times New Roman" w:hAnsi="Times New Roman" w:eastAsia="宋体" w:cs="Times New Roman"/>
                <w:sz w:val="24"/>
                <w:szCs w:val="24"/>
              </w:rPr>
              <w:t>客户满意度</w:t>
            </w:r>
            <w:r>
              <w:rPr>
                <w:rFonts w:hint="eastAsia" w:ascii="Times New Roman" w:hAnsi="Times New Roman" w:eastAsia="宋体" w:cs="Times New Roman"/>
                <w:sz w:val="24"/>
                <w:szCs w:val="24"/>
              </w:rPr>
              <w:t>调研</w:t>
            </w:r>
            <w:r>
              <w:rPr>
                <w:rFonts w:ascii="Times New Roman" w:hAnsi="Times New Roman" w:eastAsia="宋体" w:cs="Times New Roman"/>
                <w:sz w:val="24"/>
                <w:szCs w:val="24"/>
              </w:rPr>
              <w:t>、组建快速响应技术服务团队，</w:t>
            </w:r>
            <w:r>
              <w:rPr>
                <w:rFonts w:hint="eastAsia" w:ascii="Times New Roman" w:hAnsi="Times New Roman" w:eastAsia="宋体" w:cs="Times New Roman"/>
                <w:sz w:val="24"/>
                <w:szCs w:val="24"/>
              </w:rPr>
              <w:t>持续</w:t>
            </w:r>
            <w:r>
              <w:rPr>
                <w:rFonts w:ascii="Times New Roman" w:hAnsi="Times New Roman" w:eastAsia="宋体" w:cs="Times New Roman"/>
                <w:sz w:val="24"/>
                <w:szCs w:val="24"/>
              </w:rPr>
              <w:t>深化与核心客户战略合作，形成结构均衡、</w:t>
            </w:r>
            <w:r>
              <w:rPr>
                <w:rFonts w:hint="eastAsia" w:ascii="Times New Roman" w:hAnsi="Times New Roman" w:eastAsia="宋体" w:cs="Times New Roman"/>
                <w:sz w:val="24"/>
                <w:szCs w:val="24"/>
              </w:rPr>
              <w:t>高</w:t>
            </w:r>
            <w:r>
              <w:rPr>
                <w:rFonts w:ascii="Times New Roman" w:hAnsi="Times New Roman" w:eastAsia="宋体" w:cs="Times New Roman"/>
                <w:sz w:val="24"/>
                <w:szCs w:val="24"/>
              </w:rPr>
              <w:t>粘性的客户资源网络，</w:t>
            </w:r>
            <w:r>
              <w:rPr>
                <w:rFonts w:hint="eastAsia" w:ascii="Times New Roman" w:hAnsi="Times New Roman" w:eastAsia="宋体" w:cs="Times New Roman"/>
                <w:sz w:val="24"/>
                <w:szCs w:val="24"/>
              </w:rPr>
              <w:t>行业</w:t>
            </w:r>
            <w:r>
              <w:rPr>
                <w:rFonts w:ascii="Times New Roman" w:hAnsi="Times New Roman" w:eastAsia="宋体" w:cs="Times New Roman"/>
                <w:sz w:val="24"/>
                <w:szCs w:val="24"/>
              </w:rPr>
              <w:t>影响力</w:t>
            </w:r>
            <w:r>
              <w:rPr>
                <w:rFonts w:hint="eastAsia" w:ascii="Times New Roman" w:hAnsi="Times New Roman" w:eastAsia="宋体" w:cs="Times New Roman"/>
                <w:sz w:val="24"/>
                <w:szCs w:val="24"/>
              </w:rPr>
              <w:t>持续增强</w:t>
            </w:r>
            <w:r>
              <w:rPr>
                <w:rFonts w:ascii="Times New Roman" w:hAnsi="Times New Roman" w:eastAsia="宋体" w:cs="Times New Roman"/>
                <w:sz w:val="24"/>
                <w:szCs w:val="24"/>
              </w:rPr>
              <w:t>。</w:t>
            </w:r>
          </w:p>
          <w:p w14:paraId="6694181F">
            <w:pPr>
              <w:widowControl/>
              <w:spacing w:line="360" w:lineRule="auto"/>
              <w:rPr>
                <w:rFonts w:hint="eastAsia" w:ascii="宋体" w:hAnsi="宋体" w:eastAsia="宋体" w:cs="Times New Roman"/>
                <w:sz w:val="24"/>
                <w:szCs w:val="24"/>
              </w:rPr>
            </w:pPr>
            <w:r>
              <w:rPr>
                <w:rFonts w:hint="eastAsia" w:ascii="Times New Roman" w:hAnsi="Times New Roman" w:eastAsia="宋体" w:cs="Times New Roman"/>
                <w:sz w:val="24"/>
                <w:szCs w:val="24"/>
              </w:rPr>
              <w:t>（三）产能建设规划</w:t>
            </w:r>
          </w:p>
          <w:p w14:paraId="1A3E67B0">
            <w:pPr>
              <w:widowControl/>
              <w:spacing w:line="360" w:lineRule="auto"/>
              <w:ind w:firstLine="480" w:firstLineChars="200"/>
              <w:rPr>
                <w:rFonts w:ascii="Times New Roman" w:hAnsi="Times New Roman" w:eastAsia="宋体" w:cs="Times New Roman"/>
                <w:sz w:val="24"/>
                <w:szCs w:val="24"/>
              </w:rPr>
            </w:pPr>
            <w:bookmarkStart w:id="1" w:name="OLE_LINK2"/>
            <w:r>
              <w:rPr>
                <w:rFonts w:hint="eastAsia" w:ascii="宋体" w:hAnsi="宋体" w:eastAsia="宋体" w:cs="Times New Roman"/>
                <w:sz w:val="24"/>
                <w:szCs w:val="24"/>
              </w:rPr>
              <w:t>目前</w:t>
            </w:r>
            <w:r>
              <w:rPr>
                <w:rFonts w:ascii="宋体" w:hAnsi="宋体" w:eastAsia="宋体" w:cs="Times New Roman"/>
                <w:sz w:val="24"/>
                <w:szCs w:val="24"/>
              </w:rPr>
              <w:t>，公司</w:t>
            </w:r>
            <w:r>
              <w:rPr>
                <w:rFonts w:hint="eastAsia" w:ascii="宋体" w:hAnsi="宋体" w:eastAsia="宋体" w:cs="Times New Roman"/>
                <w:sz w:val="24"/>
                <w:szCs w:val="24"/>
              </w:rPr>
              <w:t>正</w:t>
            </w:r>
            <w:r>
              <w:rPr>
                <w:rFonts w:ascii="宋体" w:hAnsi="宋体" w:eastAsia="宋体" w:cs="Times New Roman"/>
                <w:sz w:val="24"/>
                <w:szCs w:val="24"/>
              </w:rPr>
              <w:t>全力推进“年</w:t>
            </w:r>
            <w:r>
              <w:rPr>
                <w:rFonts w:ascii="Times New Roman" w:hAnsi="Times New Roman" w:eastAsia="宋体" w:cs="Times New Roman"/>
                <w:sz w:val="24"/>
                <w:szCs w:val="24"/>
              </w:rPr>
              <w:t>产8,860吨功能性催化新材料项</w:t>
            </w:r>
            <w:r>
              <w:rPr>
                <w:rFonts w:ascii="宋体" w:hAnsi="宋体" w:eastAsia="宋体" w:cs="Times New Roman"/>
                <w:sz w:val="24"/>
                <w:szCs w:val="24"/>
              </w:rPr>
              <w:t>目”的</w:t>
            </w:r>
            <w:r>
              <w:rPr>
                <w:rFonts w:ascii="Times New Roman" w:hAnsi="Times New Roman" w:eastAsia="宋体" w:cs="Times New Roman"/>
                <w:sz w:val="24"/>
                <w:szCs w:val="24"/>
              </w:rPr>
              <w:t>建设，匹配</w:t>
            </w:r>
            <w:r>
              <w:rPr>
                <w:rFonts w:hint="eastAsia" w:ascii="Times New Roman" w:hAnsi="Times New Roman" w:eastAsia="宋体" w:cs="Times New Roman"/>
                <w:sz w:val="24"/>
                <w:szCs w:val="24"/>
              </w:rPr>
              <w:t>下游</w:t>
            </w:r>
            <w:r>
              <w:rPr>
                <w:rFonts w:ascii="Times New Roman" w:hAnsi="Times New Roman" w:eastAsia="宋体" w:cs="Times New Roman"/>
                <w:sz w:val="24"/>
                <w:szCs w:val="24"/>
              </w:rPr>
              <w:t>不断增长的市场需求，</w:t>
            </w:r>
            <w:r>
              <w:rPr>
                <w:rFonts w:hint="eastAsia" w:ascii="Times New Roman" w:hAnsi="Times New Roman" w:eastAsia="宋体" w:cs="Times New Roman"/>
                <w:sz w:val="24"/>
                <w:szCs w:val="24"/>
              </w:rPr>
              <w:t>实现</w:t>
            </w:r>
            <w:r>
              <w:rPr>
                <w:rFonts w:ascii="Times New Roman" w:hAnsi="Times New Roman" w:eastAsia="宋体" w:cs="Times New Roman"/>
                <w:sz w:val="24"/>
                <w:szCs w:val="24"/>
              </w:rPr>
              <w:t>产能</w:t>
            </w:r>
            <w:r>
              <w:rPr>
                <w:rFonts w:hint="eastAsia" w:ascii="Times New Roman" w:hAnsi="Times New Roman" w:eastAsia="宋体" w:cs="Times New Roman"/>
                <w:sz w:val="24"/>
                <w:szCs w:val="24"/>
              </w:rPr>
              <w:t>扩容与</w:t>
            </w:r>
            <w:r>
              <w:rPr>
                <w:rFonts w:ascii="Times New Roman" w:hAnsi="Times New Roman" w:eastAsia="宋体" w:cs="Times New Roman"/>
                <w:sz w:val="24"/>
                <w:szCs w:val="24"/>
              </w:rPr>
              <w:t>产品结构</w:t>
            </w:r>
            <w:r>
              <w:rPr>
                <w:rFonts w:hint="eastAsia" w:ascii="Times New Roman" w:hAnsi="Times New Roman" w:eastAsia="宋体" w:cs="Times New Roman"/>
                <w:sz w:val="24"/>
                <w:szCs w:val="24"/>
              </w:rPr>
              <w:t>优化同步落地</w:t>
            </w:r>
            <w:r>
              <w:rPr>
                <w:rFonts w:ascii="Times New Roman" w:hAnsi="Times New Roman" w:eastAsia="宋体" w:cs="Times New Roman"/>
                <w:sz w:val="24"/>
                <w:szCs w:val="24"/>
              </w:rPr>
              <w:t>。</w:t>
            </w:r>
          </w:p>
          <w:p w14:paraId="5AB027A7">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（四）中长期发展规划</w:t>
            </w:r>
          </w:p>
          <w:p w14:paraId="39101699">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未来，公司</w:t>
            </w:r>
            <w:r>
              <w:rPr>
                <w:rFonts w:ascii="宋体" w:hAnsi="宋体" w:eastAsia="宋体" w:cs="Times New Roman"/>
                <w:sz w:val="24"/>
                <w:szCs w:val="24"/>
              </w:rPr>
              <w:t>将</w:t>
            </w:r>
            <w:r>
              <w:rPr>
                <w:rFonts w:hint="eastAsia" w:ascii="宋体" w:hAnsi="宋体" w:eastAsia="宋体" w:cs="Times New Roman"/>
                <w:sz w:val="24"/>
                <w:szCs w:val="24"/>
              </w:rPr>
              <w:t>始终坚守</w:t>
            </w:r>
            <w:r>
              <w:rPr>
                <w:rFonts w:ascii="宋体" w:hAnsi="宋体" w:eastAsia="宋体" w:cs="Times New Roman"/>
                <w:sz w:val="24"/>
                <w:szCs w:val="24"/>
              </w:rPr>
              <w:t>“客户至上，精益求精”的发</w:t>
            </w:r>
            <w:r>
              <w:rPr>
                <w:rFonts w:ascii="Times New Roman" w:hAnsi="Times New Roman" w:eastAsia="宋体" w:cs="Times New Roman"/>
                <w:sz w:val="24"/>
                <w:szCs w:val="24"/>
              </w:rPr>
              <w:t>展理念，</w:t>
            </w:r>
            <w:r>
              <w:rPr>
                <w:rFonts w:hint="eastAsia" w:ascii="Times New Roman" w:hAnsi="Times New Roman" w:eastAsia="宋体" w:cs="Times New Roman"/>
                <w:sz w:val="24"/>
                <w:szCs w:val="24"/>
              </w:rPr>
              <w:t>稳固</w:t>
            </w:r>
            <w:r>
              <w:rPr>
                <w:rFonts w:ascii="Times New Roman" w:hAnsi="Times New Roman" w:eastAsia="宋体" w:cs="Times New Roman"/>
                <w:sz w:val="24"/>
                <w:szCs w:val="24"/>
              </w:rPr>
              <w:t>现有</w:t>
            </w:r>
            <w:r>
              <w:rPr>
                <w:rFonts w:hint="eastAsia" w:ascii="Times New Roman" w:hAnsi="Times New Roman" w:eastAsia="宋体" w:cs="Times New Roman"/>
                <w:sz w:val="24"/>
                <w:szCs w:val="24"/>
              </w:rPr>
              <w:t>赛道</w:t>
            </w:r>
            <w:r>
              <w:rPr>
                <w:rFonts w:ascii="Times New Roman" w:hAnsi="Times New Roman" w:eastAsia="宋体" w:cs="Times New Roman"/>
                <w:sz w:val="24"/>
                <w:szCs w:val="24"/>
              </w:rPr>
              <w:t>市场份额，加速新兴领域</w:t>
            </w:r>
            <w:r>
              <w:rPr>
                <w:rFonts w:hint="eastAsia" w:ascii="Times New Roman" w:hAnsi="Times New Roman" w:eastAsia="宋体" w:cs="Times New Roman"/>
                <w:sz w:val="24"/>
                <w:szCs w:val="24"/>
              </w:rPr>
              <w:t>产品</w:t>
            </w:r>
            <w:r>
              <w:rPr>
                <w:rFonts w:ascii="Times New Roman" w:hAnsi="Times New Roman" w:eastAsia="宋体" w:cs="Times New Roman"/>
                <w:sz w:val="24"/>
                <w:szCs w:val="24"/>
              </w:rPr>
              <w:t>商业化落地，</w:t>
            </w:r>
            <w:r>
              <w:rPr>
                <w:rFonts w:hint="eastAsia" w:ascii="Times New Roman" w:hAnsi="Times New Roman" w:eastAsia="宋体" w:cs="Times New Roman"/>
                <w:sz w:val="24"/>
                <w:szCs w:val="24"/>
              </w:rPr>
              <w:t>筑牢企业</w:t>
            </w:r>
            <w:r>
              <w:rPr>
                <w:rFonts w:ascii="Times New Roman" w:hAnsi="Times New Roman" w:eastAsia="宋体" w:cs="Times New Roman"/>
                <w:sz w:val="24"/>
                <w:szCs w:val="24"/>
              </w:rPr>
              <w:t>长期可持续发展根基。</w:t>
            </w:r>
          </w:p>
          <w:bookmarkEnd w:id="1"/>
          <w:p w14:paraId="68A6B607">
            <w:pPr>
              <w:widowControl/>
              <w:spacing w:line="360" w:lineRule="auto"/>
              <w:ind w:firstLine="480" w:firstLineChars="200"/>
              <w:rPr>
                <w:rFonts w:ascii="Times New Roman" w:hAnsi="Times New Roman" w:eastAsia="宋体" w:cs="Times New Roman"/>
                <w:sz w:val="24"/>
                <w:szCs w:val="24"/>
              </w:rPr>
            </w:pPr>
          </w:p>
          <w:p w14:paraId="391AE5CC">
            <w:pPr>
              <w:widowControl/>
              <w:spacing w:line="36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二、问答交流环节</w:t>
            </w:r>
          </w:p>
          <w:p w14:paraId="39702BF7">
            <w:pPr>
              <w:widowControl/>
              <w:spacing w:line="360" w:lineRule="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rPr>
              <w:t>1.提问：</w:t>
            </w:r>
            <w:r>
              <w:rPr>
                <w:rFonts w:hint="eastAsia" w:ascii="Times New Roman" w:hAnsi="Times New Roman" w:eastAsia="宋体" w:cs="Times New Roman"/>
                <w:b/>
                <w:bCs/>
                <w:sz w:val="24"/>
                <w:szCs w:val="24"/>
                <w:lang w:val="en-US" w:eastAsia="zh-CN"/>
              </w:rPr>
              <w:t>介绍一下</w:t>
            </w:r>
            <w:r>
              <w:rPr>
                <w:rFonts w:hint="eastAsia" w:ascii="Times New Roman" w:hAnsi="Times New Roman" w:eastAsia="宋体" w:cs="Times New Roman"/>
                <w:b/>
                <w:bCs/>
                <w:sz w:val="24"/>
                <w:szCs w:val="24"/>
              </w:rPr>
              <w:t>公司的主营业务和</w:t>
            </w:r>
            <w:r>
              <w:rPr>
                <w:rFonts w:hint="eastAsia" w:ascii="Times New Roman" w:hAnsi="Times New Roman" w:eastAsia="宋体" w:cs="Times New Roman"/>
                <w:b/>
                <w:bCs/>
                <w:sz w:val="24"/>
                <w:szCs w:val="24"/>
                <w:lang w:val="en-US" w:eastAsia="zh-CN"/>
              </w:rPr>
              <w:t>公司</w:t>
            </w:r>
            <w:r>
              <w:rPr>
                <w:rFonts w:hint="eastAsia" w:ascii="Times New Roman" w:hAnsi="Times New Roman" w:eastAsia="宋体" w:cs="Times New Roman"/>
                <w:b/>
                <w:bCs/>
                <w:sz w:val="24"/>
                <w:szCs w:val="24"/>
              </w:rPr>
              <w:t>产品</w:t>
            </w:r>
            <w:r>
              <w:rPr>
                <w:rFonts w:hint="eastAsia" w:ascii="Times New Roman" w:hAnsi="Times New Roman" w:eastAsia="宋体" w:cs="Times New Roman"/>
                <w:b/>
                <w:bCs/>
                <w:sz w:val="24"/>
                <w:szCs w:val="24"/>
                <w:lang w:val="en-US" w:eastAsia="zh-CN"/>
              </w:rPr>
              <w:t>的主要</w:t>
            </w:r>
            <w:r>
              <w:rPr>
                <w:rFonts w:hint="eastAsia" w:ascii="Times New Roman" w:hAnsi="Times New Roman" w:eastAsia="宋体" w:cs="Times New Roman"/>
                <w:b/>
                <w:bCs/>
                <w:sz w:val="24"/>
                <w:szCs w:val="24"/>
              </w:rPr>
              <w:t>应用</w:t>
            </w:r>
            <w:r>
              <w:rPr>
                <w:rFonts w:hint="eastAsia" w:ascii="Times New Roman" w:hAnsi="Times New Roman" w:eastAsia="宋体" w:cs="Times New Roman"/>
                <w:b/>
                <w:bCs/>
                <w:sz w:val="24"/>
                <w:szCs w:val="24"/>
                <w:lang w:val="en-US" w:eastAsia="zh-CN"/>
              </w:rPr>
              <w:t>领域</w:t>
            </w:r>
          </w:p>
          <w:p w14:paraId="741D91E8">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答：公司专注于季铵（鏻）化合物产品的研发、生产与销售，已形成以季铵盐、季铵碱、季鏻盐、冠醚为核心的四大产品体系。产品主要应用于相转移催化剂、分子筛模板剂、固化促进剂、电解液添加剂及电子化学品等领域，服务于精细化工、分子筛、高分子材料、电池电解液、油田化学品及电子化学品等下游行业。其中，相转移催化剂作为公司传统优势产品，可显著提升反应效率、降低能耗，广泛应用于医药、农药、液晶单体等精细化工领域；分子筛模板剂业务板块销量及营业收入同比实现双增长，公司作为细分领域领军企业，拥有从季铵盐到季铵碱模板剂的完整产业链，国内市场份额稳居前列；电解液添加剂及电子化学品作为新兴业务方向，伴随新能源汽车及半导体产业的快速发展，市场需求持续增长，公司已前瞻布局相关产能与技术储备。</w:t>
            </w:r>
          </w:p>
          <w:p w14:paraId="326D612A">
            <w:pPr>
              <w:widowControl/>
              <w:spacing w:line="360" w:lineRule="auto"/>
              <w:rPr>
                <w:rFonts w:ascii="Times New Roman" w:hAnsi="Times New Roman" w:eastAsia="宋体" w:cs="Times New Roman"/>
                <w:sz w:val="24"/>
                <w:szCs w:val="24"/>
              </w:rPr>
            </w:pPr>
          </w:p>
          <w:p w14:paraId="371222C9">
            <w:pPr>
              <w:widowControl/>
              <w:spacing w:line="36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2.提问：公司当前主要产品的市场供需格局及产能利用情况如何？</w:t>
            </w:r>
          </w:p>
          <w:p w14:paraId="4B193E95">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答：公司主营产品以各类相转移催化剂为核心，下游市场需求整体保持稳健增长。随着医药、农药、精细化工、分子筛及电子化学品等终端应用领域的持续拓展，产品需求保持良性增长。公司现有产能利用率处于较高水平，能够有效承接市场订单，确保产品的稳定供应与交付。</w:t>
            </w:r>
          </w:p>
          <w:p w14:paraId="2C85AB60">
            <w:pPr>
              <w:widowControl/>
              <w:spacing w:line="360" w:lineRule="auto"/>
              <w:rPr>
                <w:rFonts w:ascii="Times New Roman" w:hAnsi="Times New Roman" w:eastAsia="宋体" w:cs="Times New Roman"/>
                <w:sz w:val="24"/>
                <w:szCs w:val="24"/>
              </w:rPr>
            </w:pPr>
          </w:p>
          <w:p w14:paraId="212588E5">
            <w:pPr>
              <w:widowControl/>
              <w:spacing w:line="360" w:lineRule="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rPr>
              <w:t>3.提问：</w:t>
            </w:r>
            <w:r>
              <w:rPr>
                <w:rFonts w:hint="eastAsia" w:ascii="Times New Roman" w:hAnsi="Times New Roman" w:eastAsia="宋体" w:cs="Times New Roman"/>
                <w:b/>
                <w:bCs/>
                <w:sz w:val="24"/>
                <w:szCs w:val="24"/>
                <w:lang w:val="en-US" w:eastAsia="zh-CN"/>
              </w:rPr>
              <w:t>介绍</w:t>
            </w:r>
            <w:r>
              <w:rPr>
                <w:rFonts w:hint="eastAsia" w:ascii="Times New Roman" w:hAnsi="Times New Roman" w:eastAsia="宋体" w:cs="Times New Roman"/>
                <w:b/>
                <w:bCs/>
                <w:sz w:val="24"/>
                <w:szCs w:val="24"/>
              </w:rPr>
              <w:t>一下公司</w:t>
            </w:r>
            <w:r>
              <w:rPr>
                <w:rFonts w:hint="eastAsia" w:ascii="Times New Roman" w:hAnsi="Times New Roman" w:eastAsia="宋体" w:cs="Times New Roman"/>
                <w:b/>
                <w:bCs/>
                <w:sz w:val="24"/>
                <w:szCs w:val="24"/>
                <w:lang w:val="en-US" w:eastAsia="zh-CN"/>
              </w:rPr>
              <w:t>行业地位和</w:t>
            </w:r>
            <w:r>
              <w:rPr>
                <w:rFonts w:hint="eastAsia" w:ascii="Times New Roman" w:hAnsi="Times New Roman" w:eastAsia="宋体" w:cs="Times New Roman"/>
                <w:b/>
                <w:bCs/>
                <w:sz w:val="24"/>
                <w:szCs w:val="24"/>
              </w:rPr>
              <w:t>核心竞争力</w:t>
            </w:r>
            <w:r>
              <w:rPr>
                <w:rFonts w:hint="eastAsia" w:ascii="Times New Roman" w:hAnsi="Times New Roman" w:eastAsia="宋体" w:cs="Times New Roman"/>
                <w:b/>
                <w:bCs/>
                <w:sz w:val="24"/>
                <w:szCs w:val="24"/>
                <w:lang w:val="en-US" w:eastAsia="zh-CN"/>
              </w:rPr>
              <w:t>情况</w:t>
            </w:r>
          </w:p>
          <w:p w14:paraId="31DB39AC">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答：公司自设立以来，始终专注于从事季铵（鏻）化合物等产品研发、生产和销售，坚持加强自身研发队伍建设，通过持续的技术创新，不断优化生产工艺、提升产品质量、丰富产品结构。目前，公司已形成季铵盐、季铵碱、季鏻盐、冠醚四大系列产品，产品质量稳定，下游应用领域广泛。</w:t>
            </w:r>
          </w:p>
          <w:p w14:paraId="3F9C9C29">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资质荣誉方面，公司及子公司在2019和2021年先后获得江西省和浙江省省级专精特新中小企业认定，公司于2022年入选工业和信息化部第四批国家级专精特新“小巨人”企业，充分印证了在细分领域的龙头地位和核心竞争力。</w:t>
            </w:r>
          </w:p>
          <w:p w14:paraId="295DD747">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技术与人才储备方面，截至2026年6月30日，公司拥有研发人员65人，拥有有效国内发明专利55件、实用新型专利158件、国际发明专利3件，熟练掌握季铵盐合成、季鏻盐合成、冠醚合成及离子膜有机电解等核心生产技术，构筑深厚技术壁垒。</w:t>
            </w:r>
          </w:p>
          <w:p w14:paraId="4FB19A33">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市场口碑方面，公司凭借稳定的产品品质与良好的行业信誉，与下游多个应用领域的知名企业建立了长期稳定的合作关系，客户粘性较强。</w:t>
            </w:r>
          </w:p>
          <w:p w14:paraId="684E368E">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综合而言，公司在多重竞争优势的叠加下，行业领先地位稳固，核心竞争力持续增强。</w:t>
            </w:r>
          </w:p>
          <w:p w14:paraId="369C7F25">
            <w:pPr>
              <w:widowControl/>
              <w:spacing w:line="360" w:lineRule="auto"/>
              <w:rPr>
                <w:rFonts w:ascii="Times New Roman" w:hAnsi="Times New Roman" w:eastAsia="宋体" w:cs="Times New Roman"/>
                <w:sz w:val="24"/>
                <w:szCs w:val="24"/>
              </w:rPr>
            </w:pPr>
          </w:p>
          <w:p w14:paraId="7C750A34">
            <w:pPr>
              <w:widowControl/>
              <w:spacing w:line="36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4.提问：公司在产能扩张方面</w:t>
            </w:r>
            <w:r>
              <w:rPr>
                <w:rFonts w:hint="eastAsia" w:ascii="Times New Roman" w:hAnsi="Times New Roman" w:eastAsia="宋体" w:cs="Times New Roman"/>
                <w:b/>
                <w:bCs/>
                <w:sz w:val="24"/>
                <w:szCs w:val="24"/>
                <w:lang w:val="en-US" w:eastAsia="zh-CN"/>
              </w:rPr>
              <w:t>的计划和进展如何</w:t>
            </w:r>
            <w:r>
              <w:rPr>
                <w:rFonts w:hint="eastAsia" w:ascii="Times New Roman" w:hAnsi="Times New Roman" w:eastAsia="宋体" w:cs="Times New Roman"/>
                <w:b/>
                <w:bCs/>
                <w:sz w:val="24"/>
                <w:szCs w:val="24"/>
              </w:rPr>
              <w:t>？</w:t>
            </w:r>
          </w:p>
          <w:p w14:paraId="34D6BADD">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答：公司现有产能利用率处于较高水平，能够有效承接市场订单。在产能扩张方面，公司将根据下游市场需求变化及整体战略部署，重点推进两方面工作：一是对现有产线开展技术改造与提质增效，通过引入</w:t>
            </w:r>
            <w:r>
              <w:rPr>
                <w:rFonts w:hint="eastAsia" w:ascii="Times New Roman" w:hAnsi="Times New Roman" w:eastAsia="宋体" w:cs="Times New Roman"/>
                <w:sz w:val="24"/>
                <w:szCs w:val="24"/>
                <w:lang w:val="en-US" w:eastAsia="zh-CN"/>
              </w:rPr>
              <w:t>各类</w:t>
            </w:r>
            <w:r>
              <w:rPr>
                <w:rFonts w:hint="eastAsia" w:ascii="Times New Roman" w:hAnsi="Times New Roman" w:eastAsia="宋体" w:cs="Times New Roman"/>
                <w:sz w:val="24"/>
                <w:szCs w:val="24"/>
              </w:rPr>
              <w:t>自动化控制系统</w:t>
            </w:r>
            <w:r>
              <w:rPr>
                <w:rFonts w:hint="eastAsia" w:ascii="Times New Roman" w:hAnsi="Times New Roman" w:eastAsia="宋体" w:cs="Times New Roman"/>
                <w:sz w:val="24"/>
                <w:szCs w:val="24"/>
                <w:lang w:val="en-US" w:eastAsia="zh-CN"/>
              </w:rPr>
              <w:t>和</w:t>
            </w:r>
            <w:r>
              <w:rPr>
                <w:rFonts w:hint="eastAsia" w:ascii="Times New Roman" w:hAnsi="Times New Roman" w:eastAsia="宋体" w:cs="Times New Roman"/>
                <w:sz w:val="24"/>
                <w:szCs w:val="24"/>
              </w:rPr>
              <w:t>信息化管理系统，持续挖掘存量产能潜力，实现生产全流程的自动化、管道化、密闭化及精确控制，在降低原辅料、人工及能耗成本的同时大幅提升生产效率；二是加快募投项目“年产8,860吨功能性催化新材料项目”的建设与投产进度。该募投项目于2026年3月经公司临时股东会审议通过产品结构调整、内部投资结构调整并延期，项目规模总投资由49,887.86万元调整为58,407.44万元，达到预定可使用状态日期相应延后。目前项目处于主体施工阶段，截至2026年6月30日累计投入募集资金5,907.58万元，募集资金投入进度22.11%，项目进度符合预期。项目重点布局电池电解液添加剂、电子化学品等高端产品，投产后将持续补齐公司在高端产能方面的短板，推动产品结构向高附加值方向升级，进一步满足客户多元化和定制化的采购需求。详见公司于2026年8月2</w:t>
            </w: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rPr>
              <w:t>日披露的《2026年半年度募集资金存放、管理与实际使用情况的专项报告》（公告编号：2026-039）。</w:t>
            </w:r>
            <w:bookmarkStart w:id="2" w:name="_GoBack"/>
            <w:bookmarkEnd w:id="2"/>
          </w:p>
          <w:p w14:paraId="194549F4">
            <w:pPr>
              <w:widowControl/>
              <w:spacing w:line="360" w:lineRule="auto"/>
              <w:rPr>
                <w:rFonts w:ascii="Times New Roman" w:hAnsi="Times New Roman" w:eastAsia="宋体" w:cs="Times New Roman"/>
                <w:sz w:val="24"/>
                <w:szCs w:val="24"/>
              </w:rPr>
            </w:pPr>
          </w:p>
          <w:p w14:paraId="2EC87AE5">
            <w:pPr>
              <w:widowControl/>
              <w:spacing w:line="36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5.提问：公司在研发</w:t>
            </w:r>
            <w:r>
              <w:rPr>
                <w:rFonts w:hint="eastAsia" w:ascii="Times New Roman" w:hAnsi="Times New Roman" w:eastAsia="宋体" w:cs="Times New Roman"/>
                <w:b/>
                <w:bCs/>
                <w:sz w:val="24"/>
                <w:szCs w:val="24"/>
                <w:lang w:val="en-US" w:eastAsia="zh-CN"/>
              </w:rPr>
              <w:t>和</w:t>
            </w:r>
            <w:r>
              <w:rPr>
                <w:rFonts w:hint="eastAsia" w:ascii="Times New Roman" w:hAnsi="Times New Roman" w:eastAsia="宋体" w:cs="Times New Roman"/>
                <w:b/>
                <w:bCs/>
                <w:sz w:val="24"/>
                <w:szCs w:val="24"/>
              </w:rPr>
              <w:t>技术方面有哪些规划</w:t>
            </w:r>
            <w:r>
              <w:rPr>
                <w:rFonts w:hint="eastAsia" w:ascii="Times New Roman" w:hAnsi="Times New Roman" w:eastAsia="宋体" w:cs="Times New Roman"/>
                <w:b/>
                <w:bCs/>
                <w:sz w:val="24"/>
                <w:szCs w:val="24"/>
                <w:lang w:val="en-US" w:eastAsia="zh-CN"/>
              </w:rPr>
              <w:t>和进展</w:t>
            </w:r>
            <w:r>
              <w:rPr>
                <w:rFonts w:hint="eastAsia" w:ascii="Times New Roman" w:hAnsi="Times New Roman" w:eastAsia="宋体" w:cs="Times New Roman"/>
                <w:b/>
                <w:bCs/>
                <w:sz w:val="24"/>
                <w:szCs w:val="24"/>
              </w:rPr>
              <w:t>？</w:t>
            </w:r>
          </w:p>
          <w:p w14:paraId="27A7D8BF">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答：公司始终将技术创新作为核心发展驱动力，持续加大研发投入力度。截至2026年6月30日，公司拥有研发人员65人，有效国内发明专利55件、实用新型专利158件、国际发明专利3件，核心技术涵盖季铵盐合成、季鏻盐合成、冠醚合成及离子膜有机电解等领域，构筑了深厚的技术壁垒。在创新平台建设方面，公司除已搭建省级高新技术企业研究开发中心外，长期与浙江大学、吉林大学等国内知名高校开展深度产学研合作。2026年7月，公司获全国博士后管委会办公室批准设立国家级博士后科研工作站，标志着公司高层次人才培养、前沿技术研发与产学研创新平台建设迈入新层级。未来，公司技术研发将重点聚焦于三大方向：一是现有生产工艺的优化迭代，包括离子膜有机电解技术优化、冠醚类化合物合成工艺升级及节能降本攻关；二是产品高端化突破，以提升产品纯度至更高电子级标准为研发目标，持续开展相关产品纯化技术研发与工艺改进，加快电子级季铵碱等湿电子化学品的技术开发与产业化储备；三是全新产品开发及前沿技术市场转化落地，围绕电解液添加剂、电子化学品等新兴领域，同步开展多款新产品的实验室研发及中试放大，不断夯实产业化技术储备。通过构建“技术研发、人才培育、成果转化”全链条创新体系，以技术创新驱动企业高质量发展。</w:t>
            </w:r>
          </w:p>
          <w:p w14:paraId="63C377C3">
            <w:pPr>
              <w:widowControl/>
              <w:spacing w:line="360" w:lineRule="auto"/>
              <w:rPr>
                <w:rFonts w:ascii="Times New Roman" w:hAnsi="Times New Roman" w:eastAsia="宋体" w:cs="Times New Roman"/>
                <w:sz w:val="24"/>
                <w:szCs w:val="24"/>
              </w:rPr>
            </w:pPr>
          </w:p>
          <w:p w14:paraId="62CF3152">
            <w:pPr>
              <w:widowControl/>
              <w:spacing w:line="360" w:lineRule="auto"/>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6.提问：</w:t>
            </w:r>
            <w:r>
              <w:rPr>
                <w:rFonts w:hint="eastAsia" w:ascii="Times New Roman" w:hAnsi="Times New Roman" w:eastAsia="宋体" w:cs="Times New Roman"/>
                <w:b/>
                <w:bCs/>
                <w:sz w:val="24"/>
                <w:szCs w:val="24"/>
                <w:lang w:val="en-US" w:eastAsia="zh-CN"/>
              </w:rPr>
              <w:t>请介绍一下</w:t>
            </w:r>
            <w:r>
              <w:rPr>
                <w:rFonts w:hint="eastAsia" w:ascii="Times New Roman" w:hAnsi="Times New Roman" w:eastAsia="宋体" w:cs="Times New Roman"/>
                <w:b/>
                <w:bCs/>
                <w:sz w:val="24"/>
                <w:szCs w:val="24"/>
              </w:rPr>
              <w:t>公司上半年的业绩情况</w:t>
            </w:r>
          </w:p>
          <w:p w14:paraId="4A76827F">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答：2026年上半年，面对复杂多变的市场环境，公司紧扣年度经营计划，在稳固传统精细化工业务基本盘的基础上，加速推进多款新产品的市场拓展。一方面持续巩固相转移催化剂、分子筛模板剂等细分领域的国内领先地位，另一方面加快布局电解液添加剂、电子化学品等新兴领域，持续拓宽下游应用场景，推动产品向高端化、差异化方向升级。</w:t>
            </w:r>
          </w:p>
          <w:p w14:paraId="559F102F">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报告期内，公司实现营业收入33,502.92万元，同比增长13.28%；归属于母公司所有者的净利润4,114.42万元，同比增长4.56%；扣除非经常性损益后的净利润3,799.14万元，同比增长4.63%；经营活动产生的现金流量净额5,519.61万元，同比增长2.58%。面对复杂的市场环境和原材料价格波动，公司凭借技术优势和产品结构优化，保持了良好的盈利能力，展现出较强的经营韧性。</w:t>
            </w:r>
          </w:p>
          <w:p w14:paraId="2E99545D">
            <w:pPr>
              <w:widowControl/>
              <w:spacing w:line="360" w:lineRule="auto"/>
              <w:rPr>
                <w:rFonts w:ascii="Times New Roman" w:hAnsi="Times New Roman" w:eastAsia="宋体" w:cs="Times New Roman"/>
                <w:sz w:val="24"/>
                <w:szCs w:val="24"/>
              </w:rPr>
            </w:pPr>
          </w:p>
          <w:p w14:paraId="74DE3404">
            <w:pPr>
              <w:widowControl/>
              <w:spacing w:line="36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7.提问：公司中长期的发展规划</w:t>
            </w:r>
            <w:r>
              <w:rPr>
                <w:rFonts w:hint="eastAsia" w:ascii="Times New Roman" w:hAnsi="Times New Roman" w:eastAsia="宋体" w:cs="Times New Roman"/>
                <w:b/>
                <w:bCs/>
                <w:sz w:val="24"/>
                <w:szCs w:val="24"/>
                <w:lang w:val="en-US" w:eastAsia="zh-CN"/>
              </w:rPr>
              <w:t>是怎样的</w:t>
            </w:r>
            <w:r>
              <w:rPr>
                <w:rFonts w:hint="eastAsia" w:ascii="Times New Roman" w:hAnsi="Times New Roman" w:eastAsia="宋体" w:cs="Times New Roman"/>
                <w:b/>
                <w:bCs/>
                <w:sz w:val="24"/>
                <w:szCs w:val="24"/>
              </w:rPr>
              <w:t>？</w:t>
            </w:r>
          </w:p>
          <w:p w14:paraId="06CF897D">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答：2026年，化工行业有望在多重利好因素驱动下保持温和增长态势。公司将立足相转移催化剂、分子筛模板剂、电解液添加剂、电子化学品、油田化学品等主要领域，深耕主业、拓展新兴市场，稳步推动业务规模与盈利能力的共同提升，夯实企业长期可持续发展的基础。</w:t>
            </w:r>
          </w:p>
        </w:tc>
      </w:tr>
      <w:tr w14:paraId="1044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635C3425">
            <w:pPr>
              <w:widowControl/>
              <w:wordWrap w:val="0"/>
              <w:adjustRightInd w:val="0"/>
              <w:snapToGrid w:val="0"/>
              <w:spacing w:before="120" w:line="360" w:lineRule="auto"/>
              <w:jc w:val="center"/>
              <w:rPr>
                <w:rFonts w:hint="eastAsia" w:ascii="宋体" w:hAnsi="宋体" w:eastAsia="宋体" w:cs="USHEHF+ËÎÌå"/>
                <w:color w:val="000000"/>
                <w:sz w:val="24"/>
                <w:lang w:val="ru-RU"/>
              </w:rPr>
            </w:pPr>
            <w:r>
              <w:rPr>
                <w:rFonts w:ascii="Times New Roman" w:hAnsi="Times New Roman" w:eastAsia="宋体" w:cs="Times New Roman"/>
                <w:bCs/>
                <w:iCs/>
                <w:color w:val="000000"/>
                <w:sz w:val="24"/>
                <w:szCs w:val="24"/>
              </w:rPr>
              <w:t>关于本次活动是否涉及应当披露重大信息的说明</w:t>
            </w:r>
          </w:p>
        </w:tc>
        <w:tc>
          <w:tcPr>
            <w:tcW w:w="7655" w:type="dxa"/>
            <w:tcBorders>
              <w:top w:val="single" w:color="auto" w:sz="4" w:space="0"/>
              <w:left w:val="single" w:color="auto" w:sz="4" w:space="0"/>
              <w:bottom w:val="single" w:color="auto" w:sz="4" w:space="0"/>
              <w:right w:val="single" w:color="auto" w:sz="4" w:space="0"/>
            </w:tcBorders>
            <w:vAlign w:val="center"/>
          </w:tcPr>
          <w:p w14:paraId="63495B69">
            <w:pPr>
              <w:widowControl/>
              <w:wordWrap w:val="0"/>
              <w:adjustRightInd w:val="0"/>
              <w:snapToGrid w:val="0"/>
              <w:spacing w:before="120" w:after="240" w:line="360" w:lineRule="auto"/>
              <w:jc w:val="left"/>
              <w:rPr>
                <w:rFonts w:hint="eastAsia" w:ascii="宋体" w:hAnsi="宋体" w:eastAsia="宋体" w:cs="Times New Roman"/>
                <w:sz w:val="22"/>
                <w:lang w:val="ru-RU"/>
              </w:rPr>
            </w:pPr>
            <w:r>
              <w:rPr>
                <w:rFonts w:ascii="Times New Roman" w:hAnsi="Times New Roman" w:eastAsia="宋体" w:cs="Times New Roman"/>
                <w:bCs/>
                <w:iCs/>
                <w:color w:val="000000"/>
                <w:sz w:val="24"/>
                <w:szCs w:val="24"/>
              </w:rPr>
              <w:t>本次投资者调研活动全程严格遵守信息披露相关法律法规，不存在未披露重大内幕信息泄露</w:t>
            </w:r>
            <w:r>
              <w:rPr>
                <w:rFonts w:hint="eastAsia" w:ascii="Times New Roman" w:hAnsi="Times New Roman" w:eastAsia="宋体" w:cs="Times New Roman"/>
                <w:bCs/>
                <w:iCs/>
                <w:color w:val="000000"/>
                <w:sz w:val="24"/>
                <w:szCs w:val="24"/>
              </w:rPr>
              <w:t>等</w:t>
            </w:r>
            <w:r>
              <w:rPr>
                <w:rFonts w:ascii="Times New Roman" w:hAnsi="Times New Roman" w:eastAsia="宋体" w:cs="Times New Roman"/>
                <w:bCs/>
                <w:iCs/>
                <w:color w:val="000000"/>
                <w:sz w:val="24"/>
                <w:szCs w:val="24"/>
              </w:rPr>
              <w:t>情形。</w:t>
            </w:r>
          </w:p>
        </w:tc>
      </w:tr>
      <w:tr w14:paraId="5B03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0CF0A774">
            <w:pPr>
              <w:widowControl/>
              <w:wordWrap w:val="0"/>
              <w:adjustRightInd w:val="0"/>
              <w:snapToGrid w:val="0"/>
              <w:spacing w:before="120"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附件清单（如有）</w:t>
            </w:r>
          </w:p>
        </w:tc>
        <w:tc>
          <w:tcPr>
            <w:tcW w:w="7655" w:type="dxa"/>
            <w:tcBorders>
              <w:top w:val="single" w:color="auto" w:sz="4" w:space="0"/>
              <w:left w:val="single" w:color="auto" w:sz="4" w:space="0"/>
              <w:bottom w:val="single" w:color="auto" w:sz="4" w:space="0"/>
              <w:right w:val="single" w:color="auto" w:sz="4" w:space="0"/>
            </w:tcBorders>
            <w:vAlign w:val="center"/>
          </w:tcPr>
          <w:p w14:paraId="0754CB2F">
            <w:pPr>
              <w:widowControl/>
              <w:wordWrap w:val="0"/>
              <w:adjustRightInd w:val="0"/>
              <w:snapToGrid w:val="0"/>
              <w:spacing w:before="120" w:after="240"/>
              <w:jc w:val="left"/>
              <w:rPr>
                <w:rFonts w:hint="eastAsia" w:ascii="宋体" w:hAnsi="宋体" w:eastAsia="宋体" w:cs="Times New Roman"/>
                <w:sz w:val="22"/>
                <w:lang w:val="ru-RU"/>
              </w:rPr>
            </w:pPr>
            <w:r>
              <w:rPr>
                <w:rFonts w:hint="eastAsia" w:ascii="宋体" w:hAnsi="宋体" w:eastAsia="宋体" w:cs="Times New Roman"/>
                <w:sz w:val="22"/>
                <w:lang w:val="ru-RU"/>
              </w:rPr>
              <w:t>无</w:t>
            </w:r>
          </w:p>
        </w:tc>
      </w:tr>
      <w:tr w14:paraId="0F5B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323EC183">
            <w:pPr>
              <w:widowControl/>
              <w:wordWrap w:val="0"/>
              <w:adjustRightInd w:val="0"/>
              <w:snapToGrid w:val="0"/>
              <w:spacing w:before="120"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日期</w:t>
            </w:r>
          </w:p>
        </w:tc>
        <w:tc>
          <w:tcPr>
            <w:tcW w:w="7655" w:type="dxa"/>
            <w:tcBorders>
              <w:top w:val="single" w:color="auto" w:sz="4" w:space="0"/>
              <w:left w:val="single" w:color="auto" w:sz="4" w:space="0"/>
              <w:bottom w:val="single" w:color="auto" w:sz="4" w:space="0"/>
              <w:right w:val="single" w:color="auto" w:sz="4" w:space="0"/>
            </w:tcBorders>
            <w:vAlign w:val="center"/>
          </w:tcPr>
          <w:p w14:paraId="2C929B47">
            <w:pPr>
              <w:widowControl/>
              <w:wordWrap w:val="0"/>
              <w:adjustRightInd w:val="0"/>
              <w:snapToGrid w:val="0"/>
              <w:spacing w:before="120" w:after="240"/>
              <w:jc w:val="left"/>
              <w:rPr>
                <w:rFonts w:ascii="Times New Roman" w:hAnsi="Times New Roman" w:eastAsia="宋体" w:cs="Times New Roman"/>
                <w:sz w:val="24"/>
                <w:szCs w:val="24"/>
                <w:lang w:val="ru-RU"/>
              </w:rPr>
            </w:pPr>
            <w:r>
              <w:rPr>
                <w:rFonts w:hint="eastAsia" w:ascii="Times New Roman" w:hAnsi="Times New Roman" w:eastAsia="宋体" w:cs="Times New Roman"/>
                <w:sz w:val="24"/>
                <w:szCs w:val="24"/>
                <w:lang w:val="ru-RU"/>
              </w:rPr>
              <w:t>2026年0</w:t>
            </w:r>
            <w:r>
              <w:rPr>
                <w:rFonts w:hint="eastAsia" w:ascii="Times New Roman" w:hAnsi="Times New Roman" w:eastAsia="宋体" w:cs="Times New Roman"/>
                <w:sz w:val="24"/>
                <w:szCs w:val="24"/>
              </w:rPr>
              <w:t>9</w:t>
            </w:r>
            <w:r>
              <w:rPr>
                <w:rFonts w:hint="eastAsia" w:ascii="Times New Roman" w:hAnsi="Times New Roman" w:eastAsia="宋体" w:cs="Times New Roman"/>
                <w:sz w:val="24"/>
                <w:szCs w:val="24"/>
                <w:lang w:val="ru-RU"/>
              </w:rPr>
              <w:t>月09日</w:t>
            </w:r>
          </w:p>
        </w:tc>
      </w:tr>
    </w:tbl>
    <w:p w14:paraId="4DFD2916">
      <w:pPr>
        <w:rPr>
          <w:rFonts w:hint="eastAsia"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RDFSIJ+ºÚÌå">
    <w:altName w:val="Microsoft Sans Serif"/>
    <w:panose1 w:val="00000000000000000000"/>
    <w:charset w:val="00"/>
    <w:family w:val="auto"/>
    <w:pitch w:val="default"/>
    <w:sig w:usb0="00000000" w:usb1="00000000" w:usb2="01010101" w:usb3="01010101" w:csb0="01010101" w:csb1="01010101"/>
  </w:font>
  <w:font w:name="Microsoft Sans Serif">
    <w:panose1 w:val="020B0604020202020204"/>
    <w:charset w:val="00"/>
    <w:family w:val="auto"/>
    <w:pitch w:val="default"/>
    <w:sig w:usb0="E5002EFF" w:usb1="C000605B" w:usb2="00000029" w:usb3="00000000" w:csb0="200101FF" w:csb1="20280000"/>
  </w:font>
  <w:font w:name="USHEHF+ËÎÌå">
    <w:altName w:val="Microsoft Sans Serif"/>
    <w:panose1 w:val="00000000000000000000"/>
    <w:charset w:val="00"/>
    <w:family w:val="auto"/>
    <w:pitch w:val="default"/>
    <w:sig w:usb0="00000000" w:usb1="00000000" w:usb2="01010101" w:usb3="01010101" w:csb0="01010101" w:csb1="01010101"/>
  </w:font>
  <w:font w:name="Segoe UI Symbol">
    <w:panose1 w:val="020B0502040204020203"/>
    <w:charset w:val="00"/>
    <w:family w:val="swiss"/>
    <w:pitch w:val="default"/>
    <w:sig w:usb0="800001E3" w:usb1="1200FFEF" w:usb2="00040000" w:usb3="04000000" w:csb0="00000001" w:csb1="4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5651294"/>
    </w:sdtPr>
    <w:sdtEndPr>
      <w:rPr>
        <w:rFonts w:ascii="Times New Roman" w:hAnsi="Times New Roman" w:cs="Times New Roman"/>
      </w:rPr>
    </w:sdtEndPr>
    <w:sdtContent>
      <w:p w14:paraId="7E7AC8E9">
        <w:pPr>
          <w:pStyle w:val="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0MTdjODcwZGU1NzQyYzNhNDhiNzk0NWIyMjQ4MDQifQ=="/>
  </w:docVars>
  <w:rsids>
    <w:rsidRoot w:val="008D4693"/>
    <w:rsid w:val="00004123"/>
    <w:rsid w:val="0000779B"/>
    <w:rsid w:val="00030341"/>
    <w:rsid w:val="000309F9"/>
    <w:rsid w:val="00037129"/>
    <w:rsid w:val="00041B5C"/>
    <w:rsid w:val="000618A5"/>
    <w:rsid w:val="00072B02"/>
    <w:rsid w:val="0007641A"/>
    <w:rsid w:val="000874DF"/>
    <w:rsid w:val="000E099B"/>
    <w:rsid w:val="000F2A6D"/>
    <w:rsid w:val="00100534"/>
    <w:rsid w:val="00102411"/>
    <w:rsid w:val="001065FD"/>
    <w:rsid w:val="001077EE"/>
    <w:rsid w:val="00114CA3"/>
    <w:rsid w:val="00133AAA"/>
    <w:rsid w:val="00141B08"/>
    <w:rsid w:val="00174A48"/>
    <w:rsid w:val="001808D8"/>
    <w:rsid w:val="001811BB"/>
    <w:rsid w:val="00184F74"/>
    <w:rsid w:val="00186632"/>
    <w:rsid w:val="001B1D83"/>
    <w:rsid w:val="001B3B04"/>
    <w:rsid w:val="001C019D"/>
    <w:rsid w:val="001D456E"/>
    <w:rsid w:val="001E103A"/>
    <w:rsid w:val="00207057"/>
    <w:rsid w:val="00207F98"/>
    <w:rsid w:val="00211364"/>
    <w:rsid w:val="002136EE"/>
    <w:rsid w:val="002171E1"/>
    <w:rsid w:val="00222C62"/>
    <w:rsid w:val="00224325"/>
    <w:rsid w:val="002247F1"/>
    <w:rsid w:val="00244E0A"/>
    <w:rsid w:val="00246255"/>
    <w:rsid w:val="00257164"/>
    <w:rsid w:val="00275B52"/>
    <w:rsid w:val="00276807"/>
    <w:rsid w:val="002963B7"/>
    <w:rsid w:val="002D7C7D"/>
    <w:rsid w:val="002F0A0A"/>
    <w:rsid w:val="002F1F4F"/>
    <w:rsid w:val="00304635"/>
    <w:rsid w:val="003048CA"/>
    <w:rsid w:val="0031393E"/>
    <w:rsid w:val="00316044"/>
    <w:rsid w:val="0032062B"/>
    <w:rsid w:val="00324724"/>
    <w:rsid w:val="003416AE"/>
    <w:rsid w:val="00347BDA"/>
    <w:rsid w:val="00357A65"/>
    <w:rsid w:val="003628AB"/>
    <w:rsid w:val="00364046"/>
    <w:rsid w:val="003665B2"/>
    <w:rsid w:val="00367582"/>
    <w:rsid w:val="003802CC"/>
    <w:rsid w:val="003A0860"/>
    <w:rsid w:val="003A5D33"/>
    <w:rsid w:val="003B111C"/>
    <w:rsid w:val="003B26AA"/>
    <w:rsid w:val="003B6F82"/>
    <w:rsid w:val="003C6FB4"/>
    <w:rsid w:val="003E5945"/>
    <w:rsid w:val="003F433C"/>
    <w:rsid w:val="003F5CE7"/>
    <w:rsid w:val="004055B3"/>
    <w:rsid w:val="00410EE2"/>
    <w:rsid w:val="004113A7"/>
    <w:rsid w:val="0041536A"/>
    <w:rsid w:val="00417833"/>
    <w:rsid w:val="00432B2C"/>
    <w:rsid w:val="00450001"/>
    <w:rsid w:val="0046685B"/>
    <w:rsid w:val="004956B7"/>
    <w:rsid w:val="004960F1"/>
    <w:rsid w:val="004A77B4"/>
    <w:rsid w:val="004A7DB1"/>
    <w:rsid w:val="004B31B5"/>
    <w:rsid w:val="004B6228"/>
    <w:rsid w:val="004C3B14"/>
    <w:rsid w:val="004C772F"/>
    <w:rsid w:val="004C7DC2"/>
    <w:rsid w:val="004F36D5"/>
    <w:rsid w:val="00515F44"/>
    <w:rsid w:val="0052744E"/>
    <w:rsid w:val="00537186"/>
    <w:rsid w:val="00553AC9"/>
    <w:rsid w:val="00562C53"/>
    <w:rsid w:val="005753B1"/>
    <w:rsid w:val="00581694"/>
    <w:rsid w:val="00582448"/>
    <w:rsid w:val="00584599"/>
    <w:rsid w:val="005927F6"/>
    <w:rsid w:val="00593543"/>
    <w:rsid w:val="005964F7"/>
    <w:rsid w:val="005974F6"/>
    <w:rsid w:val="005A5603"/>
    <w:rsid w:val="005A5CE6"/>
    <w:rsid w:val="005B65EF"/>
    <w:rsid w:val="005C7E38"/>
    <w:rsid w:val="005D2CDB"/>
    <w:rsid w:val="00612466"/>
    <w:rsid w:val="00634EE0"/>
    <w:rsid w:val="00641E8D"/>
    <w:rsid w:val="0065522C"/>
    <w:rsid w:val="006646C5"/>
    <w:rsid w:val="00673FAE"/>
    <w:rsid w:val="006A2EBA"/>
    <w:rsid w:val="006B2ADA"/>
    <w:rsid w:val="006B4E2A"/>
    <w:rsid w:val="006B5C98"/>
    <w:rsid w:val="006B5E13"/>
    <w:rsid w:val="006F24D1"/>
    <w:rsid w:val="00705AE4"/>
    <w:rsid w:val="0073214A"/>
    <w:rsid w:val="0076189F"/>
    <w:rsid w:val="00762524"/>
    <w:rsid w:val="007657E9"/>
    <w:rsid w:val="00767156"/>
    <w:rsid w:val="007772AD"/>
    <w:rsid w:val="007A1F2D"/>
    <w:rsid w:val="007A50D8"/>
    <w:rsid w:val="007C75FF"/>
    <w:rsid w:val="007D1311"/>
    <w:rsid w:val="007D7901"/>
    <w:rsid w:val="007F3F25"/>
    <w:rsid w:val="007F63EA"/>
    <w:rsid w:val="0082731E"/>
    <w:rsid w:val="00832C04"/>
    <w:rsid w:val="008332C1"/>
    <w:rsid w:val="00833488"/>
    <w:rsid w:val="00834FC9"/>
    <w:rsid w:val="00854142"/>
    <w:rsid w:val="00873750"/>
    <w:rsid w:val="00885121"/>
    <w:rsid w:val="008A152B"/>
    <w:rsid w:val="008A2B69"/>
    <w:rsid w:val="008C63A8"/>
    <w:rsid w:val="008D4693"/>
    <w:rsid w:val="008D5B0B"/>
    <w:rsid w:val="008F7A80"/>
    <w:rsid w:val="009249D5"/>
    <w:rsid w:val="0093169F"/>
    <w:rsid w:val="009333D0"/>
    <w:rsid w:val="009450FD"/>
    <w:rsid w:val="00974494"/>
    <w:rsid w:val="00985595"/>
    <w:rsid w:val="009875C4"/>
    <w:rsid w:val="00994BFD"/>
    <w:rsid w:val="00996355"/>
    <w:rsid w:val="009B0958"/>
    <w:rsid w:val="009C11AE"/>
    <w:rsid w:val="009E5559"/>
    <w:rsid w:val="009E7CC3"/>
    <w:rsid w:val="00A20D31"/>
    <w:rsid w:val="00A32163"/>
    <w:rsid w:val="00A352F3"/>
    <w:rsid w:val="00A358B1"/>
    <w:rsid w:val="00A65DD5"/>
    <w:rsid w:val="00A81981"/>
    <w:rsid w:val="00A83A45"/>
    <w:rsid w:val="00AA702B"/>
    <w:rsid w:val="00AA70BF"/>
    <w:rsid w:val="00AC58BF"/>
    <w:rsid w:val="00AC75BE"/>
    <w:rsid w:val="00B02047"/>
    <w:rsid w:val="00B1719D"/>
    <w:rsid w:val="00B20D98"/>
    <w:rsid w:val="00B26201"/>
    <w:rsid w:val="00B44BEE"/>
    <w:rsid w:val="00B47502"/>
    <w:rsid w:val="00B6000E"/>
    <w:rsid w:val="00B67029"/>
    <w:rsid w:val="00B760AD"/>
    <w:rsid w:val="00BA259B"/>
    <w:rsid w:val="00BB6EE2"/>
    <w:rsid w:val="00C10A4A"/>
    <w:rsid w:val="00C14A09"/>
    <w:rsid w:val="00C2318A"/>
    <w:rsid w:val="00C3507B"/>
    <w:rsid w:val="00C436F9"/>
    <w:rsid w:val="00C51686"/>
    <w:rsid w:val="00C67EB3"/>
    <w:rsid w:val="00C85B4B"/>
    <w:rsid w:val="00C97898"/>
    <w:rsid w:val="00CA36D3"/>
    <w:rsid w:val="00CA5826"/>
    <w:rsid w:val="00CB6A4A"/>
    <w:rsid w:val="00CC4A87"/>
    <w:rsid w:val="00CF23EA"/>
    <w:rsid w:val="00CF67CF"/>
    <w:rsid w:val="00D00812"/>
    <w:rsid w:val="00D1138C"/>
    <w:rsid w:val="00D3414F"/>
    <w:rsid w:val="00D35A7E"/>
    <w:rsid w:val="00D42C5C"/>
    <w:rsid w:val="00D71363"/>
    <w:rsid w:val="00DB15D2"/>
    <w:rsid w:val="00DB1911"/>
    <w:rsid w:val="00DB299F"/>
    <w:rsid w:val="00DD56DE"/>
    <w:rsid w:val="00DF1A3B"/>
    <w:rsid w:val="00E14C26"/>
    <w:rsid w:val="00E2048E"/>
    <w:rsid w:val="00E352E6"/>
    <w:rsid w:val="00E43AE3"/>
    <w:rsid w:val="00E45FD5"/>
    <w:rsid w:val="00E57D5F"/>
    <w:rsid w:val="00E72DEA"/>
    <w:rsid w:val="00E829C7"/>
    <w:rsid w:val="00E924AF"/>
    <w:rsid w:val="00EA230F"/>
    <w:rsid w:val="00EB0C05"/>
    <w:rsid w:val="00ED1D76"/>
    <w:rsid w:val="00ED76CF"/>
    <w:rsid w:val="00EE3707"/>
    <w:rsid w:val="00EE7006"/>
    <w:rsid w:val="00F035AF"/>
    <w:rsid w:val="00F04EE8"/>
    <w:rsid w:val="00F11B12"/>
    <w:rsid w:val="00F34504"/>
    <w:rsid w:val="00F8245A"/>
    <w:rsid w:val="00F86299"/>
    <w:rsid w:val="00FA0AF2"/>
    <w:rsid w:val="00FB3D64"/>
    <w:rsid w:val="00FC0DFA"/>
    <w:rsid w:val="00FD3B09"/>
    <w:rsid w:val="00FE3514"/>
    <w:rsid w:val="00FE6BE9"/>
    <w:rsid w:val="00FF5571"/>
    <w:rsid w:val="00FF71D8"/>
    <w:rsid w:val="0C310613"/>
    <w:rsid w:val="0E157728"/>
    <w:rsid w:val="0EA842EB"/>
    <w:rsid w:val="11BE63FD"/>
    <w:rsid w:val="1E6257AE"/>
    <w:rsid w:val="21823A71"/>
    <w:rsid w:val="25B72258"/>
    <w:rsid w:val="27110EAB"/>
    <w:rsid w:val="27DB3EDB"/>
    <w:rsid w:val="27F82CDF"/>
    <w:rsid w:val="2A4E4E38"/>
    <w:rsid w:val="2C7A5105"/>
    <w:rsid w:val="2FD65143"/>
    <w:rsid w:val="345614B9"/>
    <w:rsid w:val="34E857D9"/>
    <w:rsid w:val="41C5246F"/>
    <w:rsid w:val="4A182415"/>
    <w:rsid w:val="4B6702F3"/>
    <w:rsid w:val="4C3E2B07"/>
    <w:rsid w:val="50122996"/>
    <w:rsid w:val="537B1F4B"/>
    <w:rsid w:val="58A62645"/>
    <w:rsid w:val="58FF44B7"/>
    <w:rsid w:val="5B7D7A78"/>
    <w:rsid w:val="5F8D1984"/>
    <w:rsid w:val="61F734FF"/>
    <w:rsid w:val="689626B7"/>
    <w:rsid w:val="69550BFB"/>
    <w:rsid w:val="6A773014"/>
    <w:rsid w:val="6BC91E1E"/>
    <w:rsid w:val="6D3451EC"/>
    <w:rsid w:val="6DCC7F54"/>
    <w:rsid w:val="74835EFA"/>
    <w:rsid w:val="766A126A"/>
    <w:rsid w:val="77400EE8"/>
    <w:rsid w:val="797D5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批注文字 字符"/>
    <w:basedOn w:val="10"/>
    <w:link w:val="3"/>
    <w:qFormat/>
    <w:uiPriority w:val="99"/>
  </w:style>
  <w:style w:type="character" w:customStyle="1" w:styleId="13">
    <w:name w:val="批注框文本 字符"/>
    <w:basedOn w:val="10"/>
    <w:link w:val="4"/>
    <w:semiHidden/>
    <w:qFormat/>
    <w:uiPriority w:val="99"/>
    <w:rPr>
      <w:sz w:val="18"/>
      <w:szCs w:val="18"/>
    </w:rPr>
  </w:style>
  <w:style w:type="table" w:customStyle="1" w:styleId="14">
    <w:name w:val="网格型1"/>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批注主题 字符"/>
    <w:basedOn w:val="12"/>
    <w:link w:val="7"/>
    <w:semiHidden/>
    <w:qFormat/>
    <w:uiPriority w:val="99"/>
    <w:rPr>
      <w:b/>
      <w:bCs/>
    </w:rPr>
  </w:style>
  <w:style w:type="character" w:customStyle="1" w:styleId="16">
    <w:name w:val="页眉 字符"/>
    <w:basedOn w:val="10"/>
    <w:link w:val="6"/>
    <w:qFormat/>
    <w:uiPriority w:val="99"/>
    <w:rPr>
      <w:sz w:val="18"/>
      <w:szCs w:val="18"/>
    </w:rPr>
  </w:style>
  <w:style w:type="character" w:customStyle="1" w:styleId="17">
    <w:name w:val="页脚 字符"/>
    <w:basedOn w:val="10"/>
    <w:link w:val="5"/>
    <w:qFormat/>
    <w:uiPriority w:val="99"/>
    <w:rPr>
      <w:sz w:val="18"/>
      <w:szCs w:val="18"/>
    </w:rPr>
  </w:style>
  <w:style w:type="paragraph" w:customStyle="1" w:styleId="1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660A-EF25-4AA7-81F4-369DAF386591}">
  <ds:schemaRefs/>
</ds:datastoreItem>
</file>

<file path=docProps/app.xml><?xml version="1.0" encoding="utf-8"?>
<Properties xmlns="http://schemas.openxmlformats.org/officeDocument/2006/extended-properties" xmlns:vt="http://schemas.openxmlformats.org/officeDocument/2006/docPropsVTypes">
  <Template>Normal.dotm</Template>
  <Pages>6</Pages>
  <Words>4697</Words>
  <Characters>4854</Characters>
  <Lines>35</Lines>
  <Paragraphs>10</Paragraphs>
  <TotalTime>251</TotalTime>
  <ScaleCrop>false</ScaleCrop>
  <LinksUpToDate>false</LinksUpToDate>
  <CharactersWithSpaces>4942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2023-12-04T06:19:00Z</dcterms:created>
  <dc:creator>23221</dc:creator>
  <cp:lastModifiedBy>LiuQQ</cp:lastModifiedBy>
  <dcterms:modified xsi:type="dcterms:W3CDTF">2026-09-10T07:48:31Z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9BFCA6F0F629431587DDE0538E8395C2_13</vt:lpwstr>
  </property>
  <property fmtid="{D5CDD505-2E9C-101B-9397-08002B2CF9AE}" pid="4" name="KSOTemplateDocerSaveRecord">
    <vt:lpwstr>eyJoZGlkIjoiY2NmZTY4NmI2ZThjZGU0Yjc3NmE0M2Y0MWE4ODFlNWQiLCJ1c2VySWQiOiIxMTQ5MTU5NTg4In0=</vt:lpwstr>
  </property>
</Properties>
</file>