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1041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148" w:type="dxa"/>
          </w:tcPr>
          <w:p w14:paraId="432D8106">
            <w:pPr>
              <w:jc w:val="left"/>
              <w:rPr>
                <w:rFonts w:hint="eastAsia" w:ascii="宋体" w:hAnsi="宋体" w:eastAsia="宋体"/>
                <w:sz w:val="24"/>
                <w:szCs w:val="24"/>
              </w:rPr>
            </w:pPr>
            <w:bookmarkStart w:id="0" w:name="_GoBack"/>
            <w:bookmarkEnd w:id="0"/>
            <w:r>
              <w:rPr>
                <w:rFonts w:hint="eastAsia" w:ascii="宋体" w:hAnsi="宋体" w:eastAsia="宋体"/>
                <w:sz w:val="24"/>
                <w:szCs w:val="24"/>
              </w:rPr>
              <w:t>证券代码：6</w:t>
            </w:r>
            <w:r>
              <w:rPr>
                <w:rFonts w:ascii="宋体" w:hAnsi="宋体" w:eastAsia="宋体"/>
                <w:sz w:val="24"/>
                <w:szCs w:val="24"/>
              </w:rPr>
              <w:t>88796</w:t>
            </w:r>
          </w:p>
        </w:tc>
        <w:tc>
          <w:tcPr>
            <w:tcW w:w="4148" w:type="dxa"/>
          </w:tcPr>
          <w:p w14:paraId="43BBA1F7">
            <w:pPr>
              <w:jc w:val="right"/>
              <w:rPr>
                <w:rFonts w:hint="eastAsia" w:ascii="宋体" w:hAnsi="宋体" w:eastAsia="宋体"/>
                <w:sz w:val="24"/>
                <w:szCs w:val="24"/>
              </w:rPr>
            </w:pPr>
            <w:r>
              <w:rPr>
                <w:rFonts w:hint="eastAsia" w:ascii="宋体" w:hAnsi="宋体" w:eastAsia="宋体"/>
                <w:sz w:val="24"/>
                <w:szCs w:val="24"/>
              </w:rPr>
              <w:t>证券简称：百奥赛图</w:t>
            </w:r>
          </w:p>
        </w:tc>
      </w:tr>
    </w:tbl>
    <w:p w14:paraId="666E5C8C">
      <w:pPr>
        <w:jc w:val="center"/>
        <w:rPr>
          <w:rFonts w:hint="eastAsia" w:ascii="宋体" w:hAnsi="宋体" w:eastAsia="宋体"/>
          <w:sz w:val="32"/>
          <w:szCs w:val="32"/>
        </w:rPr>
      </w:pPr>
    </w:p>
    <w:p w14:paraId="4C223169">
      <w:pPr>
        <w:jc w:val="center"/>
        <w:rPr>
          <w:rFonts w:hint="eastAsia" w:ascii="宋体" w:hAnsi="宋体" w:eastAsia="宋体"/>
          <w:sz w:val="32"/>
          <w:szCs w:val="32"/>
        </w:rPr>
      </w:pPr>
      <w:r>
        <w:rPr>
          <w:rFonts w:hint="eastAsia" w:ascii="宋体" w:hAnsi="宋体" w:eastAsia="宋体"/>
          <w:sz w:val="32"/>
          <w:szCs w:val="32"/>
        </w:rPr>
        <w:t>百奥赛图（北京）医药科技股份有限公司</w:t>
      </w:r>
    </w:p>
    <w:p w14:paraId="08A0EC00">
      <w:pPr>
        <w:jc w:val="center"/>
        <w:rPr>
          <w:rFonts w:hint="eastAsia" w:ascii="宋体" w:hAnsi="宋体" w:eastAsia="宋体"/>
          <w:sz w:val="32"/>
          <w:szCs w:val="32"/>
        </w:rPr>
      </w:pPr>
      <w:r>
        <w:rPr>
          <w:rFonts w:hint="eastAsia" w:ascii="宋体" w:hAnsi="宋体" w:eastAsia="宋体"/>
          <w:sz w:val="32"/>
          <w:szCs w:val="32"/>
        </w:rPr>
        <w:t>投资者关系活动记录表</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41786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8296" w:type="dxa"/>
            <w:vAlign w:val="center"/>
          </w:tcPr>
          <w:p w14:paraId="3F01C1E6">
            <w:pPr>
              <w:jc w:val="right"/>
              <w:rPr>
                <w:rFonts w:hint="eastAsia" w:ascii="宋体" w:hAnsi="宋体" w:eastAsia="宋体"/>
                <w:sz w:val="24"/>
                <w:szCs w:val="24"/>
              </w:rPr>
            </w:pPr>
            <w:r>
              <w:rPr>
                <w:rFonts w:hint="eastAsia" w:ascii="宋体" w:hAnsi="宋体" w:eastAsia="宋体"/>
                <w:sz w:val="24"/>
                <w:szCs w:val="24"/>
              </w:rPr>
              <w:t>编号：2</w:t>
            </w:r>
            <w:r>
              <w:rPr>
                <w:rFonts w:ascii="宋体" w:hAnsi="宋体" w:eastAsia="宋体"/>
                <w:sz w:val="24"/>
                <w:szCs w:val="24"/>
              </w:rPr>
              <w:t>026-00</w:t>
            </w:r>
            <w:r>
              <w:rPr>
                <w:rFonts w:hint="eastAsia" w:ascii="宋体" w:hAnsi="宋体" w:eastAsia="宋体"/>
                <w:sz w:val="24"/>
                <w:szCs w:val="24"/>
              </w:rPr>
              <w:t>2</w:t>
            </w:r>
          </w:p>
        </w:tc>
      </w:tr>
    </w:tbl>
    <w:tbl>
      <w:tblPr>
        <w:tblStyle w:val="9"/>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5"/>
        <w:gridCol w:w="6069"/>
      </w:tblGrid>
      <w:tr w14:paraId="6C46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142BF739">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w:t>
            </w:r>
          </w:p>
          <w:p w14:paraId="61C6A47C">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活动类别</w:t>
            </w:r>
          </w:p>
          <w:p w14:paraId="1CA1213C">
            <w:pPr>
              <w:spacing w:line="360" w:lineRule="auto"/>
              <w:jc w:val="center"/>
              <w:rPr>
                <w:rFonts w:hint="eastAsia" w:ascii="宋体" w:hAnsi="宋体" w:eastAsia="宋体" w:cs="Times New Roman"/>
                <w:b/>
                <w:bCs/>
                <w:iCs/>
                <w:sz w:val="24"/>
                <w:szCs w:val="24"/>
              </w:rPr>
            </w:pPr>
          </w:p>
        </w:tc>
        <w:tc>
          <w:tcPr>
            <w:tcW w:w="6069" w:type="dxa"/>
          </w:tcPr>
          <w:p w14:paraId="6C84BBC2">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sym w:font="Wingdings 2" w:char="00A3"/>
            </w:r>
            <w:r>
              <w:rPr>
                <w:rFonts w:hint="eastAsia" w:ascii="宋体" w:hAnsi="宋体" w:eastAsia="宋体" w:cs="Times New Roman"/>
                <w:sz w:val="24"/>
                <w:szCs w:val="24"/>
              </w:rPr>
              <w:t xml:space="preserve">特定对象调研        </w:t>
            </w:r>
            <w:r>
              <w:rPr>
                <w:rFonts w:hint="eastAsia" w:ascii="宋体" w:hAnsi="宋体" w:eastAsia="宋体" w:cs="Times New Roman"/>
                <w:bCs/>
                <w:iCs/>
                <w:sz w:val="24"/>
                <w:szCs w:val="24"/>
              </w:rPr>
              <w:t>□</w:t>
            </w:r>
            <w:r>
              <w:rPr>
                <w:rFonts w:hint="eastAsia" w:ascii="宋体" w:hAnsi="宋体" w:eastAsia="宋体" w:cs="Times New Roman"/>
                <w:sz w:val="24"/>
                <w:szCs w:val="24"/>
              </w:rPr>
              <w:t>分析师会议</w:t>
            </w:r>
          </w:p>
          <w:p w14:paraId="3B23EDD3">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媒体采访            </w:t>
            </w:r>
            <w:r>
              <w:rPr>
                <w:rFonts w:hint="eastAsia" w:ascii="宋体" w:hAnsi="宋体" w:eastAsia="宋体" w:cs="Times New Roman"/>
                <w:bCs/>
                <w:iCs/>
                <w:sz w:val="24"/>
                <w:szCs w:val="24"/>
              </w:rPr>
              <w:sym w:font="Wingdings 2" w:char="0052"/>
            </w:r>
            <w:r>
              <w:rPr>
                <w:rFonts w:hint="eastAsia" w:ascii="宋体" w:hAnsi="宋体" w:eastAsia="宋体" w:cs="Times New Roman"/>
                <w:sz w:val="24"/>
                <w:szCs w:val="24"/>
              </w:rPr>
              <w:t>业绩说明会</w:t>
            </w:r>
          </w:p>
          <w:p w14:paraId="6C67844D">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新闻发布会          </w:t>
            </w:r>
            <w:r>
              <w:rPr>
                <w:rFonts w:hint="eastAsia" w:ascii="宋体" w:hAnsi="宋体" w:eastAsia="宋体" w:cs="Times New Roman"/>
                <w:bCs/>
                <w:iCs/>
                <w:sz w:val="24"/>
                <w:szCs w:val="24"/>
              </w:rPr>
              <w:t>□</w:t>
            </w:r>
            <w:r>
              <w:rPr>
                <w:rFonts w:hint="eastAsia" w:ascii="宋体" w:hAnsi="宋体" w:eastAsia="宋体" w:cs="Times New Roman"/>
                <w:sz w:val="24"/>
                <w:szCs w:val="24"/>
              </w:rPr>
              <w:t>路演活动</w:t>
            </w:r>
          </w:p>
          <w:p w14:paraId="1C290233">
            <w:pPr>
              <w:tabs>
                <w:tab w:val="left" w:pos="2690"/>
                <w:tab w:val="center" w:pos="3199"/>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现场参观            </w:t>
            </w:r>
            <w:r>
              <w:rPr>
                <w:rFonts w:hint="eastAsia" w:ascii="宋体" w:hAnsi="宋体" w:eastAsia="宋体" w:cs="Times New Roman"/>
                <w:bCs/>
                <w:iCs/>
                <w:sz w:val="24"/>
                <w:szCs w:val="24"/>
              </w:rPr>
              <w:t>□</w:t>
            </w:r>
            <w:r>
              <w:rPr>
                <w:rFonts w:hint="eastAsia" w:ascii="宋体" w:hAnsi="宋体" w:eastAsia="宋体" w:cs="Times New Roman"/>
                <w:sz w:val="24"/>
                <w:szCs w:val="24"/>
              </w:rPr>
              <w:t>其他</w:t>
            </w:r>
            <w:r>
              <w:rPr>
                <w:rFonts w:hint="eastAsia" w:ascii="宋体" w:hAnsi="宋体" w:eastAsia="宋体" w:cs="Times New Roman"/>
                <w:sz w:val="18"/>
                <w:szCs w:val="18"/>
              </w:rPr>
              <w:t>（</w:t>
            </w:r>
            <w:r>
              <w:rPr>
                <w:rFonts w:hint="eastAsia" w:ascii="宋体" w:hAnsi="宋体" w:eastAsia="宋体" w:cs="Times New Roman"/>
                <w:sz w:val="18"/>
                <w:szCs w:val="18"/>
                <w:u w:val="single"/>
              </w:rPr>
              <w:t>请文字说明其他活动内容）</w:t>
            </w:r>
          </w:p>
        </w:tc>
      </w:tr>
      <w:tr w14:paraId="05A1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2545" w:type="dxa"/>
            <w:vAlign w:val="center"/>
          </w:tcPr>
          <w:p w14:paraId="59248B67">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活动主题</w:t>
            </w:r>
          </w:p>
        </w:tc>
        <w:tc>
          <w:tcPr>
            <w:tcW w:w="6069" w:type="dxa"/>
            <w:vAlign w:val="center"/>
          </w:tcPr>
          <w:p w14:paraId="559D10F9">
            <w:pPr>
              <w:tabs>
                <w:tab w:val="center" w:pos="2798"/>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百奥赛图2026年半年度</w:t>
            </w:r>
            <w:r>
              <w:rPr>
                <w:rFonts w:ascii="宋体" w:hAnsi="宋体" w:eastAsia="宋体" w:cs="Times New Roman"/>
                <w:bCs/>
                <w:iCs/>
                <w:sz w:val="24"/>
                <w:szCs w:val="24"/>
              </w:rPr>
              <w:t>业绩说明会</w:t>
            </w:r>
          </w:p>
        </w:tc>
      </w:tr>
      <w:tr w14:paraId="35FB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2545" w:type="dxa"/>
            <w:vAlign w:val="center"/>
          </w:tcPr>
          <w:p w14:paraId="7844A330">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参与单位名称</w:t>
            </w:r>
          </w:p>
          <w:p w14:paraId="272AAA50">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及人员姓名</w:t>
            </w:r>
          </w:p>
        </w:tc>
        <w:tc>
          <w:tcPr>
            <w:tcW w:w="6069" w:type="dxa"/>
            <w:vAlign w:val="center"/>
          </w:tcPr>
          <w:p w14:paraId="2AD484E6">
            <w:pPr>
              <w:tabs>
                <w:tab w:val="center" w:pos="2798"/>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参与公司</w:t>
            </w:r>
            <w:r>
              <w:rPr>
                <w:rFonts w:ascii="宋体" w:hAnsi="宋体" w:eastAsia="宋体" w:cs="Times New Roman"/>
                <w:bCs/>
                <w:iCs/>
                <w:sz w:val="24"/>
                <w:szCs w:val="24"/>
              </w:rPr>
              <w:t>业绩说明会</w:t>
            </w:r>
            <w:r>
              <w:rPr>
                <w:rFonts w:hint="eastAsia" w:ascii="宋体" w:hAnsi="宋体" w:eastAsia="宋体" w:cs="Times New Roman"/>
                <w:bCs/>
                <w:iCs/>
                <w:sz w:val="24"/>
                <w:szCs w:val="24"/>
              </w:rPr>
              <w:t>的线上投资者</w:t>
            </w:r>
          </w:p>
        </w:tc>
      </w:tr>
      <w:tr w14:paraId="1CDB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0E5568C3">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时间</w:t>
            </w:r>
          </w:p>
        </w:tc>
        <w:tc>
          <w:tcPr>
            <w:tcW w:w="6069" w:type="dxa"/>
          </w:tcPr>
          <w:p w14:paraId="7DA0CCBD">
            <w:pPr>
              <w:tabs>
                <w:tab w:val="center" w:pos="2798"/>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2026年9月9日 1</w:t>
            </w:r>
            <w:r>
              <w:rPr>
                <w:rFonts w:ascii="宋体" w:hAnsi="宋体" w:eastAsia="宋体" w:cs="Times New Roman"/>
                <w:bCs/>
                <w:iCs/>
                <w:sz w:val="24"/>
                <w:szCs w:val="24"/>
              </w:rPr>
              <w:t>6</w:t>
            </w:r>
            <w:r>
              <w:rPr>
                <w:rFonts w:hint="eastAsia" w:ascii="宋体" w:hAnsi="宋体" w:eastAsia="宋体" w:cs="Times New Roman"/>
                <w:bCs/>
                <w:iCs/>
                <w:sz w:val="24"/>
                <w:szCs w:val="24"/>
              </w:rPr>
              <w:t>:30-1</w:t>
            </w:r>
            <w:r>
              <w:rPr>
                <w:rFonts w:ascii="宋体" w:hAnsi="宋体" w:eastAsia="宋体" w:cs="Times New Roman"/>
                <w:bCs/>
                <w:iCs/>
                <w:sz w:val="24"/>
                <w:szCs w:val="24"/>
              </w:rPr>
              <w:t>7</w:t>
            </w:r>
            <w:r>
              <w:rPr>
                <w:rFonts w:hint="eastAsia" w:ascii="宋体" w:hAnsi="宋体" w:eastAsia="宋体" w:cs="Times New Roman"/>
                <w:bCs/>
                <w:iCs/>
                <w:sz w:val="24"/>
                <w:szCs w:val="24"/>
              </w:rPr>
              <w:t>:30</w:t>
            </w:r>
          </w:p>
        </w:tc>
      </w:tr>
      <w:tr w14:paraId="5D01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53F3D9E6">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地点</w:t>
            </w:r>
          </w:p>
        </w:tc>
        <w:tc>
          <w:tcPr>
            <w:tcW w:w="6069" w:type="dxa"/>
          </w:tcPr>
          <w:p w14:paraId="4CFB3A8D">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进门财经（https://s.comein.cn/a5jqjjxt）</w:t>
            </w:r>
          </w:p>
        </w:tc>
      </w:tr>
      <w:tr w14:paraId="18A3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480EED0B">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上市公司接待</w:t>
            </w:r>
          </w:p>
          <w:p w14:paraId="405BCEA7">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人员</w:t>
            </w:r>
          </w:p>
        </w:tc>
        <w:tc>
          <w:tcPr>
            <w:tcW w:w="6069" w:type="dxa"/>
          </w:tcPr>
          <w:p w14:paraId="7E331ACD">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董事长、总经理：沈月雷先生</w:t>
            </w:r>
          </w:p>
          <w:p w14:paraId="09983518">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副总经理兼董事会秘书：王永亮先生</w:t>
            </w:r>
          </w:p>
          <w:p w14:paraId="2F398EB2">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财务总监：刘斌先生</w:t>
            </w:r>
          </w:p>
          <w:p w14:paraId="1D13B8C2">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独立非执行董事：喻长远先生</w:t>
            </w:r>
          </w:p>
        </w:tc>
      </w:tr>
      <w:tr w14:paraId="7277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2545" w:type="dxa"/>
            <w:vAlign w:val="center"/>
          </w:tcPr>
          <w:p w14:paraId="5808BA66">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投资者关系活动</w:t>
            </w:r>
          </w:p>
          <w:p w14:paraId="61E3D1E4">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主要内容介绍</w:t>
            </w:r>
          </w:p>
        </w:tc>
        <w:tc>
          <w:tcPr>
            <w:tcW w:w="6069" w:type="dxa"/>
          </w:tcPr>
          <w:p w14:paraId="7138063A">
            <w:pPr>
              <w:widowControl/>
              <w:spacing w:line="360" w:lineRule="auto"/>
              <w:ind w:firstLine="480" w:firstLineChars="200"/>
              <w:rPr>
                <w:rFonts w:hint="eastAsia" w:ascii="宋体" w:hAnsi="宋体" w:eastAsia="宋体" w:cs="宋体"/>
                <w:bCs/>
                <w:iCs/>
                <w:color w:val="000000"/>
                <w:sz w:val="24"/>
                <w:szCs w:val="24"/>
              </w:rPr>
            </w:pPr>
            <w:r>
              <w:rPr>
                <w:rFonts w:hint="eastAsia" w:ascii="宋体" w:hAnsi="宋体" w:eastAsia="宋体" w:cs="宋体"/>
                <w:bCs/>
                <w:iCs/>
                <w:color w:val="000000"/>
                <w:sz w:val="24"/>
                <w:szCs w:val="24"/>
              </w:rPr>
              <w:t>针对公司2026年半年度业绩情况，与广大投资者进行深入交流。线上业绩说明会沟通交流过程中，公司人员严格按照有关制度规定，没有出现未公开重大信息泄露等情况。</w:t>
            </w:r>
          </w:p>
          <w:p w14:paraId="0014E79C">
            <w:pPr>
              <w:widowControl/>
              <w:spacing w:line="360" w:lineRule="auto"/>
              <w:ind w:firstLine="480" w:firstLineChars="200"/>
              <w:rPr>
                <w:rFonts w:hint="eastAsia" w:ascii="宋体" w:hAnsi="宋体" w:eastAsia="宋体" w:cs="Times New Roman"/>
                <w:bCs/>
                <w:iCs/>
                <w:sz w:val="24"/>
                <w:szCs w:val="24"/>
              </w:rPr>
            </w:pPr>
            <w:r>
              <w:rPr>
                <w:rFonts w:hint="eastAsia" w:ascii="宋体" w:hAnsi="宋体" w:eastAsia="宋体" w:cs="Times New Roman"/>
                <w:bCs/>
                <w:iCs/>
                <w:sz w:val="24"/>
                <w:szCs w:val="24"/>
              </w:rPr>
              <w:t>投资者提出的问题及公司回复情况如下：</w:t>
            </w:r>
          </w:p>
          <w:p w14:paraId="6B586209">
            <w:pPr>
              <w:kinsoku/>
              <w:spacing w:line="360" w:lineRule="auto"/>
              <w:ind w:firstLine="482" w:firstLineChars="200"/>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问题</w:t>
            </w:r>
            <w:r>
              <w:rPr>
                <w:rFonts w:ascii="宋体" w:hAnsi="宋体" w:eastAsia="宋体" w:cs="宋体"/>
                <w:b/>
                <w:bCs/>
                <w:color w:val="000000"/>
                <w:kern w:val="0"/>
                <w:sz w:val="24"/>
                <w:szCs w:val="24"/>
                <w:lang w:bidi="ar"/>
              </w:rPr>
              <w:t>1</w:t>
            </w:r>
            <w:r>
              <w:rPr>
                <w:rFonts w:hint="eastAsia" w:ascii="宋体" w:hAnsi="宋体" w:eastAsia="宋体" w:cs="宋体"/>
                <w:b/>
                <w:bCs/>
                <w:color w:val="000000"/>
                <w:kern w:val="0"/>
                <w:sz w:val="24"/>
                <w:szCs w:val="24"/>
                <w:lang w:bidi="ar"/>
              </w:rPr>
              <w:t>：</w:t>
            </w:r>
            <w:r>
              <w:rPr>
                <w:rFonts w:ascii="宋体" w:hAnsi="宋体" w:eastAsia="宋体" w:cs="宋体"/>
                <w:b/>
                <w:bCs/>
                <w:color w:val="000000"/>
                <w:kern w:val="0"/>
                <w:sz w:val="24"/>
                <w:szCs w:val="24"/>
                <w:lang w:bidi="ar"/>
              </w:rPr>
              <w:t>公司2026</w:t>
            </w:r>
            <w:r>
              <w:rPr>
                <w:rFonts w:hint="eastAsia" w:ascii="宋体" w:hAnsi="宋体" w:eastAsia="宋体" w:cs="宋体"/>
                <w:b/>
                <w:bCs/>
                <w:color w:val="000000"/>
                <w:kern w:val="0"/>
                <w:sz w:val="24"/>
                <w:szCs w:val="24"/>
                <w:lang w:bidi="ar"/>
              </w:rPr>
              <w:t>年上半年业绩增长情况。</w:t>
            </w:r>
          </w:p>
          <w:p w14:paraId="0AF26066">
            <w:pPr>
              <w:kinsoku/>
              <w:spacing w:line="360" w:lineRule="auto"/>
              <w:ind w:firstLine="482" w:firstLineChars="200"/>
              <w:rPr>
                <w:rFonts w:hint="eastAsia" w:ascii="宋体" w:hAnsi="宋体" w:eastAsia="宋体" w:cs="宋体"/>
                <w:color w:val="000000"/>
                <w:kern w:val="0"/>
                <w:sz w:val="24"/>
                <w:szCs w:val="24"/>
                <w:lang w:bidi="ar"/>
              </w:rPr>
            </w:pPr>
            <w:r>
              <w:rPr>
                <w:rFonts w:hint="eastAsia" w:ascii="宋体" w:hAnsi="宋体" w:eastAsia="宋体" w:cs="宋体"/>
                <w:b/>
                <w:bCs/>
                <w:color w:val="000000"/>
                <w:kern w:val="0"/>
                <w:sz w:val="24"/>
                <w:szCs w:val="24"/>
                <w:lang w:bidi="ar"/>
              </w:rPr>
              <w:t>回答：</w:t>
            </w:r>
            <w:r>
              <w:rPr>
                <w:rFonts w:ascii="宋体" w:hAnsi="宋体" w:eastAsia="宋体" w:cs="宋体"/>
                <w:color w:val="000000"/>
                <w:kern w:val="0"/>
                <w:sz w:val="24"/>
                <w:szCs w:val="24"/>
                <w:lang w:bidi="ar"/>
              </w:rPr>
              <w:t>2026</w:t>
            </w:r>
            <w:r>
              <w:rPr>
                <w:rFonts w:hint="eastAsia" w:ascii="宋体" w:hAnsi="宋体" w:eastAsia="宋体" w:cs="宋体"/>
                <w:color w:val="000000"/>
                <w:kern w:val="0"/>
                <w:sz w:val="24"/>
                <w:szCs w:val="24"/>
                <w:lang w:bidi="ar"/>
              </w:rPr>
              <w:t>年</w:t>
            </w:r>
            <w:r>
              <w:rPr>
                <w:rFonts w:ascii="宋体" w:hAnsi="宋体" w:eastAsia="宋体" w:cs="宋体"/>
                <w:color w:val="000000"/>
                <w:kern w:val="0"/>
                <w:sz w:val="24"/>
                <w:szCs w:val="24"/>
                <w:lang w:bidi="ar"/>
              </w:rPr>
              <w:t>上半年，公司业绩持续向好，营业收入保持高速增长的态势，公司实现营业收入94,138.86万元，较去年同期增长超50%，毛利率为79.30%，保持在高水平。公司2026</w:t>
            </w:r>
            <w:r>
              <w:rPr>
                <w:rFonts w:hint="eastAsia" w:ascii="宋体" w:hAnsi="宋体" w:eastAsia="宋体" w:cs="宋体"/>
                <w:color w:val="000000"/>
                <w:kern w:val="0"/>
                <w:sz w:val="24"/>
                <w:szCs w:val="24"/>
                <w:lang w:bidi="ar"/>
              </w:rPr>
              <w:t>年</w:t>
            </w:r>
            <w:r>
              <w:rPr>
                <w:rFonts w:ascii="宋体" w:hAnsi="宋体" w:eastAsia="宋体" w:cs="宋体"/>
                <w:color w:val="000000"/>
                <w:kern w:val="0"/>
                <w:sz w:val="24"/>
                <w:szCs w:val="24"/>
                <w:lang w:bidi="ar"/>
              </w:rPr>
              <w:t>上半年归属于上市公司股东的净利润24,109.44万元，较去年同期增长402.29%；其中归属于上市公司股东的扣除非经常性损益的净利润19,744.58万元，较去年同期增长591.53%。公司持续以研发创新驱动业务增长，2026上半年研发费用为26,733.78万元，较去年同期增长27.85%，研发费用率28.40%。公司归母净利润的快速增长主要是得益于公司营业收入的增长，同时，高水平的研发投入构建了坚实的技术壁垒使得毛利率保持在高水平，此外，随着业务规模扩大以及精益化管理能力不断提升，固定成本得到有效摊薄，带动整体净利润率显著提升，公司已经步入规模化盈利发展新阶段。</w:t>
            </w:r>
          </w:p>
          <w:p w14:paraId="082DA8FB">
            <w:pPr>
              <w:kinsoku w:val="0"/>
              <w:spacing w:line="360" w:lineRule="auto"/>
              <w:ind w:firstLine="482" w:firstLineChars="200"/>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问题2：</w:t>
            </w:r>
            <w:r>
              <w:rPr>
                <w:rFonts w:ascii="宋体" w:hAnsi="宋体" w:eastAsia="宋体" w:cs="宋体"/>
                <w:b/>
                <w:bCs/>
                <w:color w:val="000000"/>
                <w:kern w:val="0"/>
                <w:sz w:val="24"/>
                <w:szCs w:val="24"/>
                <w:lang w:bidi="ar"/>
              </w:rPr>
              <w:t>公司</w:t>
            </w:r>
            <w:r>
              <w:rPr>
                <w:rFonts w:hint="eastAsia" w:ascii="宋体" w:hAnsi="宋体" w:eastAsia="宋体" w:cs="宋体"/>
                <w:b/>
                <w:bCs/>
                <w:color w:val="000000"/>
                <w:kern w:val="0"/>
                <w:sz w:val="24"/>
                <w:szCs w:val="24"/>
                <w:lang w:bidi="ar"/>
              </w:rPr>
              <w:t>抗体业务</w:t>
            </w:r>
            <w:r>
              <w:rPr>
                <w:rFonts w:ascii="宋体" w:hAnsi="宋体" w:eastAsia="宋体" w:cs="宋体"/>
                <w:b/>
                <w:bCs/>
                <w:color w:val="000000"/>
                <w:kern w:val="0"/>
                <w:sz w:val="24"/>
                <w:szCs w:val="24"/>
                <w:lang w:bidi="ar"/>
              </w:rPr>
              <w:t>经营情况如何？</w:t>
            </w:r>
          </w:p>
          <w:p w14:paraId="3820CE44">
            <w:pPr>
              <w:kinsoku/>
              <w:spacing w:line="360" w:lineRule="auto"/>
              <w:ind w:firstLine="480" w:firstLineChars="200"/>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回答：</w:t>
            </w:r>
            <w:r>
              <w:rPr>
                <w:rFonts w:ascii="宋体" w:hAnsi="宋体" w:eastAsia="宋体" w:cs="宋体"/>
                <w:color w:val="000000"/>
                <w:kern w:val="0"/>
                <w:sz w:val="24"/>
                <w:szCs w:val="24"/>
                <w:lang w:bidi="ar"/>
              </w:rPr>
              <w:t>抗体发现业务从2020年开始对外实现营收后，经过多年的发展，2026</w:t>
            </w:r>
            <w:r>
              <w:rPr>
                <w:rFonts w:hint="eastAsia" w:ascii="宋体" w:hAnsi="宋体" w:eastAsia="宋体" w:cs="宋体"/>
                <w:color w:val="000000"/>
                <w:kern w:val="0"/>
                <w:sz w:val="24"/>
                <w:szCs w:val="24"/>
                <w:lang w:bidi="ar"/>
              </w:rPr>
              <w:t>年</w:t>
            </w:r>
            <w:r>
              <w:rPr>
                <w:rFonts w:ascii="宋体" w:hAnsi="宋体" w:eastAsia="宋体" w:cs="宋体"/>
                <w:color w:val="000000"/>
                <w:kern w:val="0"/>
                <w:sz w:val="24"/>
                <w:szCs w:val="24"/>
                <w:lang w:bidi="ar"/>
              </w:rPr>
              <w:t>上半年实现营业收入人民币21,785.97万元，较去年同期增长33.77%，毛利率为92.82%。截至2026年6月30日，公司已累计签署超455项药物合作开发/授权/转让协议，其中已有超10个候选分子成功推进至临床试验阶段，并与包括多家跨国制药公司（MNCs）在内的合作伙伴达成RenMice®平台授权开发合作。其中，2026</w:t>
            </w:r>
            <w:r>
              <w:rPr>
                <w:rFonts w:hint="eastAsia" w:ascii="宋体" w:hAnsi="宋体" w:eastAsia="宋体" w:cs="宋体"/>
                <w:color w:val="000000"/>
                <w:kern w:val="0"/>
                <w:sz w:val="24"/>
                <w:szCs w:val="24"/>
                <w:lang w:bidi="ar"/>
              </w:rPr>
              <w:t>年</w:t>
            </w:r>
            <w:r>
              <w:rPr>
                <w:rFonts w:ascii="宋体" w:hAnsi="宋体" w:eastAsia="宋体" w:cs="宋体"/>
                <w:color w:val="000000"/>
                <w:kern w:val="0"/>
                <w:sz w:val="24"/>
                <w:szCs w:val="24"/>
                <w:lang w:bidi="ar"/>
              </w:rPr>
              <w:t>上半年新增签署协议超105项。截至2026年6月30日，公司已与Merck KGaA（德国默克）、Gilead Sciences（吉利德科学）、Johnson&amp;Johnson（强生公司）、Neurocrine Biosciences、IDEAYA Biosciences、百济神州、Xencor、ABL Bio、翰森制药、正大天晴、华润生物、信达生物、荣昌生物、上海生物制品研究所等诸多海内外知名生物科技或医药研发企业就“千鼠万抗”发现的药物分子授权/转让或RenMice平台授权达成合作。</w:t>
            </w:r>
          </w:p>
          <w:p w14:paraId="434E41F0">
            <w:pPr>
              <w:kinsoku/>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问题3：</w:t>
            </w:r>
            <w:r>
              <w:rPr>
                <w:rFonts w:ascii="宋体" w:hAnsi="宋体" w:eastAsia="宋体" w:cs="宋体"/>
                <w:b/>
                <w:bCs/>
                <w:color w:val="000000"/>
                <w:sz w:val="24"/>
                <w:szCs w:val="24"/>
              </w:rPr>
              <w:t>公司</w:t>
            </w:r>
            <w:r>
              <w:rPr>
                <w:rFonts w:hint="eastAsia" w:ascii="宋体" w:hAnsi="宋体" w:eastAsia="宋体" w:cs="宋体"/>
                <w:b/>
                <w:bCs/>
                <w:color w:val="000000"/>
                <w:sz w:val="24"/>
                <w:szCs w:val="24"/>
              </w:rPr>
              <w:t>上半年发布的</w:t>
            </w:r>
            <w:r>
              <w:rPr>
                <w:rFonts w:ascii="宋体" w:hAnsi="宋体" w:eastAsia="宋体" w:cs="宋体"/>
                <w:b/>
                <w:bCs/>
                <w:color w:val="000000"/>
                <w:sz w:val="24"/>
                <w:szCs w:val="24"/>
              </w:rPr>
              <w:t>“RenSuper Workstation”对公司的商业模式和收入有何影响？</w:t>
            </w:r>
          </w:p>
          <w:p w14:paraId="6551B96F">
            <w:pPr>
              <w:kinsoku/>
              <w:spacing w:line="360" w:lineRule="auto"/>
              <w:ind w:firstLine="480" w:firstLineChars="200"/>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回答：</w:t>
            </w:r>
            <w:r>
              <w:rPr>
                <w:rFonts w:ascii="宋体" w:hAnsi="宋体" w:eastAsia="宋体" w:cs="宋体"/>
                <w:color w:val="000000"/>
                <w:kern w:val="0"/>
                <w:sz w:val="24"/>
                <w:szCs w:val="24"/>
                <w:lang w:bidi="ar"/>
              </w:rPr>
              <w:t>公司于2026年5月正式发布新一代AI驱动的抗体发现平台RenSuper Workstation，成功构建了“真实抗体序列库+AI+自动化智造平台”的三重驱动架构。公司依托“千鼠万抗”计划所积累的大规模真实抗体序列数据，基于 RenSuper Workstation 构建了AI驱动的候选分子优选体系，实现从结构预测、表位推断至功能趋势判断的多维度分析与智能排序。以RenNano全人源仅重链抗体（HCAb）平台为例，在基于SPR亲和力评估为标准的筛选体系中，该平台的平均阳性命中率达到46%，最高命中率可达98%，展现出在复杂结构靶点等挑战性靶点上具备优异的抗体发现效能。同时，该平台已搭建覆盖抗体蛋白生产全生命周期的高通量抗体自动化智造系统，在菌液接种、质粒提取、转染、补料培养、纯化等关键环节实现标准化与连续化运行，抗体蛋白产出能力稳定在平均50–100mg，通量可达约800个样本/天，可稳定支撑大规模抗体样品的制备与快速验证需求。由此，公司形成了“海量真实抗体序列数据训练AI模型—自动化智造平台高通量标准化实验验证—验证结果反哺AI模型优化”的闭环研发迭代机制。RenSuper Workstation的核心目标是推动抗体发现的数字化、规模化与高效化，显著降低早期发现阶段的时间成本与复杂度，从而加速创新疗法的开发进程。通过对外授权 RenSuper Workstation 平台，公司能够助力全球客户突破时间和空间限制筛选优质抗体，并显著提升公司抗体分子对外授权的变现潜能，从而为公司带来更大规模的首付款、里程碑及权益分成。</w:t>
            </w:r>
          </w:p>
          <w:p w14:paraId="54169335">
            <w:pPr>
              <w:kinsoku/>
              <w:spacing w:line="360" w:lineRule="auto"/>
              <w:ind w:firstLine="482" w:firstLineChars="200"/>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问题4：</w:t>
            </w:r>
            <w:r>
              <w:rPr>
                <w:rFonts w:ascii="宋体" w:hAnsi="宋体" w:eastAsia="宋体" w:cs="宋体"/>
                <w:b/>
                <w:bCs/>
                <w:color w:val="000000"/>
                <w:kern w:val="0"/>
                <w:sz w:val="24"/>
                <w:szCs w:val="24"/>
                <w:lang w:bidi="ar"/>
              </w:rPr>
              <w:t>公司</w:t>
            </w:r>
            <w:r>
              <w:rPr>
                <w:rFonts w:hint="eastAsia" w:ascii="宋体" w:hAnsi="宋体" w:eastAsia="宋体" w:cs="宋体"/>
                <w:b/>
                <w:bCs/>
                <w:color w:val="000000"/>
                <w:kern w:val="0"/>
                <w:sz w:val="24"/>
                <w:szCs w:val="24"/>
                <w:lang w:bidi="ar"/>
              </w:rPr>
              <w:t>临床前产品及服务业务</w:t>
            </w:r>
            <w:r>
              <w:rPr>
                <w:rFonts w:ascii="宋体" w:hAnsi="宋体" w:eastAsia="宋体" w:cs="宋体"/>
                <w:b/>
                <w:bCs/>
                <w:color w:val="000000"/>
                <w:kern w:val="0"/>
                <w:sz w:val="24"/>
                <w:szCs w:val="24"/>
                <w:lang w:bidi="ar"/>
              </w:rPr>
              <w:t>经营情况如何？</w:t>
            </w:r>
          </w:p>
          <w:p w14:paraId="139393AF">
            <w:pPr>
              <w:kinsoku/>
              <w:spacing w:line="360" w:lineRule="auto"/>
              <w:ind w:firstLine="480" w:firstLineChars="200"/>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回答：</w:t>
            </w:r>
            <w:r>
              <w:rPr>
                <w:rFonts w:ascii="宋体" w:hAnsi="宋体" w:eastAsia="宋体" w:cs="宋体"/>
                <w:color w:val="000000"/>
                <w:kern w:val="0"/>
                <w:sz w:val="24"/>
                <w:szCs w:val="24"/>
                <w:lang w:bidi="ar"/>
              </w:rPr>
              <w:t>依托于高效、稳定的基因编辑技术平台及基因编辑领域多年的技术积淀与项目经验，截至</w:t>
            </w:r>
            <w:r>
              <w:rPr>
                <w:rFonts w:hint="eastAsia" w:ascii="宋体" w:hAnsi="宋体" w:eastAsia="宋体" w:cs="宋体"/>
                <w:color w:val="000000"/>
                <w:kern w:val="0"/>
                <w:sz w:val="24"/>
                <w:szCs w:val="24"/>
                <w:lang w:bidi="ar"/>
              </w:rPr>
              <w:t>2026年6月30日</w:t>
            </w:r>
            <w:r>
              <w:rPr>
                <w:rFonts w:ascii="宋体" w:hAnsi="宋体" w:eastAsia="宋体" w:cs="宋体"/>
                <w:color w:val="000000"/>
                <w:kern w:val="0"/>
                <w:sz w:val="24"/>
                <w:szCs w:val="24"/>
                <w:lang w:bidi="ar"/>
              </w:rPr>
              <w:t>，公司内部开发了约5,670种基因编辑动物及细胞模型，其中包括靶点人源化小鼠2,300余种。得益于双抗、多抗及核酸药物等多元化成药形式的拓展，公司创新动物模型的先发优势日益凸显，高研发壁垒、高单价的行业领先双抗及多抗创新动物模型，其销售占比呈现快速增长趋势。公司在北京市大兴区及江苏省海门市建立了动物中心，可大规模繁育和对外供应公司的各类动物模型。动物中心总使用面积约55,000平方米，具备国际实验动物管理评估和认证协会（AAALAC）完全认证资质以及科学、规范、严格的生产及管理体系，并配备了数百人的药理药效等研发服务团队，可对外提供各类基于大/小鼠及细胞系模型的临床前药理药效评价等研发服务。公司已累计为全球约1,500名合作伙伴完成了超过10,700个药物评估项目，并协助部分合作伙伴成功完成了众多IND申报工作。</w:t>
            </w:r>
          </w:p>
          <w:p w14:paraId="787C03E1">
            <w:pPr>
              <w:kinsoku/>
              <w:spacing w:line="360" w:lineRule="auto"/>
              <w:ind w:firstLine="480" w:firstLineChars="200"/>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2026年上半年</w:t>
            </w:r>
            <w:r>
              <w:rPr>
                <w:rFonts w:ascii="宋体" w:hAnsi="宋体" w:eastAsia="宋体" w:cs="宋体"/>
                <w:color w:val="000000"/>
                <w:kern w:val="0"/>
                <w:sz w:val="24"/>
                <w:szCs w:val="24"/>
                <w:lang w:bidi="ar"/>
              </w:rPr>
              <w:t>，以创新动物模型销售为核心的临床前产品与服务业务实现营业收入72,349.19万元，较去年同期增长57.94%，同时毛利率保持在约75.22%的高水平。其中，创新动物模型销售业务实现营业收入44,577.57万元，较去年同期增长62.44%，毛利率约82.30%，多年来持续保持强劲的增长态势，且已与全球领先的创新药企建立起深度紧密的合作关系，所提供的产品及服务受到了医药领域客户及合作伙伴广泛的认可。</w:t>
            </w:r>
          </w:p>
          <w:p w14:paraId="51B368F6">
            <w:pPr>
              <w:kinsoku/>
              <w:spacing w:line="360" w:lineRule="auto"/>
              <w:ind w:firstLine="482" w:firstLineChars="200"/>
              <w:rPr>
                <w:rFonts w:hint="eastAsia" w:ascii="宋体" w:hAnsi="宋体" w:eastAsia="宋体" w:cs="宋体"/>
                <w:b/>
                <w:bCs/>
                <w:color w:val="000000"/>
                <w:kern w:val="0"/>
                <w:sz w:val="24"/>
                <w:szCs w:val="24"/>
                <w:lang w:bidi="ar"/>
              </w:rPr>
            </w:pPr>
            <w:r>
              <w:rPr>
                <w:rFonts w:hint="eastAsia" w:ascii="宋体" w:hAnsi="宋体" w:eastAsia="宋体" w:cs="宋体"/>
                <w:b/>
                <w:bCs/>
                <w:color w:val="000000"/>
                <w:kern w:val="0"/>
                <w:sz w:val="24"/>
                <w:szCs w:val="24"/>
                <w:lang w:bidi="ar"/>
              </w:rPr>
              <w:t>问题5：公司全球化布局以及国内外业务情况如何？</w:t>
            </w:r>
          </w:p>
          <w:p w14:paraId="69018C48">
            <w:pPr>
              <w:widowControl/>
              <w:spacing w:line="360" w:lineRule="auto"/>
              <w:ind w:firstLine="480" w:firstLineChars="200"/>
              <w:rPr>
                <w:rFonts w:hint="eastAsia" w:ascii="宋体" w:hAnsi="宋体" w:eastAsia="宋体" w:cs="Times New Roman"/>
                <w:bCs/>
                <w:iCs/>
                <w:sz w:val="24"/>
                <w:szCs w:val="24"/>
              </w:rPr>
            </w:pPr>
            <w:r>
              <w:rPr>
                <w:rFonts w:hint="eastAsia" w:ascii="宋体" w:hAnsi="宋体" w:eastAsia="宋体" w:cs="宋体"/>
                <w:color w:val="000000"/>
                <w:kern w:val="0"/>
                <w:sz w:val="24"/>
                <w:szCs w:val="24"/>
                <w:lang w:bidi="ar"/>
              </w:rPr>
              <w:t>回答：公司已建成全球化的研发、生产及销售网络体系，公司总部位于北京大兴，公司主要的创新动物模型生产基地设立在江苏海门。同时，公司在美国波士顿建立了具备本地化运营能力的海外子公司，经过多年发展，海外人才团队日益壮大，基础设施愈加完善，综合实力实现大幅提升。公司海外子公司的设立大幅提升了公司对海外客户的响应速度与服务能力，加强了与海外客户的联系并改善服务质量。此外公司在上海、美国旧金山、圣地亚哥及德国海德堡等地设有分支机构，形成面向全球的研发与运营网络，覆盖北美、亚太以及欧洲地区。全球化的战略布局，覆盖全球顶级药企与头部生物科技公司的优质客户网络，让公司能够充分释放竞争优势，深度承接行业景气度提升带来的业务发展机遇。2026年上半年，国内业务实现主营业务收入人民币37,985.26万元，较去年同期增长约90.45%；海外业务实现主营业务收入人民币56,149.90万元，较去年同期增长33.22%，海外业务占比近60%。我们将进一步扩充销售团队、完善销售体系，加快全球化战略推进步伐，致力成为具有全球竞争力的国际性生物技术企业。</w:t>
            </w:r>
          </w:p>
        </w:tc>
      </w:tr>
      <w:tr w14:paraId="4142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760EEA8A">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附件清单（如有）</w:t>
            </w:r>
          </w:p>
        </w:tc>
        <w:tc>
          <w:tcPr>
            <w:tcW w:w="6069" w:type="dxa"/>
          </w:tcPr>
          <w:p w14:paraId="3548B488">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无</w:t>
            </w:r>
          </w:p>
        </w:tc>
      </w:tr>
      <w:tr w14:paraId="1BDA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dxa"/>
            <w:vAlign w:val="center"/>
          </w:tcPr>
          <w:p w14:paraId="33AA8825">
            <w:pPr>
              <w:spacing w:line="360" w:lineRule="auto"/>
              <w:rPr>
                <w:rFonts w:hint="eastAsia" w:ascii="宋体" w:hAnsi="宋体" w:eastAsia="宋体" w:cs="Times New Roman"/>
                <w:b/>
                <w:bCs/>
                <w:iCs/>
                <w:sz w:val="24"/>
                <w:szCs w:val="24"/>
              </w:rPr>
            </w:pPr>
            <w:r>
              <w:rPr>
                <w:rFonts w:hint="eastAsia" w:ascii="宋体" w:hAnsi="宋体" w:eastAsia="宋体" w:cs="Times New Roman"/>
                <w:b/>
                <w:bCs/>
                <w:iCs/>
                <w:sz w:val="24"/>
                <w:szCs w:val="24"/>
              </w:rPr>
              <w:t>日期</w:t>
            </w:r>
          </w:p>
        </w:tc>
        <w:tc>
          <w:tcPr>
            <w:tcW w:w="6069" w:type="dxa"/>
            <w:vAlign w:val="center"/>
          </w:tcPr>
          <w:p w14:paraId="3035D287">
            <w:pPr>
              <w:spacing w:line="360" w:lineRule="auto"/>
              <w:rPr>
                <w:rFonts w:hint="eastAsia" w:ascii="宋体" w:hAnsi="宋体" w:eastAsia="宋体" w:cs="Times New Roman"/>
                <w:iCs/>
                <w:sz w:val="24"/>
                <w:szCs w:val="24"/>
              </w:rPr>
            </w:pPr>
            <w:r>
              <w:rPr>
                <w:rFonts w:hint="eastAsia" w:ascii="宋体" w:hAnsi="宋体" w:eastAsia="宋体" w:cs="Times New Roman"/>
                <w:iCs/>
                <w:sz w:val="24"/>
                <w:szCs w:val="24"/>
              </w:rPr>
              <w:t>2026年9月9日</w:t>
            </w:r>
          </w:p>
        </w:tc>
      </w:tr>
    </w:tbl>
    <w:p w14:paraId="1448D02F">
      <w:pPr>
        <w:rPr>
          <w:rFonts w:hint="eastAsia" w:ascii="宋体" w:hAnsi="宋体" w:eastAsia="宋体"/>
        </w:rPr>
      </w:pPr>
      <w:r>
        <w:rPr>
          <w:rFonts w:hint="eastAsia" w:ascii="宋体" w:hAnsi="宋体" w:eastAsia="宋体"/>
        </w:rPr>
        <w:t>注：公司严格遵守信息披露相关规则与投资者进行交流，如涉及公司战略规划等意向性目标，不能视为公司或管理层对公司业绩的保证或承诺，敬请广大投资者注意投资风险。</w:t>
      </w:r>
    </w:p>
    <w:p w14:paraId="1058BFA5">
      <w:pPr>
        <w:rPr>
          <w:rFonts w:hint="eastAsia"/>
        </w:rPr>
      </w:pPr>
    </w:p>
    <w:sectPr>
      <w:pgSz w:w="11906" w:h="16838"/>
      <w:pgMar w:top="1440" w:right="1800" w:bottom="1440" w:left="1800"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64C"/>
    <w:rsid w:val="00015FC2"/>
    <w:rsid w:val="00061EBD"/>
    <w:rsid w:val="000946B0"/>
    <w:rsid w:val="000A07D1"/>
    <w:rsid w:val="001223A5"/>
    <w:rsid w:val="001637C3"/>
    <w:rsid w:val="001E6772"/>
    <w:rsid w:val="001E79C7"/>
    <w:rsid w:val="001F4CB3"/>
    <w:rsid w:val="00271A4D"/>
    <w:rsid w:val="0029108E"/>
    <w:rsid w:val="00294D9E"/>
    <w:rsid w:val="002A010F"/>
    <w:rsid w:val="002B02CE"/>
    <w:rsid w:val="002B6FE3"/>
    <w:rsid w:val="003468BA"/>
    <w:rsid w:val="003951A4"/>
    <w:rsid w:val="00397A1D"/>
    <w:rsid w:val="003B546A"/>
    <w:rsid w:val="00453513"/>
    <w:rsid w:val="004939D0"/>
    <w:rsid w:val="004B160B"/>
    <w:rsid w:val="004E0293"/>
    <w:rsid w:val="004F7104"/>
    <w:rsid w:val="00500BB2"/>
    <w:rsid w:val="00521509"/>
    <w:rsid w:val="00583D6B"/>
    <w:rsid w:val="005D6582"/>
    <w:rsid w:val="005D7994"/>
    <w:rsid w:val="00600880"/>
    <w:rsid w:val="006637AE"/>
    <w:rsid w:val="0076764C"/>
    <w:rsid w:val="00775E9C"/>
    <w:rsid w:val="007A6D6E"/>
    <w:rsid w:val="00831B5E"/>
    <w:rsid w:val="00910164"/>
    <w:rsid w:val="00932A1C"/>
    <w:rsid w:val="00971A5C"/>
    <w:rsid w:val="00A35B8B"/>
    <w:rsid w:val="00A82932"/>
    <w:rsid w:val="00AA490F"/>
    <w:rsid w:val="00AC4FE7"/>
    <w:rsid w:val="00AD1C8B"/>
    <w:rsid w:val="00AE0BB8"/>
    <w:rsid w:val="00B23C74"/>
    <w:rsid w:val="00B341CE"/>
    <w:rsid w:val="00BA6BAE"/>
    <w:rsid w:val="00C24EE5"/>
    <w:rsid w:val="00C4705D"/>
    <w:rsid w:val="00C73950"/>
    <w:rsid w:val="00D266AF"/>
    <w:rsid w:val="00D67827"/>
    <w:rsid w:val="00DE1369"/>
    <w:rsid w:val="00E44DA8"/>
    <w:rsid w:val="00F70E02"/>
    <w:rsid w:val="00F92122"/>
    <w:rsid w:val="00FC25AC"/>
    <w:rsid w:val="00FD6EB8"/>
    <w:rsid w:val="24241543"/>
    <w:rsid w:val="3C85165B"/>
    <w:rsid w:val="45A341F8"/>
    <w:rsid w:val="4BEE4ED5"/>
    <w:rsid w:val="4FAE53E4"/>
    <w:rsid w:val="51295B34"/>
    <w:rsid w:val="54DE08B2"/>
    <w:rsid w:val="65C9BE38"/>
    <w:rsid w:val="6BF1EDF3"/>
    <w:rsid w:val="6C663C0C"/>
    <w:rsid w:val="7053599A"/>
    <w:rsid w:val="FFBD7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Plain Text"/>
    <w:basedOn w:val="1"/>
    <w:link w:val="14"/>
    <w:qFormat/>
    <w:uiPriority w:val="0"/>
    <w:rPr>
      <w:rFonts w:ascii="宋体" w:hAnsi="Courier New"/>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paragraph" w:styleId="8">
    <w:name w:val="annotation subject"/>
    <w:basedOn w:val="3"/>
    <w:next w:val="3"/>
    <w:link w:val="19"/>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basedOn w:val="11"/>
    <w:semiHidden/>
    <w:unhideWhenUsed/>
    <w:qFormat/>
    <w:uiPriority w:val="99"/>
    <w:rPr>
      <w:sz w:val="21"/>
      <w:szCs w:val="21"/>
    </w:rPr>
  </w:style>
  <w:style w:type="character" w:customStyle="1" w:styleId="14">
    <w:name w:val="纯文本 字符"/>
    <w:basedOn w:val="11"/>
    <w:link w:val="4"/>
    <w:qFormat/>
    <w:uiPriority w:val="0"/>
    <w:rPr>
      <w:rFonts w:ascii="宋体" w:hAnsi="Courier New"/>
    </w:rPr>
  </w:style>
  <w:style w:type="character" w:customStyle="1" w:styleId="15">
    <w:name w:val="页眉 字符"/>
    <w:basedOn w:val="11"/>
    <w:link w:val="6"/>
    <w:qFormat/>
    <w:uiPriority w:val="99"/>
    <w:rPr>
      <w:sz w:val="18"/>
      <w:szCs w:val="18"/>
    </w:rPr>
  </w:style>
  <w:style w:type="character" w:customStyle="1" w:styleId="16">
    <w:name w:val="页脚 字符"/>
    <w:basedOn w:val="11"/>
    <w:link w:val="5"/>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8">
    <w:name w:val="批注文字 字符"/>
    <w:basedOn w:val="11"/>
    <w:link w:val="3"/>
    <w:semiHidden/>
    <w:qFormat/>
    <w:uiPriority w:val="99"/>
    <w:rPr>
      <w:rFonts w:asciiTheme="minorHAnsi" w:hAnsiTheme="minorHAnsi" w:eastAsiaTheme="minorEastAsia" w:cstheme="minorBidi"/>
      <w:kern w:val="2"/>
      <w:sz w:val="21"/>
      <w:szCs w:val="22"/>
    </w:rPr>
  </w:style>
  <w:style w:type="character" w:customStyle="1" w:styleId="19">
    <w:name w:val="批注主题 字符"/>
    <w:basedOn w:val="18"/>
    <w:link w:val="8"/>
    <w:semiHidden/>
    <w:qFormat/>
    <w:uiPriority w:val="99"/>
    <w:rPr>
      <w:rFonts w:asciiTheme="minorHAnsi" w:hAnsiTheme="minorHAnsi" w:eastAsiaTheme="minorEastAsia" w:cstheme="minorBidi"/>
      <w:b/>
      <w:bCs/>
      <w:kern w:val="2"/>
      <w:sz w:val="21"/>
      <w:szCs w:val="22"/>
    </w:rPr>
  </w:style>
  <w:style w:type="paragraph" w:customStyle="1" w:styleId="2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2715</Words>
  <Characters>3201</Characters>
  <Lines>23</Lines>
  <Paragraphs>6</Paragraphs>
  <TotalTime>20</TotalTime>
  <ScaleCrop>false</ScaleCrop>
  <LinksUpToDate>false</LinksUpToDate>
  <CharactersWithSpaces>3258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2026-05-18T07:30:00Z</dcterms:created>
  <dc:creator>王国艳</dc:creator>
  <cp:lastModifiedBy>王国艳</cp:lastModifiedBy>
  <dcterms:modified xsi:type="dcterms:W3CDTF">2026-09-10T01:27:54Z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CF9BC33A54144424A2FEB822EC1D15C4_13</vt:lpwstr>
  </property>
  <property fmtid="{D5CDD505-2E9C-101B-9397-08002B2CF9AE}" pid="4" name="KSOTemplateDocerSaveRecord">
    <vt:lpwstr>eyJoZGlkIjoiM2UzYmNjYTRhNjMyNDJlYjRjMzJhNzY2MTU4NWM3ZmMifQ==</vt:lpwstr>
  </property>
</Properties>
</file>