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97B5" w14:textId="77777777" w:rsidR="00906132" w:rsidRDefault="00000000">
      <w:pPr>
        <w:jc w:val="left"/>
        <w:rPr>
          <w:rFonts w:ascii="宋体" w:hAnsi="宋体" w:hint="eastAsia"/>
          <w:sz w:val="24"/>
          <w:szCs w:val="24"/>
        </w:rPr>
      </w:pPr>
      <w:r>
        <w:rPr>
          <w:rFonts w:ascii="宋体" w:hAnsi="宋体" w:hint="eastAsia"/>
          <w:sz w:val="24"/>
          <w:szCs w:val="24"/>
        </w:rPr>
        <w:t>证券代码：</w:t>
      </w:r>
      <w:r>
        <w:rPr>
          <w:rFonts w:ascii="宋体" w:hAnsi="宋体"/>
          <w:sz w:val="24"/>
          <w:szCs w:val="24"/>
        </w:rPr>
        <w:t>600807</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济高发展</w:t>
      </w:r>
    </w:p>
    <w:p w14:paraId="1928E8AD" w14:textId="77777777" w:rsidR="00906132" w:rsidRDefault="00000000">
      <w:pPr>
        <w:jc w:val="center"/>
        <w:rPr>
          <w:rFonts w:ascii="黑体" w:eastAsia="黑体" w:hAnsi="黑体" w:hint="eastAsia"/>
          <w:sz w:val="36"/>
          <w:szCs w:val="36"/>
        </w:rPr>
      </w:pPr>
      <w:r>
        <w:rPr>
          <w:rFonts w:ascii="黑体" w:eastAsia="黑体" w:hAnsi="黑体" w:hint="eastAsia"/>
          <w:sz w:val="36"/>
          <w:szCs w:val="36"/>
        </w:rPr>
        <w:t>济南高新发展股份有限公司</w:t>
      </w:r>
    </w:p>
    <w:p w14:paraId="5172FA3B" w14:textId="77777777" w:rsidR="00906132" w:rsidRDefault="00000000">
      <w:pPr>
        <w:jc w:val="center"/>
        <w:rPr>
          <w:rFonts w:ascii="黑体" w:eastAsia="黑体" w:hAnsi="黑体" w:hint="eastAsia"/>
          <w:sz w:val="36"/>
          <w:szCs w:val="36"/>
        </w:rPr>
      </w:pPr>
      <w:r>
        <w:rPr>
          <w:rFonts w:ascii="黑体" w:eastAsia="黑体" w:hAnsi="黑体" w:hint="eastAsia"/>
          <w:sz w:val="36"/>
          <w:szCs w:val="36"/>
        </w:rPr>
        <w:t>投资者关系活动记录表</w:t>
      </w:r>
    </w:p>
    <w:p w14:paraId="42F68AEA" w14:textId="77777777" w:rsidR="00906132" w:rsidRDefault="00906132">
      <w:pPr>
        <w:jc w:val="center"/>
        <w:rPr>
          <w:rFonts w:ascii="黑体" w:eastAsia="黑体" w:hAnsi="黑体" w:hint="eastAsia"/>
          <w:sz w:val="24"/>
          <w:szCs w:val="24"/>
        </w:rPr>
      </w:pPr>
    </w:p>
    <w:p w14:paraId="073C18EA" w14:textId="2C1F295E" w:rsidR="00906132" w:rsidRDefault="00000000">
      <w:pPr>
        <w:ind w:right="720"/>
        <w:jc w:val="right"/>
        <w:rPr>
          <w:rFonts w:ascii="黑体" w:eastAsia="黑体" w:hAnsi="黑体" w:hint="eastAsia"/>
          <w:sz w:val="24"/>
          <w:szCs w:val="24"/>
        </w:rPr>
      </w:pPr>
      <w:r>
        <w:rPr>
          <w:rFonts w:ascii="黑体" w:eastAsia="黑体" w:hAnsi="黑体" w:hint="eastAsia"/>
          <w:sz w:val="24"/>
          <w:szCs w:val="24"/>
        </w:rPr>
        <w:t>编号：</w:t>
      </w: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906132" w14:paraId="3A3C747C" w14:textId="77777777">
        <w:trPr>
          <w:trHeight w:val="838"/>
        </w:trPr>
        <w:tc>
          <w:tcPr>
            <w:tcW w:w="1526" w:type="dxa"/>
            <w:vAlign w:val="center"/>
          </w:tcPr>
          <w:p w14:paraId="27947DAF" w14:textId="77777777" w:rsidR="00906132" w:rsidRDefault="00000000">
            <w:pPr>
              <w:rPr>
                <w:sz w:val="24"/>
                <w:szCs w:val="24"/>
              </w:rPr>
            </w:pPr>
            <w:r>
              <w:rPr>
                <w:rFonts w:hint="eastAsia"/>
                <w:sz w:val="24"/>
                <w:szCs w:val="24"/>
              </w:rPr>
              <w:t>投资者关系活动类别</w:t>
            </w:r>
          </w:p>
        </w:tc>
        <w:tc>
          <w:tcPr>
            <w:tcW w:w="7191" w:type="dxa"/>
            <w:vAlign w:val="center"/>
          </w:tcPr>
          <w:p w14:paraId="06A670A7" w14:textId="77777777" w:rsidR="00906132" w:rsidRDefault="00000000">
            <w:pPr>
              <w:spacing w:line="360" w:lineRule="auto"/>
              <w:rPr>
                <w:sz w:val="24"/>
                <w:szCs w:val="24"/>
              </w:rPr>
            </w:pPr>
            <w:r>
              <w:rPr>
                <w:rFonts w:ascii="宋体" w:hAnsi="宋体" w:cs="宋体" w:hint="eastAsia"/>
                <w:sz w:val="24"/>
                <w:szCs w:val="24"/>
              </w:rPr>
              <w:t>业绩说明会</w:t>
            </w:r>
          </w:p>
        </w:tc>
      </w:tr>
      <w:tr w:rsidR="00906132" w14:paraId="2BEA724E" w14:textId="77777777">
        <w:trPr>
          <w:trHeight w:val="838"/>
        </w:trPr>
        <w:tc>
          <w:tcPr>
            <w:tcW w:w="1526" w:type="dxa"/>
            <w:vAlign w:val="center"/>
          </w:tcPr>
          <w:p w14:paraId="3C4D8D44" w14:textId="77777777" w:rsidR="00906132" w:rsidRDefault="00000000">
            <w:pPr>
              <w:rPr>
                <w:sz w:val="24"/>
                <w:szCs w:val="24"/>
              </w:rPr>
            </w:pPr>
            <w:r>
              <w:rPr>
                <w:rFonts w:hint="eastAsia"/>
                <w:sz w:val="24"/>
                <w:szCs w:val="24"/>
              </w:rPr>
              <w:t>活动主题</w:t>
            </w:r>
          </w:p>
        </w:tc>
        <w:tc>
          <w:tcPr>
            <w:tcW w:w="7191" w:type="dxa"/>
            <w:vAlign w:val="center"/>
          </w:tcPr>
          <w:p w14:paraId="063149D7" w14:textId="77777777" w:rsidR="00906132" w:rsidRDefault="00000000">
            <w:pPr>
              <w:rPr>
                <w:sz w:val="24"/>
                <w:szCs w:val="24"/>
              </w:rPr>
            </w:pPr>
            <w:r>
              <w:rPr>
                <w:rFonts w:ascii="宋体" w:hAnsi="宋体" w:cs="宋体" w:hint="eastAsia"/>
                <w:bCs/>
                <w:iCs/>
                <w:color w:val="000000"/>
                <w:sz w:val="24"/>
                <w:lang w:val="en-GB"/>
              </w:rPr>
              <w:t>济高发展2026年半年度业绩说明会</w:t>
            </w:r>
          </w:p>
        </w:tc>
      </w:tr>
      <w:tr w:rsidR="00906132" w14:paraId="6C600B2C" w14:textId="77777777">
        <w:trPr>
          <w:trHeight w:val="799"/>
        </w:trPr>
        <w:tc>
          <w:tcPr>
            <w:tcW w:w="1526" w:type="dxa"/>
            <w:vAlign w:val="center"/>
          </w:tcPr>
          <w:p w14:paraId="5C2FF2D3" w14:textId="77777777" w:rsidR="00906132" w:rsidRDefault="00000000">
            <w:pPr>
              <w:rPr>
                <w:sz w:val="24"/>
                <w:szCs w:val="24"/>
              </w:rPr>
            </w:pPr>
            <w:r>
              <w:rPr>
                <w:rFonts w:hint="eastAsia"/>
                <w:sz w:val="24"/>
                <w:szCs w:val="24"/>
              </w:rPr>
              <w:t>时间</w:t>
            </w:r>
          </w:p>
        </w:tc>
        <w:tc>
          <w:tcPr>
            <w:tcW w:w="7191" w:type="dxa"/>
            <w:vAlign w:val="center"/>
          </w:tcPr>
          <w:p w14:paraId="36837659" w14:textId="234210DD" w:rsidR="00906132" w:rsidRDefault="00000000">
            <w:pPr>
              <w:rPr>
                <w:sz w:val="24"/>
                <w:szCs w:val="24"/>
              </w:rPr>
            </w:pPr>
            <w:r>
              <w:rPr>
                <w:rFonts w:ascii="宋体" w:hAnsi="宋体" w:cs="宋体" w:hint="eastAsia"/>
                <w:bCs/>
                <w:iCs/>
                <w:color w:val="000000"/>
                <w:sz w:val="24"/>
              </w:rPr>
              <w:t>2026</w:t>
            </w:r>
            <w:r w:rsidR="0089454F">
              <w:rPr>
                <w:rFonts w:ascii="宋体" w:hAnsi="宋体" w:cs="宋体" w:hint="eastAsia"/>
                <w:bCs/>
                <w:iCs/>
                <w:color w:val="000000"/>
                <w:sz w:val="24"/>
              </w:rPr>
              <w:t>年</w:t>
            </w:r>
            <w:r>
              <w:rPr>
                <w:rFonts w:ascii="宋体" w:hAnsi="宋体" w:cs="宋体" w:hint="eastAsia"/>
                <w:bCs/>
                <w:iCs/>
                <w:color w:val="000000"/>
                <w:sz w:val="24"/>
              </w:rPr>
              <w:t>09</w:t>
            </w:r>
            <w:r w:rsidR="0089454F">
              <w:rPr>
                <w:rFonts w:ascii="宋体" w:hAnsi="宋体" w:cs="宋体" w:hint="eastAsia"/>
                <w:bCs/>
                <w:iCs/>
                <w:color w:val="000000"/>
                <w:sz w:val="24"/>
              </w:rPr>
              <w:t>月</w:t>
            </w:r>
            <w:r>
              <w:rPr>
                <w:rFonts w:ascii="宋体" w:hAnsi="宋体" w:cs="宋体" w:hint="eastAsia"/>
                <w:bCs/>
                <w:iCs/>
                <w:color w:val="000000"/>
                <w:sz w:val="24"/>
              </w:rPr>
              <w:t>11</w:t>
            </w:r>
            <w:r w:rsidR="0089454F">
              <w:rPr>
                <w:rFonts w:ascii="宋体" w:hAnsi="宋体" w:cs="宋体" w:hint="eastAsia"/>
                <w:bCs/>
                <w:iCs/>
                <w:color w:val="000000"/>
                <w:sz w:val="24"/>
              </w:rPr>
              <w:t>日</w:t>
            </w:r>
            <w:r>
              <w:rPr>
                <w:rFonts w:ascii="宋体" w:hAnsi="宋体" w:cs="宋体" w:hint="eastAsia"/>
                <w:bCs/>
                <w:iCs/>
                <w:color w:val="000000"/>
                <w:sz w:val="24"/>
              </w:rPr>
              <w:t xml:space="preserve"> 15:00-16:00</w:t>
            </w:r>
          </w:p>
        </w:tc>
      </w:tr>
      <w:tr w:rsidR="00906132" w14:paraId="0F5EC1A5" w14:textId="77777777">
        <w:trPr>
          <w:trHeight w:val="838"/>
        </w:trPr>
        <w:tc>
          <w:tcPr>
            <w:tcW w:w="1526" w:type="dxa"/>
            <w:vAlign w:val="center"/>
          </w:tcPr>
          <w:p w14:paraId="3B9984D4" w14:textId="77777777" w:rsidR="00906132" w:rsidRDefault="00000000">
            <w:pPr>
              <w:rPr>
                <w:sz w:val="24"/>
                <w:szCs w:val="24"/>
              </w:rPr>
            </w:pPr>
            <w:r>
              <w:rPr>
                <w:rFonts w:hint="eastAsia"/>
                <w:sz w:val="24"/>
                <w:szCs w:val="24"/>
              </w:rPr>
              <w:t>地点</w:t>
            </w:r>
            <w:r>
              <w:rPr>
                <w:rFonts w:ascii="宋体" w:hAnsi="宋体" w:hint="eastAsia"/>
                <w:sz w:val="24"/>
                <w:szCs w:val="24"/>
              </w:rPr>
              <w:t>/</w:t>
            </w:r>
            <w:r>
              <w:rPr>
                <w:rFonts w:hint="eastAsia"/>
                <w:sz w:val="24"/>
                <w:szCs w:val="24"/>
              </w:rPr>
              <w:t>方式</w:t>
            </w:r>
          </w:p>
        </w:tc>
        <w:tc>
          <w:tcPr>
            <w:tcW w:w="7191" w:type="dxa"/>
          </w:tcPr>
          <w:p w14:paraId="0B899DF3" w14:textId="77777777" w:rsidR="00906132" w:rsidRDefault="00000000">
            <w:pPr>
              <w:rPr>
                <w:rFonts w:ascii="宋体" w:hAnsi="宋体" w:hint="eastAsia"/>
                <w:bCs/>
                <w:sz w:val="24"/>
              </w:rPr>
            </w:pPr>
            <w:r>
              <w:rPr>
                <w:rFonts w:ascii="宋体" w:hAnsi="宋体" w:hint="eastAsia"/>
                <w:bCs/>
                <w:sz w:val="24"/>
              </w:rPr>
              <w:t xml:space="preserve">上证路演中心 </w:t>
            </w:r>
            <w:hyperlink r:id="rId6" w:history="1">
              <w:r w:rsidR="00906132">
                <w:rPr>
                  <w:rStyle w:val="a5"/>
                  <w:rFonts w:ascii="宋体" w:hAnsi="宋体" w:hint="eastAsia"/>
                  <w:bCs/>
                  <w:sz w:val="24"/>
                </w:rPr>
                <w:t>https://roadshow.sseinfo.com</w:t>
              </w:r>
            </w:hyperlink>
          </w:p>
          <w:p w14:paraId="397D1A17" w14:textId="77777777" w:rsidR="00906132" w:rsidRDefault="00000000">
            <w:pPr>
              <w:rPr>
                <w:sz w:val="24"/>
                <w:szCs w:val="24"/>
              </w:rPr>
            </w:pPr>
            <w:r>
              <w:rPr>
                <w:rFonts w:ascii="宋体" w:hAnsi="宋体" w:hint="eastAsia"/>
                <w:bCs/>
                <w:sz w:val="24"/>
              </w:rPr>
              <w:t>网络文字互动</w:t>
            </w:r>
          </w:p>
        </w:tc>
      </w:tr>
      <w:tr w:rsidR="00906132" w14:paraId="5A8A6BE7" w14:textId="77777777">
        <w:trPr>
          <w:trHeight w:val="838"/>
        </w:trPr>
        <w:tc>
          <w:tcPr>
            <w:tcW w:w="1526" w:type="dxa"/>
            <w:vAlign w:val="center"/>
          </w:tcPr>
          <w:p w14:paraId="41378FE3" w14:textId="77777777" w:rsidR="00906132" w:rsidRDefault="00000000">
            <w:pPr>
              <w:rPr>
                <w:sz w:val="24"/>
                <w:szCs w:val="24"/>
              </w:rPr>
            </w:pPr>
            <w:r>
              <w:rPr>
                <w:rFonts w:hint="eastAsia"/>
                <w:sz w:val="24"/>
                <w:szCs w:val="24"/>
              </w:rPr>
              <w:t>参会人员</w:t>
            </w:r>
          </w:p>
        </w:tc>
        <w:tc>
          <w:tcPr>
            <w:tcW w:w="7191" w:type="dxa"/>
            <w:vAlign w:val="center"/>
          </w:tcPr>
          <w:p w14:paraId="0B97D31B" w14:textId="3A3D76F8" w:rsidR="00906132" w:rsidRDefault="00000000">
            <w:pPr>
              <w:spacing w:line="360" w:lineRule="auto"/>
              <w:rPr>
                <w:sz w:val="24"/>
                <w:szCs w:val="24"/>
              </w:rPr>
            </w:pPr>
            <w:r>
              <w:rPr>
                <w:rFonts w:ascii="宋体" w:hAnsi="宋体" w:cs="宋体" w:hint="eastAsia"/>
                <w:sz w:val="24"/>
                <w:szCs w:val="24"/>
              </w:rPr>
              <w:t>董事长孙英才</w:t>
            </w:r>
            <w:r w:rsidR="00EB4D5F">
              <w:rPr>
                <w:rFonts w:ascii="宋体" w:hAnsi="宋体" w:cs="宋体" w:hint="eastAsia"/>
                <w:sz w:val="24"/>
                <w:szCs w:val="24"/>
              </w:rPr>
              <w:t>；</w:t>
            </w:r>
            <w:r>
              <w:rPr>
                <w:rFonts w:ascii="宋体" w:hAnsi="宋体" w:cs="宋体" w:hint="eastAsia"/>
                <w:sz w:val="24"/>
                <w:szCs w:val="24"/>
              </w:rPr>
              <w:t>独立董事、审计委员会主任委员郑伟</w:t>
            </w:r>
            <w:r w:rsidR="00EB4D5F">
              <w:rPr>
                <w:rFonts w:ascii="宋体" w:hAnsi="宋体" w:cs="宋体" w:hint="eastAsia"/>
                <w:sz w:val="24"/>
                <w:szCs w:val="24"/>
              </w:rPr>
              <w:t>；</w:t>
            </w:r>
            <w:r>
              <w:rPr>
                <w:rFonts w:ascii="宋体" w:hAnsi="宋体" w:cs="宋体" w:hint="eastAsia"/>
                <w:sz w:val="24"/>
                <w:szCs w:val="24"/>
              </w:rPr>
              <w:t>董事、董事会秘书郭继明</w:t>
            </w:r>
            <w:r w:rsidR="00EB4D5F">
              <w:rPr>
                <w:rFonts w:ascii="宋体" w:hAnsi="宋体" w:cs="宋体" w:hint="eastAsia"/>
                <w:sz w:val="24"/>
                <w:szCs w:val="24"/>
              </w:rPr>
              <w:t>；</w:t>
            </w:r>
            <w:r>
              <w:rPr>
                <w:rFonts w:ascii="宋体" w:hAnsi="宋体" w:cs="宋体" w:hint="eastAsia"/>
                <w:sz w:val="24"/>
                <w:szCs w:val="24"/>
              </w:rPr>
              <w:t>财务总监雷学锋</w:t>
            </w:r>
          </w:p>
        </w:tc>
      </w:tr>
      <w:tr w:rsidR="00906132" w14:paraId="2D8E972F" w14:textId="77777777">
        <w:trPr>
          <w:trHeight w:val="557"/>
        </w:trPr>
        <w:tc>
          <w:tcPr>
            <w:tcW w:w="1526" w:type="dxa"/>
            <w:vAlign w:val="center"/>
          </w:tcPr>
          <w:p w14:paraId="0B5A667F" w14:textId="77777777" w:rsidR="00906132" w:rsidRDefault="00000000">
            <w:pPr>
              <w:rPr>
                <w:sz w:val="24"/>
                <w:szCs w:val="24"/>
              </w:rPr>
            </w:pPr>
            <w:r>
              <w:rPr>
                <w:rFonts w:hint="eastAsia"/>
                <w:sz w:val="24"/>
                <w:szCs w:val="24"/>
              </w:rPr>
              <w:t>投资者关系活动主要内容介绍</w:t>
            </w:r>
          </w:p>
        </w:tc>
        <w:tc>
          <w:tcPr>
            <w:tcW w:w="7191" w:type="dxa"/>
          </w:tcPr>
          <w:p w14:paraId="4B9E7F76" w14:textId="3162483E" w:rsidR="0089454F" w:rsidRDefault="0089454F" w:rsidP="0089454F">
            <w:pPr>
              <w:spacing w:line="360" w:lineRule="auto"/>
              <w:ind w:firstLineChars="200" w:firstLine="480"/>
            </w:pPr>
            <w:r>
              <w:rPr>
                <w:rFonts w:ascii="宋体" w:hint="eastAsia"/>
                <w:sz w:val="24"/>
              </w:rPr>
              <w:t>1</w:t>
            </w:r>
            <w:r>
              <w:rPr>
                <w:rFonts w:ascii="宋体"/>
                <w:sz w:val="24"/>
              </w:rPr>
              <w:t>、新任领导班子经过了半年的实战经营，在公司转型发展方面有没有新的想法，是继续坚持以医疗健康产业为主，还是向更有前途的高科技领域转型？</w:t>
            </w:r>
          </w:p>
          <w:p w14:paraId="3AA0F331" w14:textId="04E70C68" w:rsidR="0089454F" w:rsidRPr="0089454F" w:rsidRDefault="0089454F" w:rsidP="0089454F">
            <w:pPr>
              <w:spacing w:line="360" w:lineRule="auto"/>
              <w:ind w:firstLineChars="200" w:firstLine="480"/>
              <w:rPr>
                <w:rFonts w:ascii="宋体"/>
                <w:sz w:val="24"/>
              </w:rPr>
            </w:pPr>
            <w:r>
              <w:rPr>
                <w:rFonts w:ascii="宋体"/>
                <w:sz w:val="24"/>
              </w:rPr>
              <w:t>答:感谢您对公司的关注！2026年，公司将围绕高质量发展总体战略，坚持推动生命健康与其他业务协同、联动发展。其中，生命健康产业方面，公司体外诊断业务载体艾克韦生物将继续推进传统业务转型和产品创新升级，完善产学研医相结合的技术创新体系，加大企业研发投入，加快原创性的成果转化。多渠道推动应收账款回收，并积极探索相关产业的投资与并购机会，加快夯实公司产业布局。其他业务协同发展方面，公司持续稳固钢筋贸易、物业服务、园区运营等存量业务，夯实发展底盘，实现存量业务平稳健康运行。具体内容详见公司于2026年4月30日披露的《2025年年度报告》中第三节第六部分。公司指定的信息披露媒体为《上海证券报》《中国证券报》《证券时报》《证券日报》及上海证券交易所网站，有关公司信息均以在上述指定媒体刊登的信息为准。</w:t>
            </w:r>
          </w:p>
          <w:p w14:paraId="6C50C23B" w14:textId="4996C009" w:rsidR="00906132" w:rsidRDefault="0089454F" w:rsidP="0089454F">
            <w:pPr>
              <w:spacing w:line="360" w:lineRule="auto"/>
              <w:ind w:firstLineChars="200" w:firstLine="480"/>
            </w:pPr>
            <w:r>
              <w:rPr>
                <w:rFonts w:ascii="宋体" w:hint="eastAsia"/>
                <w:sz w:val="24"/>
              </w:rPr>
              <w:lastRenderedPageBreak/>
              <w:t>2</w:t>
            </w:r>
            <w:r>
              <w:rPr>
                <w:rFonts w:ascii="宋体"/>
                <w:sz w:val="24"/>
              </w:rPr>
              <w:t>、公司现有业务短期内无法解决业绩亏损的问题，公司有哪些方案提升业绩？</w:t>
            </w:r>
          </w:p>
          <w:p w14:paraId="713847F8" w14:textId="3C513986" w:rsidR="00906132" w:rsidRDefault="00000000" w:rsidP="0089454F">
            <w:pPr>
              <w:spacing w:line="360" w:lineRule="auto"/>
              <w:ind w:firstLineChars="200" w:firstLine="480"/>
              <w:rPr>
                <w:rFonts w:ascii="宋体"/>
                <w:sz w:val="24"/>
              </w:rPr>
            </w:pPr>
            <w:r>
              <w:rPr>
                <w:rFonts w:ascii="宋体"/>
                <w:sz w:val="24"/>
              </w:rPr>
              <w:t>答:感谢您对公司的关注！公司各项业务稳步开展，生命健康业务载体艾克韦生物继续推进传统业务转型和产品创新升级，积极进行国有化产品推广及销售，拓展两癌筛查、公共卫生、特检项目、医疗共建等新业务，同时加大产品研发力度，积极推进产品创新。艾克韦生物多渠道推动核酸应收账款回收，积极回笼资金助力公司发展。公司积极探索产业投资与并购机会，谋求拓展产业布局。公司存量业务平稳开展，公司全资子公司瑞蚨祥贸易继续开展钢筋贸易业务，公司做稳自持资产运营，做实园区运营管理，不断提升资产运营效率，物业服务规模和服务质效不断提升。</w:t>
            </w:r>
          </w:p>
          <w:p w14:paraId="7F4384EA" w14:textId="0BA11BC5" w:rsidR="00906132" w:rsidRDefault="0089454F" w:rsidP="0089454F">
            <w:pPr>
              <w:spacing w:line="360" w:lineRule="auto"/>
              <w:ind w:firstLineChars="200" w:firstLine="480"/>
            </w:pPr>
            <w:r>
              <w:rPr>
                <w:rFonts w:ascii="宋体" w:hint="eastAsia"/>
                <w:sz w:val="24"/>
              </w:rPr>
              <w:t>3</w:t>
            </w:r>
            <w:r>
              <w:rPr>
                <w:rFonts w:ascii="宋体"/>
                <w:sz w:val="24"/>
              </w:rPr>
              <w:t>、公司半年报亏损，后续资产处置计划进展如何？资产处置回款是否会用来应对本次诉讼潜在赔付？</w:t>
            </w:r>
          </w:p>
          <w:p w14:paraId="5C4EFA6B" w14:textId="7A930D4B" w:rsidR="00906132" w:rsidRDefault="00000000" w:rsidP="008B66AC">
            <w:pPr>
              <w:spacing w:line="360" w:lineRule="auto"/>
              <w:ind w:firstLineChars="200" w:firstLine="480"/>
              <w:rPr>
                <w:rFonts w:ascii="宋体"/>
                <w:sz w:val="24"/>
              </w:rPr>
            </w:pPr>
            <w:r>
              <w:rPr>
                <w:rFonts w:ascii="宋体"/>
                <w:sz w:val="24"/>
              </w:rPr>
              <w:t>答:感谢您对公司的关注！公司将严格按照相关法律法规履行信息披露义务。公司指定的信息披露媒体为《上海证券报》《中国证券报》《证券时报》《证券日报》及上海证券交易所网站，有关公司信息均以在上述指定媒体刊登的信息为准。</w:t>
            </w:r>
          </w:p>
          <w:p w14:paraId="5CE9CCFC" w14:textId="7AC4E3F4" w:rsidR="00906132" w:rsidRDefault="008B66AC" w:rsidP="008B66AC">
            <w:pPr>
              <w:spacing w:line="360" w:lineRule="auto"/>
              <w:ind w:firstLineChars="200" w:firstLine="480"/>
            </w:pPr>
            <w:r>
              <w:rPr>
                <w:rFonts w:ascii="宋体" w:hint="eastAsia"/>
                <w:sz w:val="24"/>
              </w:rPr>
              <w:t>4</w:t>
            </w:r>
            <w:r>
              <w:rPr>
                <w:rFonts w:ascii="宋体"/>
                <w:sz w:val="24"/>
              </w:rPr>
              <w:t>、请问公司富奥康二审案件，如果最终败诉，对应的赔付金额、保证金计提安排，以及对公司现金流、下半年经营的具体影响是多少？公司目前有没有备选的风险化解方案？</w:t>
            </w:r>
          </w:p>
          <w:p w14:paraId="6826A4D6" w14:textId="3C113109" w:rsidR="00906132" w:rsidRPr="008B66AC" w:rsidRDefault="00000000" w:rsidP="008B66AC">
            <w:pPr>
              <w:spacing w:line="360" w:lineRule="auto"/>
              <w:ind w:firstLineChars="200" w:firstLine="480"/>
              <w:rPr>
                <w:rFonts w:ascii="宋体"/>
                <w:sz w:val="24"/>
              </w:rPr>
            </w:pPr>
            <w:r>
              <w:rPr>
                <w:rFonts w:ascii="宋体"/>
                <w:sz w:val="24"/>
              </w:rPr>
              <w:t>答:感谢您对公司的关注！富奥康公司以缔约过失责任纠纷向法院提起诉讼，2024年12月31日，广东省深圳市中级人民法院一审判决公司向富奥康公司支付款项及违约金、费用等，合计约6.6亿元。公司已向广东高院提起上诉。2025年1月24日，控股股东已出具说明，通过支付与判决应承担责任金额的等额保证金，专项用于富奥康公司案件可能产生的相关责任，避免公司遭受损失，公司已收到控股股东支付的相关保证金。因合议庭成员变更，可能重新开庭，目前公司尚未收到庭审通知、案件未判决。</w:t>
            </w:r>
          </w:p>
        </w:tc>
      </w:tr>
    </w:tbl>
    <w:p w14:paraId="524AC010" w14:textId="77777777" w:rsidR="00906132" w:rsidRDefault="00906132"/>
    <w:p w14:paraId="18B7056C" w14:textId="77777777" w:rsidR="00906132" w:rsidRDefault="00906132"/>
    <w:sectPr w:rsidR="00906132">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EF675" w14:textId="77777777" w:rsidR="00B6010E" w:rsidRDefault="00B6010E">
      <w:r>
        <w:separator/>
      </w:r>
    </w:p>
  </w:endnote>
  <w:endnote w:type="continuationSeparator" w:id="0">
    <w:p w14:paraId="46398F27" w14:textId="77777777" w:rsidR="00B6010E" w:rsidRDefault="00B60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1A43D" w14:textId="77777777" w:rsidR="00B6010E" w:rsidRDefault="00B6010E">
      <w:r>
        <w:separator/>
      </w:r>
    </w:p>
  </w:footnote>
  <w:footnote w:type="continuationSeparator" w:id="0">
    <w:p w14:paraId="45D80424" w14:textId="77777777" w:rsidR="00B6010E" w:rsidRDefault="00B60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9960" w14:textId="77777777" w:rsidR="00906132" w:rsidRDefault="00000000">
    <w:pPr>
      <w:pStyle w:val="a3"/>
      <w:tabs>
        <w:tab w:val="clear" w:pos="4153"/>
      </w:tabs>
      <w:jc w:val="right"/>
    </w:pPr>
    <w:r>
      <w:rPr>
        <w:rFonts w:hint="eastAsia"/>
      </w:rPr>
      <w:t>济南高新发展股份有限公司投资者关系活动记录表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906132"/>
    <w:rsid w:val="00074E8D"/>
    <w:rsid w:val="00162538"/>
    <w:rsid w:val="00300A35"/>
    <w:rsid w:val="00573619"/>
    <w:rsid w:val="007E73F4"/>
    <w:rsid w:val="0089454F"/>
    <w:rsid w:val="008B66AC"/>
    <w:rsid w:val="008D1339"/>
    <w:rsid w:val="00906132"/>
    <w:rsid w:val="00A23957"/>
    <w:rsid w:val="00B6010E"/>
    <w:rsid w:val="00EB4D5F"/>
    <w:rsid w:val="00FC0DEC"/>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FBAAAD"/>
  <w15:docId w15:val="{0C701F2B-1BB1-481E-BAE9-2A37A222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a7"/>
    <w:rsid w:val="007E73F4"/>
    <w:pPr>
      <w:tabs>
        <w:tab w:val="center" w:pos="4153"/>
        <w:tab w:val="right" w:pos="8306"/>
      </w:tabs>
      <w:snapToGrid w:val="0"/>
      <w:jc w:val="left"/>
    </w:pPr>
    <w:rPr>
      <w:sz w:val="18"/>
      <w:szCs w:val="18"/>
    </w:rPr>
  </w:style>
  <w:style w:type="character" w:customStyle="1" w:styleId="a7">
    <w:name w:val="页脚 字符"/>
    <w:basedOn w:val="a0"/>
    <w:link w:val="a6"/>
    <w:rsid w:val="007E73F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adshow.sseinf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720</Words>
  <Characters>757</Characters>
  <Application>Microsoft Office Word</Application>
  <DocSecurity>0</DocSecurity>
  <Lines>36</Lines>
  <Paragraphs>25</Paragraphs>
  <ScaleCrop>false</ScaleCrop>
  <Company/>
  <LinksUpToDate>false</LinksUpToDate>
  <CharactersWithSpaces>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sn w</cp:lastModifiedBy>
  <cp:revision>5</cp:revision>
  <dcterms:created xsi:type="dcterms:W3CDTF">2026-09-11T08:04:00Z</dcterms:created>
  <dcterms:modified xsi:type="dcterms:W3CDTF">2026-09-11T09:03:00Z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