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D4DA62">
      <w:pPr>
        <w:spacing w:before="156" w:beforeLines="50" w:after="156" w:afterLines="50" w:line="400" w:lineRule="exact"/>
        <w:jc w:val="center"/>
        <w:rPr>
          <w:rFonts w:ascii="宋体" w:hAnsi="宋体"/>
          <w:b/>
          <w:bCs/>
          <w:iCs/>
          <w:color w:val="000000"/>
          <w:sz w:val="32"/>
          <w:szCs w:val="32"/>
        </w:rPr>
      </w:pPr>
      <w:r>
        <w:rPr>
          <w:rFonts w:ascii="宋体" w:hAnsi="宋体"/>
          <w:b/>
          <w:bCs/>
          <w:iCs/>
          <w:color w:val="000000"/>
          <w:sz w:val="32"/>
          <w:szCs w:val="32"/>
        </w:rPr>
        <w:t>珠海珠免集团股份有限公司</w:t>
      </w:r>
    </w:p>
    <w:p w14:paraId="27497079">
      <w:pPr>
        <w:spacing w:before="156" w:beforeLines="50" w:after="156" w:afterLines="50" w:line="400" w:lineRule="exact"/>
        <w:jc w:val="center"/>
        <w:rPr>
          <w:rFonts w:ascii="宋体" w:hAnsi="宋体"/>
          <w:b/>
          <w:bCs/>
          <w:iCs/>
          <w:color w:val="000000"/>
          <w:sz w:val="32"/>
          <w:szCs w:val="32"/>
        </w:rPr>
      </w:pPr>
      <w:r>
        <w:rPr>
          <w:rFonts w:hint="eastAsia" w:ascii="宋体" w:hAnsi="宋体"/>
          <w:b/>
          <w:bCs/>
          <w:iCs/>
          <w:color w:val="000000"/>
          <w:sz w:val="32"/>
          <w:szCs w:val="32"/>
        </w:rPr>
        <w:t>投资者关系活动记录表</w:t>
      </w:r>
    </w:p>
    <w:p w14:paraId="15857C0B">
      <w:pPr>
        <w:spacing w:line="400" w:lineRule="exact"/>
        <w:jc w:val="right"/>
        <w:rPr>
          <w:rFonts w:hint="eastAsia" w:eastAsia="宋体"/>
          <w:bCs/>
          <w:iCs/>
          <w:color w:val="000000"/>
          <w:sz w:val="22"/>
          <w:szCs w:val="22"/>
          <w:lang w:eastAsia="zh-CN"/>
        </w:rPr>
      </w:pPr>
      <w:r>
        <w:rPr>
          <w:rFonts w:hint="eastAsia" w:ascii="宋体" w:hAnsi="宋体"/>
          <w:bCs/>
          <w:iCs/>
          <w:color w:val="000000"/>
          <w:sz w:val="24"/>
        </w:rPr>
        <w:t xml:space="preserve">                                                   </w:t>
      </w:r>
      <w:r>
        <w:rPr>
          <w:bCs/>
          <w:iCs/>
          <w:color w:val="000000"/>
          <w:sz w:val="22"/>
          <w:szCs w:val="22"/>
        </w:rPr>
        <w:t>编号：202</w:t>
      </w:r>
      <w:r>
        <w:rPr>
          <w:rFonts w:hint="eastAsia"/>
          <w:bCs/>
          <w:iCs/>
          <w:color w:val="000000"/>
          <w:sz w:val="22"/>
          <w:szCs w:val="22"/>
        </w:rPr>
        <w:t>6</w:t>
      </w:r>
      <w:r>
        <w:rPr>
          <w:bCs/>
          <w:iCs/>
          <w:color w:val="000000"/>
          <w:sz w:val="22"/>
          <w:szCs w:val="22"/>
        </w:rPr>
        <w:t>-00</w:t>
      </w:r>
      <w:r>
        <w:rPr>
          <w:rFonts w:hint="eastAsia"/>
          <w:bCs/>
          <w:iCs/>
          <w:color w:val="000000"/>
          <w:sz w:val="22"/>
          <w:szCs w:val="22"/>
          <w:lang w:val="en-US" w:eastAsia="zh-CN"/>
        </w:rPr>
        <w:t>2</w:t>
      </w:r>
    </w:p>
    <w:tbl>
      <w:tblPr>
        <w:tblStyle w:val="9"/>
        <w:tblW w:w="831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3"/>
        <w:gridCol w:w="6607"/>
      </w:tblGrid>
      <w:tr w14:paraId="58132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3" w:type="dxa"/>
            <w:tcBorders>
              <w:top w:val="single" w:color="auto" w:sz="4" w:space="0"/>
              <w:left w:val="single" w:color="auto" w:sz="4" w:space="0"/>
              <w:bottom w:val="single" w:color="auto" w:sz="4" w:space="0"/>
              <w:right w:val="single" w:color="auto" w:sz="4" w:space="0"/>
            </w:tcBorders>
            <w:vAlign w:val="center"/>
          </w:tcPr>
          <w:p w14:paraId="06E65848">
            <w:pPr>
              <w:spacing w:line="420" w:lineRule="exact"/>
              <w:jc w:val="left"/>
              <w:rPr>
                <w:bCs/>
                <w:iCs/>
                <w:color w:val="000000"/>
                <w:sz w:val="24"/>
              </w:rPr>
            </w:pPr>
            <w:r>
              <w:rPr>
                <w:rFonts w:hAnsi="宋体"/>
                <w:bCs/>
                <w:iCs/>
                <w:color w:val="000000"/>
                <w:kern w:val="0"/>
                <w:sz w:val="24"/>
              </w:rPr>
              <w:t>投资者关系</w:t>
            </w:r>
            <w:r>
              <w:rPr>
                <w:rFonts w:hAnsi="宋体"/>
                <w:bCs/>
                <w:iCs/>
                <w:color w:val="000000"/>
                <w:kern w:val="0"/>
                <w:sz w:val="24"/>
              </w:rPr>
              <w:br w:type="textWrapping"/>
            </w:r>
            <w:r>
              <w:rPr>
                <w:rFonts w:hAnsi="宋体"/>
                <w:bCs/>
                <w:iCs/>
                <w:color w:val="000000"/>
                <w:kern w:val="0"/>
                <w:sz w:val="24"/>
              </w:rPr>
              <w:t>活动类别</w:t>
            </w:r>
          </w:p>
        </w:tc>
        <w:tc>
          <w:tcPr>
            <w:tcW w:w="6607" w:type="dxa"/>
            <w:tcBorders>
              <w:top w:val="single" w:color="auto" w:sz="4" w:space="0"/>
              <w:left w:val="single" w:color="auto" w:sz="4" w:space="0"/>
              <w:bottom w:val="single" w:color="auto" w:sz="4" w:space="0"/>
              <w:right w:val="single" w:color="auto" w:sz="4" w:space="0"/>
            </w:tcBorders>
          </w:tcPr>
          <w:p w14:paraId="3F8EA131">
            <w:pPr>
              <w:spacing w:line="420" w:lineRule="exact"/>
              <w:rPr>
                <w:bCs/>
                <w:iCs/>
                <w:color w:val="000000"/>
                <w:sz w:val="24"/>
              </w:rPr>
            </w:pPr>
            <w:r>
              <w:rPr>
                <w:rFonts w:hint="eastAsia"/>
                <w:bCs/>
                <w:iCs/>
                <w:color w:val="000000"/>
                <w:kern w:val="0"/>
                <w:sz w:val="24"/>
                <w:lang w:eastAsia="zh-CN"/>
              </w:rPr>
              <w:t>□</w:t>
            </w:r>
            <w:r>
              <w:rPr>
                <w:rFonts w:hAnsi="宋体"/>
                <w:kern w:val="0"/>
                <w:sz w:val="24"/>
              </w:rPr>
              <w:t>特定对象调研</w:t>
            </w:r>
            <w:r>
              <w:rPr>
                <w:kern w:val="0"/>
                <w:sz w:val="24"/>
              </w:rPr>
              <w:t xml:space="preserve">       </w:t>
            </w:r>
            <w:r>
              <w:rPr>
                <w:rFonts w:hint="eastAsia"/>
                <w:kern w:val="0"/>
                <w:sz w:val="24"/>
              </w:rPr>
              <w:t xml:space="preserve"> </w:t>
            </w:r>
            <w:r>
              <w:rPr>
                <w:bCs/>
                <w:iCs/>
                <w:color w:val="000000"/>
                <w:kern w:val="0"/>
                <w:sz w:val="24"/>
              </w:rPr>
              <w:t>□</w:t>
            </w:r>
            <w:r>
              <w:rPr>
                <w:rFonts w:hint="eastAsia"/>
                <w:bCs/>
                <w:iCs/>
                <w:color w:val="000000"/>
                <w:kern w:val="0"/>
                <w:sz w:val="24"/>
              </w:rPr>
              <w:t xml:space="preserve"> </w:t>
            </w:r>
            <w:r>
              <w:rPr>
                <w:rFonts w:hAnsi="宋体"/>
                <w:kern w:val="0"/>
                <w:sz w:val="24"/>
              </w:rPr>
              <w:t>分析师会议</w:t>
            </w:r>
          </w:p>
          <w:p w14:paraId="2339D970">
            <w:pPr>
              <w:spacing w:line="420" w:lineRule="exact"/>
              <w:rPr>
                <w:bCs/>
                <w:iCs/>
                <w:color w:val="000000"/>
                <w:kern w:val="0"/>
                <w:sz w:val="24"/>
              </w:rPr>
            </w:pPr>
            <w:r>
              <w:rPr>
                <w:bCs/>
                <w:iCs/>
                <w:color w:val="000000"/>
                <w:kern w:val="0"/>
                <w:sz w:val="24"/>
              </w:rPr>
              <w:t>□</w:t>
            </w:r>
            <w:r>
              <w:rPr>
                <w:rFonts w:hint="eastAsia"/>
                <w:bCs/>
                <w:iCs/>
                <w:color w:val="000000"/>
                <w:kern w:val="0"/>
                <w:sz w:val="24"/>
              </w:rPr>
              <w:t xml:space="preserve"> </w:t>
            </w:r>
            <w:r>
              <w:rPr>
                <w:rFonts w:hAnsi="宋体"/>
                <w:kern w:val="0"/>
                <w:sz w:val="24"/>
              </w:rPr>
              <w:t>媒体采访</w:t>
            </w:r>
            <w:r>
              <w:rPr>
                <w:kern w:val="0"/>
                <w:sz w:val="24"/>
              </w:rPr>
              <w:t xml:space="preserve">            </w:t>
            </w:r>
            <w:r>
              <w:rPr>
                <w:rFonts w:hint="eastAsia"/>
                <w:bCs/>
                <w:iCs/>
                <w:color w:val="000000"/>
                <w:kern w:val="0"/>
                <w:sz w:val="24"/>
                <w:lang w:eastAsia="zh-CN"/>
              </w:rPr>
              <w:t>☑</w:t>
            </w:r>
            <w:r>
              <w:rPr>
                <w:rFonts w:hint="eastAsia"/>
                <w:bCs/>
                <w:iCs/>
                <w:color w:val="000000"/>
                <w:kern w:val="0"/>
                <w:sz w:val="24"/>
              </w:rPr>
              <w:t xml:space="preserve"> </w:t>
            </w:r>
            <w:r>
              <w:rPr>
                <w:rFonts w:hAnsi="宋体"/>
                <w:kern w:val="0"/>
                <w:sz w:val="24"/>
              </w:rPr>
              <w:t>业绩说明会</w:t>
            </w:r>
          </w:p>
          <w:p w14:paraId="27631364">
            <w:pPr>
              <w:spacing w:line="420" w:lineRule="exact"/>
              <w:rPr>
                <w:bCs/>
                <w:iCs/>
                <w:color w:val="000000"/>
                <w:kern w:val="0"/>
                <w:sz w:val="24"/>
              </w:rPr>
            </w:pPr>
            <w:r>
              <w:rPr>
                <w:bCs/>
                <w:iCs/>
                <w:color w:val="000000"/>
                <w:kern w:val="0"/>
                <w:sz w:val="24"/>
              </w:rPr>
              <w:t>□</w:t>
            </w:r>
            <w:r>
              <w:rPr>
                <w:rFonts w:hint="eastAsia"/>
                <w:bCs/>
                <w:iCs/>
                <w:color w:val="000000"/>
                <w:kern w:val="0"/>
                <w:sz w:val="24"/>
              </w:rPr>
              <w:t xml:space="preserve"> </w:t>
            </w:r>
            <w:r>
              <w:rPr>
                <w:rFonts w:hAnsi="宋体"/>
                <w:kern w:val="0"/>
                <w:sz w:val="24"/>
              </w:rPr>
              <w:t>新闻发布会</w:t>
            </w:r>
            <w:r>
              <w:rPr>
                <w:kern w:val="0"/>
                <w:sz w:val="24"/>
              </w:rPr>
              <w:t xml:space="preserve">          </w:t>
            </w:r>
            <w:r>
              <w:rPr>
                <w:bCs/>
                <w:iCs/>
                <w:color w:val="000000"/>
                <w:kern w:val="0"/>
                <w:sz w:val="24"/>
              </w:rPr>
              <w:t>□</w:t>
            </w:r>
            <w:r>
              <w:rPr>
                <w:rFonts w:hint="eastAsia"/>
                <w:bCs/>
                <w:iCs/>
                <w:color w:val="000000"/>
                <w:kern w:val="0"/>
                <w:sz w:val="24"/>
              </w:rPr>
              <w:t xml:space="preserve"> </w:t>
            </w:r>
            <w:r>
              <w:rPr>
                <w:rFonts w:hAnsi="宋体"/>
                <w:kern w:val="0"/>
                <w:sz w:val="24"/>
              </w:rPr>
              <w:t>路演活动</w:t>
            </w:r>
          </w:p>
          <w:p w14:paraId="397EB37E">
            <w:pPr>
              <w:tabs>
                <w:tab w:val="left" w:pos="3045"/>
                <w:tab w:val="center" w:pos="3199"/>
              </w:tabs>
              <w:spacing w:line="420" w:lineRule="exact"/>
              <w:rPr>
                <w:bCs/>
                <w:iCs/>
                <w:color w:val="000000"/>
                <w:kern w:val="0"/>
                <w:sz w:val="24"/>
              </w:rPr>
            </w:pPr>
            <w:r>
              <w:rPr>
                <w:rFonts w:hint="eastAsia"/>
                <w:bCs/>
                <w:iCs/>
                <w:color w:val="000000"/>
                <w:kern w:val="0"/>
                <w:sz w:val="24"/>
                <w:lang w:eastAsia="zh-CN"/>
              </w:rPr>
              <w:t>□</w:t>
            </w:r>
            <w:r>
              <w:rPr>
                <w:rFonts w:hint="eastAsia"/>
                <w:bCs/>
                <w:iCs/>
                <w:color w:val="000000"/>
                <w:kern w:val="0"/>
                <w:sz w:val="24"/>
              </w:rPr>
              <w:t xml:space="preserve"> </w:t>
            </w:r>
            <w:r>
              <w:rPr>
                <w:rFonts w:hAnsi="宋体"/>
                <w:kern w:val="0"/>
                <w:sz w:val="24"/>
              </w:rPr>
              <w:t>现场参观</w:t>
            </w:r>
          </w:p>
          <w:p w14:paraId="6A5D6303">
            <w:pPr>
              <w:tabs>
                <w:tab w:val="center" w:pos="3199"/>
              </w:tabs>
              <w:spacing w:line="420" w:lineRule="exact"/>
              <w:rPr>
                <w:bCs/>
                <w:iCs/>
                <w:color w:val="000000"/>
                <w:sz w:val="24"/>
              </w:rPr>
            </w:pPr>
            <w:r>
              <w:rPr>
                <w:rFonts w:hint="eastAsia"/>
                <w:bCs/>
                <w:iCs/>
                <w:color w:val="000000"/>
                <w:kern w:val="0"/>
                <w:sz w:val="24"/>
                <w:lang w:eastAsia="zh-CN"/>
              </w:rPr>
              <w:t>□</w:t>
            </w:r>
            <w:r>
              <w:rPr>
                <w:rFonts w:hint="eastAsia"/>
                <w:bCs/>
                <w:iCs/>
                <w:color w:val="000000"/>
                <w:kern w:val="0"/>
                <w:sz w:val="24"/>
              </w:rPr>
              <w:t xml:space="preserve"> </w:t>
            </w:r>
            <w:r>
              <w:rPr>
                <w:rFonts w:hAnsi="宋体"/>
                <w:kern w:val="0"/>
                <w:sz w:val="24"/>
              </w:rPr>
              <w:t>其他</w:t>
            </w:r>
          </w:p>
        </w:tc>
      </w:tr>
      <w:tr w14:paraId="62851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 w:hRule="atLeast"/>
          <w:jc w:val="center"/>
        </w:trPr>
        <w:tc>
          <w:tcPr>
            <w:tcW w:w="1703" w:type="dxa"/>
            <w:tcBorders>
              <w:top w:val="single" w:color="auto" w:sz="4" w:space="0"/>
              <w:left w:val="single" w:color="auto" w:sz="4" w:space="0"/>
              <w:right w:val="single" w:color="auto" w:sz="4" w:space="0"/>
            </w:tcBorders>
            <w:vAlign w:val="center"/>
          </w:tcPr>
          <w:p w14:paraId="08F274F6">
            <w:pPr>
              <w:spacing w:line="420" w:lineRule="exact"/>
              <w:rPr>
                <w:bCs/>
                <w:iCs/>
                <w:color w:val="000000"/>
                <w:kern w:val="0"/>
                <w:sz w:val="24"/>
              </w:rPr>
            </w:pPr>
            <w:r>
              <w:rPr>
                <w:rFonts w:hAnsi="宋体"/>
                <w:bCs/>
                <w:iCs/>
                <w:color w:val="000000"/>
                <w:kern w:val="0"/>
                <w:sz w:val="24"/>
              </w:rPr>
              <w:t>参与单位名称及人员姓名</w:t>
            </w:r>
          </w:p>
        </w:tc>
        <w:tc>
          <w:tcPr>
            <w:tcW w:w="6607" w:type="dxa"/>
            <w:tcBorders>
              <w:top w:val="single" w:color="auto" w:sz="4" w:space="0"/>
              <w:left w:val="single" w:color="auto" w:sz="4" w:space="0"/>
              <w:bottom w:val="single" w:color="auto" w:sz="4" w:space="0"/>
              <w:right w:val="single" w:color="auto" w:sz="4" w:space="0"/>
            </w:tcBorders>
            <w:vAlign w:val="center"/>
          </w:tcPr>
          <w:p w14:paraId="28457B26">
            <w:pPr>
              <w:spacing w:line="420" w:lineRule="exact"/>
              <w:jc w:val="left"/>
              <w:rPr>
                <w:bCs/>
                <w:iCs/>
                <w:color w:val="000000"/>
                <w:sz w:val="24"/>
              </w:rPr>
            </w:pPr>
            <w:r>
              <w:rPr>
                <w:rFonts w:hint="eastAsia"/>
                <w:bCs/>
                <w:iCs/>
                <w:color w:val="000000"/>
                <w:sz w:val="24"/>
              </w:rPr>
              <w:t>线上参与公司2026年半年度业绩说明会的投资者</w:t>
            </w:r>
          </w:p>
        </w:tc>
      </w:tr>
      <w:tr w14:paraId="3F9DB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3" w:type="dxa"/>
            <w:tcBorders>
              <w:top w:val="single" w:color="auto" w:sz="4" w:space="0"/>
              <w:left w:val="single" w:color="auto" w:sz="4" w:space="0"/>
              <w:bottom w:val="single" w:color="auto" w:sz="4" w:space="0"/>
              <w:right w:val="single" w:color="auto" w:sz="4" w:space="0"/>
            </w:tcBorders>
            <w:vAlign w:val="center"/>
          </w:tcPr>
          <w:p w14:paraId="00A73BCA">
            <w:pPr>
              <w:spacing w:line="420" w:lineRule="exact"/>
              <w:rPr>
                <w:bCs/>
                <w:iCs/>
                <w:color w:val="000000"/>
                <w:kern w:val="0"/>
                <w:sz w:val="24"/>
              </w:rPr>
            </w:pPr>
            <w:r>
              <w:rPr>
                <w:rFonts w:hAnsi="宋体"/>
                <w:bCs/>
                <w:iCs/>
                <w:color w:val="000000"/>
                <w:kern w:val="0"/>
                <w:sz w:val="24"/>
              </w:rPr>
              <w:t>时间</w:t>
            </w:r>
          </w:p>
        </w:tc>
        <w:tc>
          <w:tcPr>
            <w:tcW w:w="6607" w:type="dxa"/>
            <w:tcBorders>
              <w:top w:val="single" w:color="auto" w:sz="4" w:space="0"/>
              <w:left w:val="single" w:color="auto" w:sz="4" w:space="0"/>
              <w:bottom w:val="single" w:color="auto" w:sz="4" w:space="0"/>
              <w:right w:val="single" w:color="auto" w:sz="4" w:space="0"/>
            </w:tcBorders>
          </w:tcPr>
          <w:p w14:paraId="2968371C">
            <w:pPr>
              <w:spacing w:line="420" w:lineRule="exact"/>
              <w:rPr>
                <w:bCs/>
                <w:iCs/>
                <w:color w:val="000000"/>
                <w:sz w:val="24"/>
              </w:rPr>
            </w:pPr>
            <w:r>
              <w:rPr>
                <w:bCs/>
                <w:iCs/>
                <w:color w:val="000000"/>
                <w:sz w:val="24"/>
              </w:rPr>
              <w:t>202</w:t>
            </w:r>
            <w:r>
              <w:rPr>
                <w:rFonts w:hint="eastAsia"/>
                <w:bCs/>
                <w:iCs/>
                <w:color w:val="000000"/>
                <w:sz w:val="24"/>
              </w:rPr>
              <w:t>6</w:t>
            </w:r>
            <w:r>
              <w:rPr>
                <w:bCs/>
                <w:iCs/>
                <w:color w:val="000000"/>
                <w:sz w:val="24"/>
              </w:rPr>
              <w:t>年</w:t>
            </w:r>
            <w:r>
              <w:rPr>
                <w:rFonts w:hint="eastAsia"/>
                <w:bCs/>
                <w:iCs/>
                <w:color w:val="000000"/>
                <w:sz w:val="24"/>
                <w:lang w:val="en-US" w:eastAsia="zh-CN"/>
              </w:rPr>
              <w:t>9</w:t>
            </w:r>
            <w:r>
              <w:rPr>
                <w:bCs/>
                <w:iCs/>
                <w:color w:val="000000"/>
                <w:sz w:val="24"/>
              </w:rPr>
              <w:t>月</w:t>
            </w:r>
            <w:r>
              <w:rPr>
                <w:rFonts w:hint="eastAsia"/>
                <w:bCs/>
                <w:iCs/>
                <w:color w:val="000000"/>
                <w:sz w:val="24"/>
                <w:lang w:val="en-US" w:eastAsia="zh-CN"/>
              </w:rPr>
              <w:t>11</w:t>
            </w:r>
            <w:r>
              <w:rPr>
                <w:rFonts w:hint="eastAsia"/>
                <w:bCs/>
                <w:iCs/>
                <w:color w:val="000000"/>
                <w:sz w:val="24"/>
              </w:rPr>
              <w:t>日</w:t>
            </w:r>
            <w:r>
              <w:rPr>
                <w:rFonts w:hint="eastAsia"/>
                <w:bCs/>
                <w:iCs/>
                <w:color w:val="000000"/>
                <w:sz w:val="24"/>
                <w:lang w:val="en-US" w:eastAsia="zh-CN"/>
              </w:rPr>
              <w:t>15:00-16:00</w:t>
            </w:r>
          </w:p>
        </w:tc>
      </w:tr>
      <w:tr w14:paraId="32570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3" w:type="dxa"/>
            <w:tcBorders>
              <w:top w:val="single" w:color="auto" w:sz="4" w:space="0"/>
              <w:left w:val="single" w:color="auto" w:sz="4" w:space="0"/>
              <w:bottom w:val="single" w:color="auto" w:sz="4" w:space="0"/>
              <w:right w:val="single" w:color="auto" w:sz="4" w:space="0"/>
            </w:tcBorders>
            <w:vAlign w:val="center"/>
          </w:tcPr>
          <w:p w14:paraId="16D6E8C1">
            <w:pPr>
              <w:spacing w:line="420" w:lineRule="exact"/>
              <w:rPr>
                <w:bCs/>
                <w:iCs/>
                <w:color w:val="000000"/>
                <w:kern w:val="0"/>
                <w:sz w:val="24"/>
              </w:rPr>
            </w:pPr>
            <w:r>
              <w:rPr>
                <w:rFonts w:hAnsi="宋体"/>
                <w:bCs/>
                <w:iCs/>
                <w:color w:val="000000"/>
                <w:kern w:val="0"/>
                <w:sz w:val="24"/>
              </w:rPr>
              <w:t>地点</w:t>
            </w:r>
          </w:p>
        </w:tc>
        <w:tc>
          <w:tcPr>
            <w:tcW w:w="6607" w:type="dxa"/>
            <w:tcBorders>
              <w:top w:val="single" w:color="auto" w:sz="4" w:space="0"/>
              <w:left w:val="single" w:color="auto" w:sz="4" w:space="0"/>
              <w:bottom w:val="single" w:color="auto" w:sz="4" w:space="0"/>
              <w:right w:val="single" w:color="auto" w:sz="4" w:space="0"/>
            </w:tcBorders>
          </w:tcPr>
          <w:p w14:paraId="778CA242">
            <w:pPr>
              <w:spacing w:line="420" w:lineRule="exact"/>
              <w:rPr>
                <w:bCs/>
                <w:iCs/>
                <w:color w:val="000000"/>
                <w:sz w:val="24"/>
              </w:rPr>
            </w:pPr>
            <w:r>
              <w:rPr>
                <w:rFonts w:hint="eastAsia" w:ascii="宋体" w:hAnsi="宋体"/>
                <w:sz w:val="24"/>
              </w:rPr>
              <w:t>上海证券交易所上证路演中心</w:t>
            </w:r>
          </w:p>
        </w:tc>
      </w:tr>
      <w:tr w14:paraId="21643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3" w:type="dxa"/>
            <w:tcBorders>
              <w:top w:val="single" w:color="auto" w:sz="4" w:space="0"/>
              <w:left w:val="single" w:color="auto" w:sz="4" w:space="0"/>
              <w:bottom w:val="single" w:color="auto" w:sz="4" w:space="0"/>
              <w:right w:val="single" w:color="auto" w:sz="4" w:space="0"/>
            </w:tcBorders>
            <w:vAlign w:val="center"/>
          </w:tcPr>
          <w:p w14:paraId="151D5F3E">
            <w:pPr>
              <w:spacing w:line="420" w:lineRule="exact"/>
              <w:rPr>
                <w:bCs/>
                <w:iCs/>
                <w:color w:val="000000"/>
                <w:kern w:val="0"/>
                <w:sz w:val="24"/>
              </w:rPr>
            </w:pPr>
            <w:r>
              <w:rPr>
                <w:rFonts w:hAnsi="宋体"/>
                <w:bCs/>
                <w:iCs/>
                <w:color w:val="000000"/>
                <w:kern w:val="0"/>
                <w:sz w:val="24"/>
              </w:rPr>
              <w:t>上市公司接待人员姓名</w:t>
            </w:r>
          </w:p>
        </w:tc>
        <w:tc>
          <w:tcPr>
            <w:tcW w:w="6607" w:type="dxa"/>
            <w:tcBorders>
              <w:top w:val="single" w:color="auto" w:sz="4" w:space="0"/>
              <w:left w:val="single" w:color="auto" w:sz="4" w:space="0"/>
              <w:bottom w:val="single" w:color="auto" w:sz="4" w:space="0"/>
              <w:right w:val="single" w:color="auto" w:sz="4" w:space="0"/>
            </w:tcBorders>
            <w:vAlign w:val="center"/>
          </w:tcPr>
          <w:p w14:paraId="341EE1E1">
            <w:pPr>
              <w:spacing w:line="420" w:lineRule="exact"/>
              <w:rPr>
                <w:bCs/>
                <w:sz w:val="24"/>
              </w:rPr>
            </w:pPr>
            <w:r>
              <w:rPr>
                <w:rFonts w:hint="eastAsia" w:ascii="宋体" w:hAnsi="宋体" w:cs="宋体"/>
                <w:sz w:val="24"/>
                <w:szCs w:val="24"/>
              </w:rPr>
              <w:t>董事长、总裁李向东先生，独立董事</w:t>
            </w:r>
            <w:r>
              <w:rPr>
                <w:rFonts w:hint="eastAsia" w:ascii="Times New Roman" w:hAnsi="Times New Roman" w:cs="宋体"/>
                <w:sz w:val="24"/>
                <w:szCs w:val="24"/>
              </w:rPr>
              <w:t>路晓燕女士</w:t>
            </w:r>
            <w:r>
              <w:rPr>
                <w:rFonts w:hint="eastAsia" w:ascii="宋体" w:hAnsi="宋体" w:cs="宋体"/>
                <w:sz w:val="24"/>
                <w:szCs w:val="24"/>
              </w:rPr>
              <w:t>，副总裁、董事会秘书黄一桓先生，财务负责人高升业先生</w:t>
            </w:r>
          </w:p>
        </w:tc>
      </w:tr>
      <w:tr w14:paraId="20B4D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3" w:type="dxa"/>
            <w:tcBorders>
              <w:top w:val="single" w:color="auto" w:sz="4" w:space="0"/>
              <w:left w:val="single" w:color="auto" w:sz="4" w:space="0"/>
              <w:bottom w:val="single" w:color="auto" w:sz="4" w:space="0"/>
              <w:right w:val="single" w:color="auto" w:sz="4" w:space="0"/>
            </w:tcBorders>
            <w:vAlign w:val="center"/>
          </w:tcPr>
          <w:p w14:paraId="378A620D">
            <w:pPr>
              <w:spacing w:line="420" w:lineRule="exact"/>
              <w:rPr>
                <w:bCs/>
                <w:iCs/>
                <w:color w:val="000000"/>
                <w:sz w:val="24"/>
              </w:rPr>
            </w:pPr>
            <w:r>
              <w:rPr>
                <w:rFonts w:hAnsi="宋体"/>
                <w:bCs/>
                <w:iCs/>
                <w:color w:val="000000"/>
                <w:kern w:val="0"/>
                <w:sz w:val="24"/>
              </w:rPr>
              <w:t>投资者关系活动主要内容介绍</w:t>
            </w:r>
          </w:p>
        </w:tc>
        <w:tc>
          <w:tcPr>
            <w:tcW w:w="6607" w:type="dxa"/>
            <w:tcBorders>
              <w:top w:val="single" w:color="auto" w:sz="4" w:space="0"/>
              <w:left w:val="single" w:color="auto" w:sz="4" w:space="0"/>
              <w:bottom w:val="single" w:color="auto" w:sz="4" w:space="0"/>
              <w:right w:val="single" w:color="auto" w:sz="4" w:space="0"/>
            </w:tcBorders>
          </w:tcPr>
          <w:p w14:paraId="1EE8D3F3">
            <w:pPr>
              <w:adjustRightInd w:val="0"/>
              <w:snapToGrid w:val="0"/>
              <w:spacing w:line="360" w:lineRule="auto"/>
              <w:ind w:firstLine="0" w:firstLineChars="0"/>
              <w:rPr>
                <w:rFonts w:hint="eastAsia" w:ascii="Times New Roman" w:hAnsi="Times New Roman"/>
                <w:sz w:val="24"/>
                <w:szCs w:val="24"/>
                <w:lang w:val="en-US" w:eastAsia="zh-CN"/>
              </w:rPr>
            </w:pPr>
            <w:r>
              <w:rPr>
                <w:rFonts w:hint="eastAsia" w:ascii="Times New Roman" w:hAnsi="Times New Roman"/>
                <w:sz w:val="24"/>
                <w:szCs w:val="24"/>
                <w:lang w:val="en-US" w:eastAsia="zh-CN"/>
              </w:rPr>
              <w:t>1、公司去年出售地产业务形成了巨额的应收款，今年年底就有一笔应收款到期，请问目前这笔款项和利息是否有无法及时收到的风险，如果收到公司有什么计划，是否会用来偿还负债，或者收购免税股权。</w:t>
            </w:r>
            <w:bookmarkStart w:id="0" w:name="_GoBack"/>
            <w:bookmarkEnd w:id="0"/>
          </w:p>
          <w:p w14:paraId="69F73B21">
            <w:pPr>
              <w:adjustRightInd w:val="0"/>
              <w:snapToGrid w:val="0"/>
              <w:spacing w:line="360" w:lineRule="auto"/>
              <w:ind w:firstLine="0" w:firstLineChars="0"/>
              <w:rPr>
                <w:rFonts w:hint="eastAsia" w:ascii="Times New Roman" w:hAnsi="Times New Roman"/>
                <w:sz w:val="24"/>
                <w:szCs w:val="24"/>
                <w:lang w:val="en-US" w:eastAsia="zh-CN"/>
              </w:rPr>
            </w:pPr>
            <w:r>
              <w:rPr>
                <w:rFonts w:hint="eastAsia" w:ascii="Times New Roman" w:hAnsi="Times New Roman"/>
                <w:sz w:val="24"/>
                <w:szCs w:val="24"/>
                <w:lang w:val="en-US" w:eastAsia="zh-CN"/>
              </w:rPr>
              <w:t>答：尊敬的投资者，您好！公司重大资产出售事宜首期款项已全额到账，剩余款项按《重大资产出售协议》约定分期收回。未来资金使用将综合考虑公司整体运营保障、业务发展需求等统筹规划。感谢您对公司的关注！</w:t>
            </w:r>
          </w:p>
          <w:p w14:paraId="120DF015">
            <w:pPr>
              <w:adjustRightInd w:val="0"/>
              <w:snapToGrid w:val="0"/>
              <w:spacing w:line="360" w:lineRule="auto"/>
              <w:ind w:firstLine="0" w:firstLineChars="0"/>
              <w:rPr>
                <w:rFonts w:hint="default" w:ascii="Times New Roman" w:hAnsi="Times New Roman"/>
                <w:sz w:val="24"/>
                <w:szCs w:val="24"/>
                <w:lang w:val="en-US" w:eastAsia="zh-CN"/>
              </w:rPr>
            </w:pPr>
            <w:r>
              <w:rPr>
                <w:rFonts w:hint="eastAsia" w:ascii="Times New Roman" w:hAnsi="Times New Roman"/>
                <w:sz w:val="24"/>
                <w:szCs w:val="24"/>
                <w:lang w:val="en-US" w:eastAsia="zh-CN"/>
              </w:rPr>
              <w:t>2、公司的净资产情况令人揪心，更令人揪心的是公司决策层不作为乱作为。中报中披露公司证券投资了交通银行，并发生了投资亏损，有这个闲钱不想着去降低负债，竟然拿去炒股，这个投资的亏损管理层应当出钱弥补，向股民道歉</w:t>
            </w:r>
          </w:p>
          <w:p w14:paraId="43BD9886">
            <w:pPr>
              <w:adjustRightInd w:val="0"/>
              <w:snapToGrid w:val="0"/>
              <w:spacing w:line="360" w:lineRule="auto"/>
              <w:ind w:firstLine="0" w:firstLineChars="0"/>
              <w:rPr>
                <w:rFonts w:hint="eastAsia" w:ascii="Times New Roman" w:hAnsi="Times New Roman"/>
                <w:sz w:val="24"/>
                <w:szCs w:val="24"/>
                <w:lang w:val="en-US" w:eastAsia="zh-CN"/>
              </w:rPr>
            </w:pPr>
            <w:r>
              <w:rPr>
                <w:rFonts w:hint="eastAsia" w:ascii="Times New Roman" w:hAnsi="Times New Roman"/>
                <w:sz w:val="24"/>
                <w:szCs w:val="24"/>
                <w:lang w:val="en-US" w:eastAsia="zh-CN"/>
              </w:rPr>
              <w:t>答：尊敬的投资者，您好！公司持有的交通银行股权为下属子公司免税公司历史形成的存量股权投资。对于该部分股权投资，公司会持续评估持有价值，审慎做好资产管理。感谢您对公司的关注！</w:t>
            </w:r>
          </w:p>
          <w:p w14:paraId="4B2763DC">
            <w:pPr>
              <w:adjustRightInd w:val="0"/>
              <w:snapToGrid w:val="0"/>
              <w:spacing w:line="360" w:lineRule="auto"/>
              <w:ind w:firstLine="0" w:firstLineChars="0"/>
              <w:rPr>
                <w:rFonts w:hint="eastAsia" w:ascii="Times New Roman" w:hAnsi="Times New Roman"/>
                <w:sz w:val="24"/>
                <w:szCs w:val="24"/>
                <w:lang w:val="en-US" w:eastAsia="zh-CN"/>
              </w:rPr>
            </w:pPr>
            <w:r>
              <w:rPr>
                <w:rFonts w:hint="eastAsia" w:ascii="Times New Roman" w:hAnsi="Times New Roman"/>
                <w:sz w:val="24"/>
                <w:szCs w:val="24"/>
                <w:lang w:val="en-US" w:eastAsia="zh-CN"/>
              </w:rPr>
              <w:t>3、公司业务转型花费了好多年才成功，现在也只是拥有51%的免税股权，负债率年年攀升，利润却要被分走一大部分，辛苦一年给别人赚钱，风险都自己承担了，为什么还不增发收购剩下49%的股权，请明确回答到底有什么阻碍？是不愿意还是不行，不要敷衍。</w:t>
            </w:r>
          </w:p>
          <w:p w14:paraId="7B6A063B">
            <w:pPr>
              <w:adjustRightInd w:val="0"/>
              <w:snapToGrid w:val="0"/>
              <w:spacing w:line="360" w:lineRule="auto"/>
              <w:ind w:firstLine="0" w:firstLineChars="0"/>
              <w:rPr>
                <w:rFonts w:hint="default" w:ascii="Times New Roman" w:hAnsi="Times New Roman"/>
                <w:sz w:val="24"/>
                <w:szCs w:val="24"/>
                <w:lang w:val="en-US" w:eastAsia="zh-CN"/>
              </w:rPr>
            </w:pPr>
            <w:r>
              <w:rPr>
                <w:rFonts w:hint="eastAsia" w:ascii="Times New Roman" w:hAnsi="Times New Roman"/>
                <w:sz w:val="24"/>
                <w:szCs w:val="24"/>
                <w:lang w:val="en-US" w:eastAsia="zh-CN"/>
              </w:rPr>
              <w:t>答：尊敬的投资者，您好！对于珠海免税剩余49%股权，公司将根据战略规划统筹研究考虑。若未来有相关计划，公司将严格按照相关规定及时履行信息披露义务。请以公司公告为准。感谢您对公司的关注！</w:t>
            </w:r>
          </w:p>
          <w:p w14:paraId="2099A225">
            <w:pPr>
              <w:adjustRightInd w:val="0"/>
              <w:snapToGrid w:val="0"/>
              <w:spacing w:line="360" w:lineRule="auto"/>
              <w:ind w:firstLine="0" w:firstLineChars="0"/>
              <w:rPr>
                <w:rFonts w:hint="default" w:ascii="Times New Roman" w:hAnsi="Times New Roman"/>
                <w:sz w:val="24"/>
                <w:szCs w:val="24"/>
                <w:lang w:val="en-US" w:eastAsia="zh-CN"/>
              </w:rPr>
            </w:pPr>
            <w:r>
              <w:rPr>
                <w:rFonts w:hint="eastAsia" w:ascii="Times New Roman" w:hAnsi="Times New Roman"/>
                <w:sz w:val="24"/>
                <w:szCs w:val="24"/>
                <w:lang w:val="en-US" w:eastAsia="zh-CN"/>
              </w:rPr>
              <w:t>4、半年报发布后公司净资产进一步下跌，净资产为负退市的风险越来越大，靠公司的经营来修复资产负债表已经没有说服力了，希望公司管理层和实控人拿出明确的可立即见效的改善资产负债表的方法，并明确在什么情况下立刻触发，是为了散户也是为了国资。</w:t>
            </w:r>
          </w:p>
          <w:p w14:paraId="4C490617">
            <w:pPr>
              <w:adjustRightInd w:val="0"/>
              <w:snapToGrid w:val="0"/>
              <w:spacing w:line="360" w:lineRule="auto"/>
              <w:ind w:firstLine="0" w:firstLineChars="0"/>
              <w:rPr>
                <w:rFonts w:hint="default" w:ascii="Times New Roman" w:hAnsi="Times New Roman"/>
                <w:sz w:val="24"/>
                <w:szCs w:val="24"/>
                <w:lang w:val="en-US" w:eastAsia="zh-CN"/>
              </w:rPr>
            </w:pPr>
            <w:r>
              <w:rPr>
                <w:rFonts w:hint="eastAsia" w:ascii="Times New Roman" w:hAnsi="Times New Roman"/>
                <w:sz w:val="24"/>
                <w:szCs w:val="24"/>
                <w:lang w:val="en-US" w:eastAsia="zh-CN"/>
              </w:rPr>
              <w:t>答：尊敬的投资者，您好！针对归母净资产规模较小的情况，公司将积极采取措施改善经营情况，提升盈利能力，努力增厚归母净资产规模，切实维护全体股东的利益。同时，敬请广大投资者注意投资风险。感谢您的关注！</w:t>
            </w:r>
          </w:p>
          <w:p w14:paraId="54A861F6">
            <w:pPr>
              <w:adjustRightInd w:val="0"/>
              <w:snapToGrid w:val="0"/>
              <w:spacing w:line="360" w:lineRule="auto"/>
              <w:ind w:firstLine="0" w:firstLineChars="0"/>
              <w:rPr>
                <w:rFonts w:hint="eastAsia" w:ascii="Times New Roman" w:hAnsi="Times New Roman"/>
                <w:sz w:val="24"/>
                <w:szCs w:val="24"/>
              </w:rPr>
            </w:pPr>
            <w:r>
              <w:rPr>
                <w:rFonts w:hint="eastAsia" w:ascii="Times New Roman" w:hAnsi="Times New Roman"/>
                <w:sz w:val="24"/>
                <w:szCs w:val="24"/>
                <w:lang w:val="en-US" w:eastAsia="zh-CN"/>
              </w:rPr>
              <w:t>5、</w:t>
            </w:r>
            <w:r>
              <w:rPr>
                <w:rFonts w:hint="eastAsia" w:ascii="Times New Roman" w:hAnsi="Times New Roman"/>
                <w:sz w:val="24"/>
                <w:szCs w:val="24"/>
                <w:lang w:val="en-US"/>
              </w:rPr>
              <w:t>您好，公司多次对外提及市值管理，但是股价从前董事长高点18.10元</w:t>
            </w:r>
            <w:r>
              <w:rPr>
                <w:rFonts w:hint="eastAsia" w:ascii="Times New Roman" w:hAnsi="Times New Roman"/>
                <w:sz w:val="24"/>
                <w:szCs w:val="24"/>
                <w:lang w:val="en-US" w:eastAsia="zh-CN"/>
              </w:rPr>
              <w:t>、</w:t>
            </w:r>
            <w:r>
              <w:rPr>
                <w:rFonts w:hint="eastAsia" w:ascii="Times New Roman" w:hAnsi="Times New Roman"/>
                <w:sz w:val="24"/>
                <w:szCs w:val="24"/>
                <w:lang w:val="en-US"/>
              </w:rPr>
              <w:t>13.8元持续下行到4.25元，大量中小投资者出现较大亏损。请问：</w:t>
            </w:r>
            <w:r>
              <w:rPr>
                <w:rFonts w:hint="eastAsia" w:ascii="Times New Roman" w:hAnsi="Times New Roman"/>
                <w:sz w:val="24"/>
                <w:szCs w:val="24"/>
                <w:lang w:val="en-US" w:eastAsia="zh-CN"/>
              </w:rPr>
              <w:t>（1）</w:t>
            </w:r>
            <w:r>
              <w:rPr>
                <w:rFonts w:hint="eastAsia" w:ascii="Times New Roman" w:hAnsi="Times New Roman"/>
                <w:sz w:val="24"/>
                <w:szCs w:val="24"/>
                <w:lang w:val="en-US"/>
              </w:rPr>
              <w:t>公司的市值管理制度，目前落地执行了哪些实质动作？不要只讲聚焦主业，能否列举具体的行动？</w:t>
            </w:r>
            <w:r>
              <w:rPr>
                <w:rFonts w:hint="eastAsia" w:ascii="Times New Roman" w:hAnsi="Times New Roman"/>
                <w:sz w:val="24"/>
                <w:szCs w:val="24"/>
                <w:lang w:val="en-US" w:eastAsia="zh-CN"/>
              </w:rPr>
              <w:t>（2）</w:t>
            </w:r>
            <w:r>
              <w:rPr>
                <w:rFonts w:hint="eastAsia" w:ascii="Times New Roman" w:hAnsi="Times New Roman"/>
                <w:sz w:val="24"/>
                <w:szCs w:val="24"/>
                <w:lang w:val="en-US"/>
              </w:rPr>
              <w:t>在股价持续低迷的情况下，董事会是否评估过股份回购、大股东增持等维稳工具？什么条件下会启动？</w:t>
            </w:r>
            <w:r>
              <w:rPr>
                <w:rFonts w:hint="eastAsia" w:ascii="Times New Roman" w:hAnsi="Times New Roman"/>
                <w:sz w:val="24"/>
                <w:szCs w:val="24"/>
                <w:lang w:val="en-US" w:eastAsia="zh-CN"/>
              </w:rPr>
              <w:t>（3）</w:t>
            </w:r>
            <w:r>
              <w:rPr>
                <w:rFonts w:hint="eastAsia" w:ascii="Times New Roman" w:hAnsi="Times New Roman"/>
                <w:sz w:val="24"/>
                <w:szCs w:val="24"/>
                <w:lang w:val="en-US"/>
              </w:rPr>
              <w:t>随着上层控股股东即将变更，实控人是否会对上市公司市值管理、股东回报提出新的要求？</w:t>
            </w:r>
            <w:r>
              <w:rPr>
                <w:rFonts w:hint="eastAsia" w:ascii="Times New Roman" w:hAnsi="Times New Roman"/>
                <w:sz w:val="24"/>
                <w:szCs w:val="24"/>
                <w:lang w:val="en-US" w:eastAsia="zh-CN"/>
              </w:rPr>
              <w:t>（4）</w:t>
            </w:r>
            <w:r>
              <w:rPr>
                <w:rFonts w:hint="eastAsia" w:ascii="Times New Roman" w:hAnsi="Times New Roman"/>
                <w:sz w:val="24"/>
                <w:szCs w:val="24"/>
                <w:lang w:val="en-US"/>
              </w:rPr>
              <w:t>证监会近期强调要增强投资者回报的持续性、及时性、可预期性，公司在分红、股东回报方面，有没有明确的规划？</w:t>
            </w:r>
          </w:p>
          <w:p w14:paraId="44050193">
            <w:pPr>
              <w:adjustRightInd w:val="0"/>
              <w:snapToGrid w:val="0"/>
              <w:spacing w:line="360" w:lineRule="auto"/>
              <w:ind w:firstLine="0" w:firstLineChars="0"/>
              <w:rPr>
                <w:rFonts w:hint="eastAsia" w:ascii="Times New Roman" w:hAnsi="Times New Roman"/>
                <w:sz w:val="24"/>
                <w:szCs w:val="24"/>
                <w:lang w:val="en-US"/>
              </w:rPr>
            </w:pPr>
            <w:r>
              <w:rPr>
                <w:rFonts w:hint="eastAsia" w:ascii="Times New Roman" w:hAnsi="Times New Roman"/>
                <w:sz w:val="24"/>
                <w:szCs w:val="24"/>
                <w:lang w:val="en-US"/>
              </w:rPr>
              <w:t>答</w:t>
            </w:r>
            <w:r>
              <w:rPr>
                <w:rFonts w:hint="eastAsia" w:ascii="Times New Roman" w:hAnsi="Times New Roman"/>
                <w:sz w:val="24"/>
                <w:szCs w:val="24"/>
                <w:lang w:val="en-US" w:eastAsia="zh-CN"/>
              </w:rPr>
              <w:t>：</w:t>
            </w:r>
            <w:r>
              <w:rPr>
                <w:rFonts w:hint="eastAsia" w:ascii="Times New Roman" w:hAnsi="Times New Roman"/>
                <w:sz w:val="24"/>
                <w:szCs w:val="24"/>
                <w:lang w:val="en-US"/>
              </w:rPr>
              <w:t>尊敬的投资者，您好！上市公司的股价波动受到宏观经济、市场情绪、行业政策等多重因素影响，具有不确定性。公司高度重视市值管理和投资者回报，已制定《市值管理制度》并持续落实《提质增效重回报行动方案》。公司始终坚持以提升内在价值为核心，提升公司长期投资价值。目前公司已完成去地产化，聚焦免税主业，全面升级免税场景、优化商品结构、推进数智赋能，同时优化债务结构，夯实经营根基。本次间接控股股东的变更，不会导致公司直接控股股东和实控人发生变化。未来公司将继续深入落实中国证监会关于推动上市公司提升投资价值的相关要求，持续提升主业经营质量和盈利能力，以扎实的基本面支撑公司长期价值。未来，公司将结合实际情况，统筹运用分红、回购、股权激励等工具，依法合规推动公司长期投资价值提升。若有具体计划，公司将严格按照信息披露规则及时公告。感谢您对公司的关注！</w:t>
            </w:r>
          </w:p>
          <w:p w14:paraId="45A54FA0">
            <w:pPr>
              <w:adjustRightInd w:val="0"/>
              <w:snapToGrid w:val="0"/>
              <w:spacing w:line="360" w:lineRule="auto"/>
              <w:ind w:firstLine="0" w:firstLineChars="0"/>
              <w:rPr>
                <w:rFonts w:hint="eastAsia" w:ascii="Times New Roman" w:hAnsi="Times New Roman"/>
                <w:sz w:val="24"/>
                <w:szCs w:val="24"/>
              </w:rPr>
            </w:pPr>
            <w:r>
              <w:rPr>
                <w:rFonts w:hint="eastAsia" w:ascii="Times New Roman" w:hAnsi="Times New Roman"/>
                <w:sz w:val="24"/>
                <w:szCs w:val="24"/>
                <w:lang w:val="en-US" w:eastAsia="zh-CN"/>
              </w:rPr>
              <w:t>6</w:t>
            </w:r>
            <w:r>
              <w:rPr>
                <w:rFonts w:hint="eastAsia" w:ascii="Times New Roman" w:hAnsi="Times New Roman"/>
                <w:sz w:val="24"/>
                <w:szCs w:val="24"/>
                <w:lang w:val="en-US"/>
              </w:rPr>
              <w:t>、您好，作为公司中小股东，关注到证监会最新表态，要求上市公司强化投资者回报，增强分红的持续性与可预期性。请问：</w:t>
            </w:r>
            <w:r>
              <w:rPr>
                <w:rFonts w:hint="eastAsia" w:ascii="Times New Roman" w:hAnsi="Times New Roman"/>
                <w:sz w:val="24"/>
                <w:szCs w:val="24"/>
                <w:lang w:val="en-US" w:eastAsia="zh-CN"/>
              </w:rPr>
              <w:t>（1）</w:t>
            </w:r>
            <w:r>
              <w:rPr>
                <w:rFonts w:hint="eastAsia" w:ascii="Times New Roman" w:hAnsi="Times New Roman"/>
                <w:sz w:val="24"/>
                <w:szCs w:val="24"/>
                <w:lang w:val="en-US"/>
              </w:rPr>
              <w:t>公司未来股东回报规划，在什么条件下会启动现金分红？</w:t>
            </w:r>
            <w:r>
              <w:rPr>
                <w:rFonts w:hint="eastAsia" w:ascii="Times New Roman" w:hAnsi="Times New Roman"/>
                <w:sz w:val="24"/>
                <w:szCs w:val="24"/>
                <w:lang w:val="en-US" w:eastAsia="zh-CN"/>
              </w:rPr>
              <w:t>（2）</w:t>
            </w:r>
            <w:r>
              <w:rPr>
                <w:rFonts w:hint="eastAsia" w:ascii="Times New Roman" w:hAnsi="Times New Roman"/>
                <w:sz w:val="24"/>
                <w:szCs w:val="24"/>
                <w:lang w:val="en-US"/>
              </w:rPr>
              <w:t>若后续年度实现盈利，是否会优先考虑现金分红回馈广大中小股东？</w:t>
            </w:r>
            <w:r>
              <w:rPr>
                <w:rFonts w:hint="eastAsia" w:ascii="Times New Roman" w:hAnsi="Times New Roman"/>
                <w:sz w:val="24"/>
                <w:szCs w:val="24"/>
                <w:lang w:val="en-US" w:eastAsia="zh-CN"/>
              </w:rPr>
              <w:t>（3）</w:t>
            </w:r>
            <w:r>
              <w:rPr>
                <w:rFonts w:hint="eastAsia" w:ascii="Times New Roman" w:hAnsi="Times New Roman"/>
                <w:sz w:val="24"/>
                <w:szCs w:val="24"/>
                <w:lang w:val="en-US"/>
              </w:rPr>
              <w:t>对于多年未现金分红，公司管理层有什么具体安排？</w:t>
            </w:r>
          </w:p>
          <w:p w14:paraId="5973FBED">
            <w:pPr>
              <w:adjustRightInd w:val="0"/>
              <w:snapToGrid w:val="0"/>
              <w:spacing w:line="360" w:lineRule="auto"/>
              <w:ind w:firstLine="0" w:firstLineChars="0"/>
              <w:rPr>
                <w:rFonts w:hint="eastAsia" w:ascii="Times New Roman" w:hAnsi="Times New Roman"/>
                <w:sz w:val="24"/>
                <w:szCs w:val="24"/>
                <w:lang w:val="en-US"/>
              </w:rPr>
            </w:pPr>
            <w:r>
              <w:rPr>
                <w:rFonts w:hint="eastAsia" w:ascii="Times New Roman" w:hAnsi="Times New Roman"/>
                <w:sz w:val="24"/>
                <w:szCs w:val="24"/>
                <w:lang w:val="en-US"/>
              </w:rPr>
              <w:t>答</w:t>
            </w:r>
            <w:r>
              <w:rPr>
                <w:rFonts w:hint="eastAsia" w:ascii="Times New Roman" w:hAnsi="Times New Roman"/>
                <w:sz w:val="24"/>
                <w:szCs w:val="24"/>
                <w:lang w:val="en-US" w:eastAsia="zh-CN"/>
              </w:rPr>
              <w:t>：</w:t>
            </w:r>
            <w:r>
              <w:rPr>
                <w:rFonts w:hint="eastAsia" w:ascii="Times New Roman" w:hAnsi="Times New Roman"/>
                <w:sz w:val="24"/>
                <w:szCs w:val="24"/>
                <w:lang w:val="en-US"/>
              </w:rPr>
              <w:t>投资者您好，根据《公司法》</w:t>
            </w:r>
            <w:r>
              <w:rPr>
                <w:rFonts w:hint="eastAsia" w:ascii="Times New Roman" w:hAnsi="Times New Roman"/>
                <w:sz w:val="24"/>
                <w:szCs w:val="24"/>
                <w:lang w:val="en-US" w:eastAsia="zh-CN"/>
              </w:rPr>
              <w:t>、</w:t>
            </w:r>
            <w:r>
              <w:rPr>
                <w:rFonts w:hint="eastAsia" w:ascii="Times New Roman" w:hAnsi="Times New Roman"/>
                <w:sz w:val="24"/>
                <w:szCs w:val="24"/>
                <w:lang w:val="en-US"/>
              </w:rPr>
              <w:t>公司《章程》《未来三年股东回报规划（2024-2026年）》等相关规定，鉴于公司2025年度净利润为负值，综合考虑公司当前经营业绩状况，并结合公司未来可持续发展的资金需求，为保障公司正常生产经营和长远发展，更好地维护全体股东的整体利益，公司2025年度拟不进行利润分配，也不以公积金转增股本。公司管理层将全力以赴推动经营改善，力争尽快恢复盈利能力，为后续恢复分红创造条件。具体进展请以公司公告为准。感谢您的关注。</w:t>
            </w:r>
          </w:p>
          <w:p w14:paraId="47582262">
            <w:pPr>
              <w:adjustRightInd w:val="0"/>
              <w:snapToGrid w:val="0"/>
              <w:spacing w:line="360" w:lineRule="auto"/>
              <w:ind w:firstLine="0" w:firstLineChars="0"/>
              <w:rPr>
                <w:rFonts w:hint="eastAsia" w:ascii="Times New Roman" w:hAnsi="Times New Roman"/>
                <w:sz w:val="24"/>
                <w:szCs w:val="24"/>
              </w:rPr>
            </w:pPr>
            <w:r>
              <w:rPr>
                <w:rFonts w:hint="eastAsia" w:ascii="Times New Roman" w:hAnsi="Times New Roman"/>
                <w:sz w:val="24"/>
                <w:szCs w:val="24"/>
                <w:lang w:val="en-US" w:eastAsia="zh-CN"/>
              </w:rPr>
              <w:t>7</w:t>
            </w:r>
            <w:r>
              <w:rPr>
                <w:rFonts w:hint="eastAsia" w:ascii="Times New Roman" w:hAnsi="Times New Roman"/>
                <w:sz w:val="24"/>
                <w:szCs w:val="24"/>
                <w:lang w:val="en-US"/>
              </w:rPr>
              <w:t>、董事长好，免税重组经历了7年，还是只有百分之51</w:t>
            </w:r>
            <w:r>
              <w:rPr>
                <w:rFonts w:hint="eastAsia" w:ascii="Times New Roman" w:hAnsi="Times New Roman"/>
                <w:sz w:val="24"/>
                <w:szCs w:val="24"/>
                <w:lang w:val="en-US" w:eastAsia="zh-CN"/>
              </w:rPr>
              <w:t>。</w:t>
            </w:r>
            <w:r>
              <w:rPr>
                <w:rFonts w:hint="eastAsia" w:ascii="Times New Roman" w:hAnsi="Times New Roman"/>
                <w:sz w:val="24"/>
                <w:szCs w:val="24"/>
                <w:lang w:val="en-US"/>
              </w:rPr>
              <w:t>请问管理层还需要多少年，才可以</w:t>
            </w:r>
            <w:r>
              <w:rPr>
                <w:rFonts w:hint="eastAsia" w:ascii="Times New Roman" w:hAnsi="Times New Roman"/>
                <w:sz w:val="24"/>
                <w:szCs w:val="24"/>
                <w:lang w:val="en-US" w:eastAsia="zh-CN"/>
              </w:rPr>
              <w:t>实现</w:t>
            </w:r>
            <w:r>
              <w:rPr>
                <w:rFonts w:hint="eastAsia" w:ascii="Times New Roman" w:hAnsi="Times New Roman"/>
                <w:sz w:val="24"/>
                <w:szCs w:val="24"/>
                <w:lang w:val="en-US"/>
              </w:rPr>
              <w:t>免税百分百完成。包括海南三亚湾离岛免税牌照。今年中标的免税店，是否在三季度完成开业。</w:t>
            </w:r>
          </w:p>
          <w:p w14:paraId="001C32E2">
            <w:pPr>
              <w:adjustRightInd w:val="0"/>
              <w:snapToGrid w:val="0"/>
              <w:spacing w:line="360" w:lineRule="auto"/>
              <w:ind w:left="0" w:leftChars="0" w:firstLine="0" w:firstLineChars="0"/>
              <w:rPr>
                <w:rFonts w:ascii="Times New Roman" w:hAnsi="Times New Roman"/>
                <w:sz w:val="24"/>
                <w:szCs w:val="24"/>
                <w:lang w:bidi="ar"/>
              </w:rPr>
            </w:pPr>
            <w:r>
              <w:rPr>
                <w:rFonts w:hint="eastAsia" w:ascii="Times New Roman" w:hAnsi="Times New Roman"/>
                <w:sz w:val="24"/>
                <w:szCs w:val="24"/>
                <w:lang w:val="en-US"/>
              </w:rPr>
              <w:t>答</w:t>
            </w:r>
            <w:r>
              <w:rPr>
                <w:rFonts w:hint="eastAsia" w:ascii="Times New Roman" w:hAnsi="Times New Roman"/>
                <w:sz w:val="24"/>
                <w:szCs w:val="24"/>
                <w:lang w:val="en-US" w:eastAsia="zh-CN"/>
              </w:rPr>
              <w:t>：</w:t>
            </w:r>
            <w:r>
              <w:rPr>
                <w:rFonts w:hint="eastAsia" w:ascii="Times New Roman" w:hAnsi="Times New Roman"/>
                <w:sz w:val="24"/>
                <w:szCs w:val="24"/>
                <w:lang w:val="en-US"/>
              </w:rPr>
              <w:t>尊敬的投资者，您好！对于珠海免税剩余49%股权，公司将根据战略规划统筹研究和考虑。公司以三亚湾壹号项目为重要依托，于年初设立</w:t>
            </w:r>
            <w:r>
              <w:rPr>
                <w:rFonts w:hint="eastAsia" w:ascii="Times New Roman" w:hAnsi="Times New Roman"/>
                <w:sz w:val="24"/>
                <w:szCs w:val="24"/>
                <w:lang w:val="en-US" w:eastAsia="zh-CN"/>
              </w:rPr>
              <w:t>离岛免税牌照</w:t>
            </w:r>
            <w:r>
              <w:rPr>
                <w:rFonts w:hint="eastAsia" w:ascii="Times New Roman" w:hAnsi="Times New Roman"/>
                <w:sz w:val="24"/>
                <w:szCs w:val="24"/>
                <w:lang w:val="en-US"/>
              </w:rPr>
              <w:t>申请工作专班，系统性统筹推进申报材料完善、省级部门沟通及后续门店规划及供应链前置筹备等系列工作。对于今年新中标门店，公司正积极推进各新店的装修、人员招聘、商品备货等开业筹备工作，将根据各口岸的实际情况分批开业。若未来有相关进展，公司将严格按照相关规定及时履行信息披露义务。</w:t>
            </w:r>
          </w:p>
        </w:tc>
      </w:tr>
      <w:tr w14:paraId="53F80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3" w:type="dxa"/>
            <w:tcBorders>
              <w:top w:val="single" w:color="auto" w:sz="4" w:space="0"/>
              <w:left w:val="single" w:color="auto" w:sz="4" w:space="0"/>
              <w:bottom w:val="single" w:color="auto" w:sz="4" w:space="0"/>
              <w:right w:val="single" w:color="auto" w:sz="4" w:space="0"/>
            </w:tcBorders>
            <w:vAlign w:val="center"/>
          </w:tcPr>
          <w:p w14:paraId="37F3AEF1">
            <w:pPr>
              <w:spacing w:line="420" w:lineRule="exact"/>
              <w:rPr>
                <w:rFonts w:hAnsi="宋体"/>
                <w:bCs/>
                <w:iCs/>
                <w:color w:val="000000"/>
                <w:kern w:val="0"/>
                <w:sz w:val="24"/>
              </w:rPr>
            </w:pPr>
            <w:r>
              <w:rPr>
                <w:rFonts w:hint="eastAsia" w:hAnsi="宋体"/>
                <w:bCs/>
                <w:iCs/>
                <w:color w:val="000000"/>
                <w:kern w:val="0"/>
                <w:sz w:val="24"/>
              </w:rPr>
              <w:t>是否涉及应当披露重大信息</w:t>
            </w:r>
          </w:p>
        </w:tc>
        <w:tc>
          <w:tcPr>
            <w:tcW w:w="6607" w:type="dxa"/>
            <w:tcBorders>
              <w:top w:val="single" w:color="auto" w:sz="4" w:space="0"/>
              <w:left w:val="single" w:color="auto" w:sz="4" w:space="0"/>
              <w:bottom w:val="single" w:color="auto" w:sz="4" w:space="0"/>
              <w:right w:val="single" w:color="auto" w:sz="4" w:space="0"/>
            </w:tcBorders>
            <w:vAlign w:val="center"/>
          </w:tcPr>
          <w:p w14:paraId="3C9ED9C6">
            <w:pPr>
              <w:spacing w:line="420" w:lineRule="exact"/>
              <w:rPr>
                <w:bCs/>
                <w:iCs/>
                <w:color w:val="000000"/>
                <w:sz w:val="24"/>
              </w:rPr>
            </w:pPr>
            <w:r>
              <w:rPr>
                <w:rFonts w:hint="eastAsia"/>
                <w:bCs/>
                <w:iCs/>
                <w:color w:val="000000"/>
                <w:sz w:val="24"/>
              </w:rPr>
              <w:t>否</w:t>
            </w:r>
          </w:p>
        </w:tc>
      </w:tr>
      <w:tr w14:paraId="21E5B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3" w:type="dxa"/>
            <w:tcBorders>
              <w:top w:val="single" w:color="auto" w:sz="4" w:space="0"/>
              <w:left w:val="single" w:color="auto" w:sz="4" w:space="0"/>
              <w:bottom w:val="single" w:color="auto" w:sz="4" w:space="0"/>
              <w:right w:val="single" w:color="auto" w:sz="4" w:space="0"/>
            </w:tcBorders>
            <w:vAlign w:val="center"/>
          </w:tcPr>
          <w:p w14:paraId="574F9FD4">
            <w:pPr>
              <w:spacing w:line="420" w:lineRule="exact"/>
              <w:rPr>
                <w:bCs/>
                <w:iCs/>
                <w:color w:val="000000"/>
                <w:kern w:val="0"/>
                <w:sz w:val="24"/>
              </w:rPr>
            </w:pPr>
            <w:r>
              <w:rPr>
                <w:rFonts w:hAnsi="宋体"/>
                <w:bCs/>
                <w:iCs/>
                <w:color w:val="000000"/>
                <w:kern w:val="0"/>
                <w:sz w:val="24"/>
              </w:rPr>
              <w:t>附件清单</w:t>
            </w:r>
            <w:r>
              <w:rPr>
                <w:rFonts w:hAnsi="宋体"/>
                <w:bCs/>
                <w:iCs/>
                <w:color w:val="000000"/>
                <w:kern w:val="0"/>
                <w:sz w:val="24"/>
              </w:rPr>
              <w:br w:type="textWrapping"/>
            </w:r>
            <w:r>
              <w:rPr>
                <w:rFonts w:hAnsi="宋体"/>
                <w:bCs/>
                <w:iCs/>
                <w:color w:val="000000"/>
                <w:kern w:val="0"/>
                <w:sz w:val="24"/>
              </w:rPr>
              <w:t>（如有）</w:t>
            </w:r>
          </w:p>
        </w:tc>
        <w:tc>
          <w:tcPr>
            <w:tcW w:w="6607" w:type="dxa"/>
            <w:tcBorders>
              <w:top w:val="single" w:color="auto" w:sz="4" w:space="0"/>
              <w:left w:val="single" w:color="auto" w:sz="4" w:space="0"/>
              <w:bottom w:val="single" w:color="auto" w:sz="4" w:space="0"/>
              <w:right w:val="single" w:color="auto" w:sz="4" w:space="0"/>
            </w:tcBorders>
            <w:vAlign w:val="center"/>
          </w:tcPr>
          <w:p w14:paraId="7F73A870">
            <w:pPr>
              <w:spacing w:line="420" w:lineRule="exact"/>
              <w:rPr>
                <w:bCs/>
                <w:iCs/>
                <w:color w:val="000000"/>
                <w:sz w:val="24"/>
              </w:rPr>
            </w:pPr>
            <w:r>
              <w:rPr>
                <w:rFonts w:hint="eastAsia"/>
                <w:bCs/>
                <w:iCs/>
                <w:color w:val="000000"/>
                <w:sz w:val="24"/>
              </w:rPr>
              <w:t>无</w:t>
            </w:r>
          </w:p>
        </w:tc>
      </w:tr>
      <w:tr w14:paraId="507AB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3" w:type="dxa"/>
            <w:tcBorders>
              <w:top w:val="single" w:color="auto" w:sz="4" w:space="0"/>
              <w:left w:val="single" w:color="auto" w:sz="4" w:space="0"/>
              <w:bottom w:val="single" w:color="auto" w:sz="4" w:space="0"/>
              <w:right w:val="single" w:color="auto" w:sz="4" w:space="0"/>
            </w:tcBorders>
            <w:vAlign w:val="center"/>
          </w:tcPr>
          <w:p w14:paraId="5DC26C95">
            <w:pPr>
              <w:spacing w:line="420" w:lineRule="exact"/>
              <w:rPr>
                <w:bCs/>
                <w:iCs/>
                <w:color w:val="000000"/>
                <w:kern w:val="0"/>
                <w:sz w:val="24"/>
              </w:rPr>
            </w:pPr>
            <w:r>
              <w:rPr>
                <w:rFonts w:hAnsi="宋体"/>
                <w:bCs/>
                <w:iCs/>
                <w:color w:val="000000"/>
                <w:kern w:val="0"/>
                <w:sz w:val="24"/>
              </w:rPr>
              <w:t>日期</w:t>
            </w:r>
          </w:p>
        </w:tc>
        <w:tc>
          <w:tcPr>
            <w:tcW w:w="6607" w:type="dxa"/>
            <w:tcBorders>
              <w:top w:val="single" w:color="auto" w:sz="4" w:space="0"/>
              <w:left w:val="single" w:color="auto" w:sz="4" w:space="0"/>
              <w:bottom w:val="single" w:color="auto" w:sz="4" w:space="0"/>
              <w:right w:val="single" w:color="auto" w:sz="4" w:space="0"/>
            </w:tcBorders>
          </w:tcPr>
          <w:p w14:paraId="324FDC54">
            <w:pPr>
              <w:spacing w:line="420" w:lineRule="exact"/>
              <w:rPr>
                <w:bCs/>
                <w:iCs/>
                <w:color w:val="000000"/>
                <w:sz w:val="24"/>
              </w:rPr>
            </w:pPr>
            <w:r>
              <w:rPr>
                <w:bCs/>
                <w:iCs/>
                <w:color w:val="000000"/>
                <w:sz w:val="24"/>
              </w:rPr>
              <w:t>202</w:t>
            </w:r>
            <w:r>
              <w:rPr>
                <w:rFonts w:hint="eastAsia"/>
                <w:bCs/>
                <w:iCs/>
                <w:color w:val="000000"/>
                <w:sz w:val="24"/>
              </w:rPr>
              <w:t>6年</w:t>
            </w:r>
            <w:r>
              <w:rPr>
                <w:rFonts w:hint="eastAsia"/>
                <w:bCs/>
                <w:iCs/>
                <w:color w:val="000000"/>
                <w:sz w:val="24"/>
                <w:lang w:val="en-US" w:eastAsia="zh-CN"/>
              </w:rPr>
              <w:t>9</w:t>
            </w:r>
            <w:r>
              <w:rPr>
                <w:rFonts w:hint="eastAsia"/>
                <w:bCs/>
                <w:iCs/>
                <w:color w:val="000000"/>
                <w:sz w:val="24"/>
              </w:rPr>
              <w:t>月</w:t>
            </w:r>
            <w:r>
              <w:rPr>
                <w:rFonts w:hint="eastAsia"/>
                <w:bCs/>
                <w:iCs/>
                <w:color w:val="000000"/>
                <w:sz w:val="24"/>
                <w:lang w:val="en-US" w:eastAsia="zh-CN"/>
              </w:rPr>
              <w:t>1</w:t>
            </w:r>
            <w:r>
              <w:rPr>
                <w:rFonts w:hint="eastAsia"/>
                <w:bCs/>
                <w:iCs/>
                <w:color w:val="000000"/>
                <w:sz w:val="24"/>
              </w:rPr>
              <w:t>1日</w:t>
            </w:r>
          </w:p>
        </w:tc>
      </w:tr>
    </w:tbl>
    <w:p w14:paraId="746D8248"/>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6EE301">
    <w:pPr>
      <w:pStyle w:val="4"/>
      <w:jc w:val="right"/>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DBAA8E">
    <w:pPr>
      <w:pStyle w:val="5"/>
      <w:pBdr>
        <w:bottom w:val="single" w:color="auto" w:sz="4" w:space="0"/>
      </w:pBdr>
      <w:jc w:val="left"/>
    </w:pPr>
    <w:r>
      <w:rPr>
        <w:rFonts w:hint="eastAsia"/>
      </w:rPr>
      <w:drawing>
        <wp:anchor distT="0" distB="0" distL="114300" distR="114300" simplePos="0" relativeHeight="251659264" behindDoc="0" locked="0" layoutInCell="1" allowOverlap="1">
          <wp:simplePos x="0" y="0"/>
          <wp:positionH relativeFrom="column">
            <wp:posOffset>14605</wp:posOffset>
          </wp:positionH>
          <wp:positionV relativeFrom="paragraph">
            <wp:posOffset>-197485</wp:posOffset>
          </wp:positionV>
          <wp:extent cx="1196340" cy="325755"/>
          <wp:effectExtent l="0" t="0" r="0" b="17145"/>
          <wp:wrapNone/>
          <wp:docPr id="3" name="图片 2069441879" descr="6014f5e0941f35b1e8572e3527c5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069441879" descr="6014f5e0941f35b1e8572e3527c5117"/>
                  <pic:cNvPicPr>
                    <a:picLocks noChangeAspect="1"/>
                  </pic:cNvPicPr>
                </pic:nvPicPr>
                <pic:blipFill>
                  <a:blip r:embed="rId1"/>
                  <a:srcRect l="6081" t="30446" r="3368" b="28036"/>
                  <a:stretch>
                    <a:fillRect/>
                  </a:stretch>
                </pic:blipFill>
                <pic:spPr>
                  <a:xfrm>
                    <a:off x="0" y="0"/>
                    <a:ext cx="1196340" cy="325755"/>
                  </a:xfrm>
                  <a:prstGeom prst="rect">
                    <a:avLst/>
                  </a:prstGeom>
                  <a:noFill/>
                  <a:ln>
                    <a:noFill/>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61C7"/>
    <w:rsid w:val="000008C2"/>
    <w:rsid w:val="000268C0"/>
    <w:rsid w:val="000363B5"/>
    <w:rsid w:val="000375D7"/>
    <w:rsid w:val="00043015"/>
    <w:rsid w:val="00046DDE"/>
    <w:rsid w:val="00047EB9"/>
    <w:rsid w:val="0005072C"/>
    <w:rsid w:val="00060A74"/>
    <w:rsid w:val="00065F93"/>
    <w:rsid w:val="00067110"/>
    <w:rsid w:val="00087D45"/>
    <w:rsid w:val="0009298A"/>
    <w:rsid w:val="000A2808"/>
    <w:rsid w:val="000A3BAC"/>
    <w:rsid w:val="000C0980"/>
    <w:rsid w:val="000C0F1B"/>
    <w:rsid w:val="000C26FD"/>
    <w:rsid w:val="000C2D85"/>
    <w:rsid w:val="000E5700"/>
    <w:rsid w:val="000F0C4B"/>
    <w:rsid w:val="000F0E22"/>
    <w:rsid w:val="00105A04"/>
    <w:rsid w:val="001139BC"/>
    <w:rsid w:val="001169A9"/>
    <w:rsid w:val="00125EB2"/>
    <w:rsid w:val="00142A4C"/>
    <w:rsid w:val="00142CCE"/>
    <w:rsid w:val="00144279"/>
    <w:rsid w:val="001452FF"/>
    <w:rsid w:val="0016617A"/>
    <w:rsid w:val="00167E99"/>
    <w:rsid w:val="001975AB"/>
    <w:rsid w:val="001A00F5"/>
    <w:rsid w:val="001A1F65"/>
    <w:rsid w:val="001A5CE9"/>
    <w:rsid w:val="001C50AD"/>
    <w:rsid w:val="001D22EE"/>
    <w:rsid w:val="001D3DB8"/>
    <w:rsid w:val="001D4C89"/>
    <w:rsid w:val="001D749D"/>
    <w:rsid w:val="001D7A2A"/>
    <w:rsid w:val="001E1838"/>
    <w:rsid w:val="001E3145"/>
    <w:rsid w:val="001E5685"/>
    <w:rsid w:val="001E6509"/>
    <w:rsid w:val="001E7968"/>
    <w:rsid w:val="0022180A"/>
    <w:rsid w:val="00223ABC"/>
    <w:rsid w:val="002241B9"/>
    <w:rsid w:val="002274D9"/>
    <w:rsid w:val="0023455A"/>
    <w:rsid w:val="00237994"/>
    <w:rsid w:val="00251D58"/>
    <w:rsid w:val="002530EE"/>
    <w:rsid w:val="002549E6"/>
    <w:rsid w:val="00256602"/>
    <w:rsid w:val="00256621"/>
    <w:rsid w:val="00271C8D"/>
    <w:rsid w:val="00273B53"/>
    <w:rsid w:val="0028080C"/>
    <w:rsid w:val="00295257"/>
    <w:rsid w:val="00297703"/>
    <w:rsid w:val="002A0826"/>
    <w:rsid w:val="002A0984"/>
    <w:rsid w:val="002A589B"/>
    <w:rsid w:val="002B1184"/>
    <w:rsid w:val="002B365D"/>
    <w:rsid w:val="002B71B8"/>
    <w:rsid w:val="002B7469"/>
    <w:rsid w:val="002C22C6"/>
    <w:rsid w:val="002C6568"/>
    <w:rsid w:val="002C723B"/>
    <w:rsid w:val="002D39BC"/>
    <w:rsid w:val="002E1B15"/>
    <w:rsid w:val="002E1D3A"/>
    <w:rsid w:val="003005F0"/>
    <w:rsid w:val="003030BF"/>
    <w:rsid w:val="00304F89"/>
    <w:rsid w:val="00306023"/>
    <w:rsid w:val="00327D5D"/>
    <w:rsid w:val="0033570C"/>
    <w:rsid w:val="00344914"/>
    <w:rsid w:val="00346917"/>
    <w:rsid w:val="00354A7B"/>
    <w:rsid w:val="00360FDA"/>
    <w:rsid w:val="00363075"/>
    <w:rsid w:val="00367D18"/>
    <w:rsid w:val="00372A1C"/>
    <w:rsid w:val="0037435A"/>
    <w:rsid w:val="00377D8F"/>
    <w:rsid w:val="00383679"/>
    <w:rsid w:val="003A1E68"/>
    <w:rsid w:val="003B0122"/>
    <w:rsid w:val="003B0BE5"/>
    <w:rsid w:val="003D18F1"/>
    <w:rsid w:val="003E001E"/>
    <w:rsid w:val="003F1AE2"/>
    <w:rsid w:val="003F7C4D"/>
    <w:rsid w:val="0040075F"/>
    <w:rsid w:val="00403300"/>
    <w:rsid w:val="004118C0"/>
    <w:rsid w:val="00417A31"/>
    <w:rsid w:val="0042004B"/>
    <w:rsid w:val="004267FD"/>
    <w:rsid w:val="00433384"/>
    <w:rsid w:val="0043777D"/>
    <w:rsid w:val="0044138C"/>
    <w:rsid w:val="00454C77"/>
    <w:rsid w:val="0045767F"/>
    <w:rsid w:val="00463E9B"/>
    <w:rsid w:val="00467414"/>
    <w:rsid w:val="00473F30"/>
    <w:rsid w:val="00484992"/>
    <w:rsid w:val="0048591A"/>
    <w:rsid w:val="00486D86"/>
    <w:rsid w:val="0048721A"/>
    <w:rsid w:val="0048768F"/>
    <w:rsid w:val="004A0BD5"/>
    <w:rsid w:val="004A1BBF"/>
    <w:rsid w:val="004A73E5"/>
    <w:rsid w:val="004C19BF"/>
    <w:rsid w:val="004D4F77"/>
    <w:rsid w:val="004D7640"/>
    <w:rsid w:val="004E1A9B"/>
    <w:rsid w:val="00500AB6"/>
    <w:rsid w:val="005155FB"/>
    <w:rsid w:val="00523907"/>
    <w:rsid w:val="00537C53"/>
    <w:rsid w:val="005438F5"/>
    <w:rsid w:val="00544901"/>
    <w:rsid w:val="005474D3"/>
    <w:rsid w:val="00550737"/>
    <w:rsid w:val="00555DD2"/>
    <w:rsid w:val="00565ED9"/>
    <w:rsid w:val="00572055"/>
    <w:rsid w:val="005760C6"/>
    <w:rsid w:val="00585A1B"/>
    <w:rsid w:val="00591260"/>
    <w:rsid w:val="00591314"/>
    <w:rsid w:val="00593D40"/>
    <w:rsid w:val="00595F1B"/>
    <w:rsid w:val="005A3BE0"/>
    <w:rsid w:val="005A6817"/>
    <w:rsid w:val="005B1026"/>
    <w:rsid w:val="005B642F"/>
    <w:rsid w:val="005C04C1"/>
    <w:rsid w:val="005C1785"/>
    <w:rsid w:val="005D2D87"/>
    <w:rsid w:val="005D6A09"/>
    <w:rsid w:val="005E2B4B"/>
    <w:rsid w:val="005E5F63"/>
    <w:rsid w:val="005E6BA1"/>
    <w:rsid w:val="0060779A"/>
    <w:rsid w:val="00622F13"/>
    <w:rsid w:val="00625503"/>
    <w:rsid w:val="0062662D"/>
    <w:rsid w:val="00632E78"/>
    <w:rsid w:val="006344F1"/>
    <w:rsid w:val="00637186"/>
    <w:rsid w:val="00646DF4"/>
    <w:rsid w:val="00651DE6"/>
    <w:rsid w:val="006523BB"/>
    <w:rsid w:val="0065347E"/>
    <w:rsid w:val="00654B49"/>
    <w:rsid w:val="006562F7"/>
    <w:rsid w:val="00656B26"/>
    <w:rsid w:val="00661DF0"/>
    <w:rsid w:val="00662505"/>
    <w:rsid w:val="0066674C"/>
    <w:rsid w:val="00674DB6"/>
    <w:rsid w:val="006760F7"/>
    <w:rsid w:val="006861C7"/>
    <w:rsid w:val="00686DDF"/>
    <w:rsid w:val="00697B12"/>
    <w:rsid w:val="006A55BB"/>
    <w:rsid w:val="006A7613"/>
    <w:rsid w:val="006B661A"/>
    <w:rsid w:val="006B7D00"/>
    <w:rsid w:val="006C6BC5"/>
    <w:rsid w:val="006D30D9"/>
    <w:rsid w:val="006D61A2"/>
    <w:rsid w:val="006E1DB4"/>
    <w:rsid w:val="006E62B6"/>
    <w:rsid w:val="006F7D0D"/>
    <w:rsid w:val="00710D3C"/>
    <w:rsid w:val="00722803"/>
    <w:rsid w:val="00737716"/>
    <w:rsid w:val="00743287"/>
    <w:rsid w:val="0074579C"/>
    <w:rsid w:val="00753DB6"/>
    <w:rsid w:val="007553A8"/>
    <w:rsid w:val="00763847"/>
    <w:rsid w:val="00765882"/>
    <w:rsid w:val="00771FE3"/>
    <w:rsid w:val="00776BDE"/>
    <w:rsid w:val="00786870"/>
    <w:rsid w:val="00792237"/>
    <w:rsid w:val="0079272A"/>
    <w:rsid w:val="007A1DA9"/>
    <w:rsid w:val="007B2252"/>
    <w:rsid w:val="007B79D9"/>
    <w:rsid w:val="007C67B1"/>
    <w:rsid w:val="007D28A6"/>
    <w:rsid w:val="007E354A"/>
    <w:rsid w:val="007E69C8"/>
    <w:rsid w:val="00801FE9"/>
    <w:rsid w:val="0080525B"/>
    <w:rsid w:val="008062C5"/>
    <w:rsid w:val="0080741A"/>
    <w:rsid w:val="00814B5B"/>
    <w:rsid w:val="00836F34"/>
    <w:rsid w:val="00843E73"/>
    <w:rsid w:val="00844EBF"/>
    <w:rsid w:val="00854F61"/>
    <w:rsid w:val="00864202"/>
    <w:rsid w:val="00873B59"/>
    <w:rsid w:val="0087701F"/>
    <w:rsid w:val="0089283D"/>
    <w:rsid w:val="008A0ADC"/>
    <w:rsid w:val="008A1BAB"/>
    <w:rsid w:val="008B38B7"/>
    <w:rsid w:val="008B458E"/>
    <w:rsid w:val="008C4D4A"/>
    <w:rsid w:val="008E07E5"/>
    <w:rsid w:val="008E11AE"/>
    <w:rsid w:val="008E1708"/>
    <w:rsid w:val="008E4844"/>
    <w:rsid w:val="00904492"/>
    <w:rsid w:val="00904DFB"/>
    <w:rsid w:val="0091288E"/>
    <w:rsid w:val="0091457B"/>
    <w:rsid w:val="00923763"/>
    <w:rsid w:val="00930ED6"/>
    <w:rsid w:val="0093293F"/>
    <w:rsid w:val="00933105"/>
    <w:rsid w:val="00946602"/>
    <w:rsid w:val="009474EF"/>
    <w:rsid w:val="00962626"/>
    <w:rsid w:val="009630E7"/>
    <w:rsid w:val="009767DD"/>
    <w:rsid w:val="00977AF2"/>
    <w:rsid w:val="00985FC5"/>
    <w:rsid w:val="00993BDD"/>
    <w:rsid w:val="009A6DFB"/>
    <w:rsid w:val="009B6EC0"/>
    <w:rsid w:val="009C144B"/>
    <w:rsid w:val="009C7FAF"/>
    <w:rsid w:val="009D4199"/>
    <w:rsid w:val="009E5E6A"/>
    <w:rsid w:val="009F0DD5"/>
    <w:rsid w:val="009F1B95"/>
    <w:rsid w:val="009F6C05"/>
    <w:rsid w:val="00A13CB6"/>
    <w:rsid w:val="00A14A1A"/>
    <w:rsid w:val="00A224C6"/>
    <w:rsid w:val="00A22CDD"/>
    <w:rsid w:val="00A25AEE"/>
    <w:rsid w:val="00A31EB1"/>
    <w:rsid w:val="00A33AEA"/>
    <w:rsid w:val="00A461CD"/>
    <w:rsid w:val="00A469C5"/>
    <w:rsid w:val="00A5317D"/>
    <w:rsid w:val="00A6284E"/>
    <w:rsid w:val="00A631B0"/>
    <w:rsid w:val="00A63E81"/>
    <w:rsid w:val="00A8775A"/>
    <w:rsid w:val="00AA5998"/>
    <w:rsid w:val="00AB07E7"/>
    <w:rsid w:val="00AC25B0"/>
    <w:rsid w:val="00AD1BA8"/>
    <w:rsid w:val="00B0172F"/>
    <w:rsid w:val="00B02A29"/>
    <w:rsid w:val="00B03522"/>
    <w:rsid w:val="00B04AD6"/>
    <w:rsid w:val="00B14CAA"/>
    <w:rsid w:val="00B257CE"/>
    <w:rsid w:val="00B3101B"/>
    <w:rsid w:val="00B364CD"/>
    <w:rsid w:val="00B4746C"/>
    <w:rsid w:val="00B65354"/>
    <w:rsid w:val="00B71A0E"/>
    <w:rsid w:val="00B81765"/>
    <w:rsid w:val="00B832F5"/>
    <w:rsid w:val="00BA2FAB"/>
    <w:rsid w:val="00BB5E28"/>
    <w:rsid w:val="00BD15F3"/>
    <w:rsid w:val="00BD7986"/>
    <w:rsid w:val="00BD79D3"/>
    <w:rsid w:val="00BE26EA"/>
    <w:rsid w:val="00C04F82"/>
    <w:rsid w:val="00C15AC0"/>
    <w:rsid w:val="00C26030"/>
    <w:rsid w:val="00C41091"/>
    <w:rsid w:val="00C60778"/>
    <w:rsid w:val="00C63056"/>
    <w:rsid w:val="00C661D1"/>
    <w:rsid w:val="00C75D01"/>
    <w:rsid w:val="00C775BA"/>
    <w:rsid w:val="00C85331"/>
    <w:rsid w:val="00C85A50"/>
    <w:rsid w:val="00C94D46"/>
    <w:rsid w:val="00CA13B1"/>
    <w:rsid w:val="00CA443A"/>
    <w:rsid w:val="00CB2461"/>
    <w:rsid w:val="00CB37FD"/>
    <w:rsid w:val="00CC32E3"/>
    <w:rsid w:val="00CC4D65"/>
    <w:rsid w:val="00CC61E7"/>
    <w:rsid w:val="00CD0F2D"/>
    <w:rsid w:val="00CD25AD"/>
    <w:rsid w:val="00CD3FFC"/>
    <w:rsid w:val="00CF565C"/>
    <w:rsid w:val="00D016A3"/>
    <w:rsid w:val="00D238C1"/>
    <w:rsid w:val="00D512E3"/>
    <w:rsid w:val="00D602C9"/>
    <w:rsid w:val="00D8766B"/>
    <w:rsid w:val="00D879B1"/>
    <w:rsid w:val="00DA26A9"/>
    <w:rsid w:val="00DB01FF"/>
    <w:rsid w:val="00DC5CFE"/>
    <w:rsid w:val="00DC7778"/>
    <w:rsid w:val="00DD069A"/>
    <w:rsid w:val="00DE494A"/>
    <w:rsid w:val="00DE7391"/>
    <w:rsid w:val="00DF2DB5"/>
    <w:rsid w:val="00DF6560"/>
    <w:rsid w:val="00E04CC0"/>
    <w:rsid w:val="00E136FF"/>
    <w:rsid w:val="00E233CD"/>
    <w:rsid w:val="00E32528"/>
    <w:rsid w:val="00E35BF5"/>
    <w:rsid w:val="00E35F26"/>
    <w:rsid w:val="00E53165"/>
    <w:rsid w:val="00E61EF7"/>
    <w:rsid w:val="00E663B4"/>
    <w:rsid w:val="00E80CEB"/>
    <w:rsid w:val="00EA5103"/>
    <w:rsid w:val="00EA5545"/>
    <w:rsid w:val="00EA6FB9"/>
    <w:rsid w:val="00EB5E6A"/>
    <w:rsid w:val="00EC2AD7"/>
    <w:rsid w:val="00ED7DE0"/>
    <w:rsid w:val="00EE7891"/>
    <w:rsid w:val="00EF49FE"/>
    <w:rsid w:val="00EF5341"/>
    <w:rsid w:val="00F04908"/>
    <w:rsid w:val="00F07C21"/>
    <w:rsid w:val="00F12EF6"/>
    <w:rsid w:val="00F21065"/>
    <w:rsid w:val="00F24CB4"/>
    <w:rsid w:val="00F43465"/>
    <w:rsid w:val="00F45475"/>
    <w:rsid w:val="00F64E72"/>
    <w:rsid w:val="00F70C7D"/>
    <w:rsid w:val="00F77B0E"/>
    <w:rsid w:val="00F9272E"/>
    <w:rsid w:val="00F97743"/>
    <w:rsid w:val="00FA6DAF"/>
    <w:rsid w:val="00FB718E"/>
    <w:rsid w:val="00FC24F1"/>
    <w:rsid w:val="00FC6884"/>
    <w:rsid w:val="00FE3C04"/>
    <w:rsid w:val="00FE62F3"/>
    <w:rsid w:val="00FF71D2"/>
    <w:rsid w:val="0C4F2692"/>
    <w:rsid w:val="0F59314D"/>
    <w:rsid w:val="111613D0"/>
    <w:rsid w:val="113B43A3"/>
    <w:rsid w:val="18ED2791"/>
    <w:rsid w:val="19913899"/>
    <w:rsid w:val="1B2418A5"/>
    <w:rsid w:val="1DBD26D8"/>
    <w:rsid w:val="1FBFC074"/>
    <w:rsid w:val="21DF65FA"/>
    <w:rsid w:val="2AAE6538"/>
    <w:rsid w:val="2CB25B4A"/>
    <w:rsid w:val="2ED973C6"/>
    <w:rsid w:val="30457D7D"/>
    <w:rsid w:val="310A673E"/>
    <w:rsid w:val="321A4CAC"/>
    <w:rsid w:val="369B398C"/>
    <w:rsid w:val="36FB9E1F"/>
    <w:rsid w:val="37B82BBD"/>
    <w:rsid w:val="38DA74D4"/>
    <w:rsid w:val="3A020FA7"/>
    <w:rsid w:val="3BFA3B96"/>
    <w:rsid w:val="3C512802"/>
    <w:rsid w:val="3CEF3472"/>
    <w:rsid w:val="3D7523E4"/>
    <w:rsid w:val="3EFF16E9"/>
    <w:rsid w:val="3F430C5D"/>
    <w:rsid w:val="42664A22"/>
    <w:rsid w:val="46C25C3E"/>
    <w:rsid w:val="47446A5B"/>
    <w:rsid w:val="4A173356"/>
    <w:rsid w:val="523D58AA"/>
    <w:rsid w:val="531E67A2"/>
    <w:rsid w:val="5507618C"/>
    <w:rsid w:val="56570706"/>
    <w:rsid w:val="56CB2A1D"/>
    <w:rsid w:val="582473AA"/>
    <w:rsid w:val="5E622BAC"/>
    <w:rsid w:val="5F2C4A61"/>
    <w:rsid w:val="657367CA"/>
    <w:rsid w:val="67193AFD"/>
    <w:rsid w:val="6B1B4BA1"/>
    <w:rsid w:val="70B9601A"/>
    <w:rsid w:val="726703EA"/>
    <w:rsid w:val="738D470C"/>
    <w:rsid w:val="77105A95"/>
    <w:rsid w:val="779D2889"/>
    <w:rsid w:val="77CD4F09"/>
    <w:rsid w:val="77CF73AC"/>
    <w:rsid w:val="78FF0116"/>
    <w:rsid w:val="7BC44A48"/>
    <w:rsid w:val="7D5FE565"/>
    <w:rsid w:val="B7DDD54D"/>
    <w:rsid w:val="E3FFE6ED"/>
    <w:rsid w:val="F5DB8A63"/>
    <w:rsid w:val="F797912E"/>
    <w:rsid w:val="FE7B4896"/>
    <w:rsid w:val="FFEE31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0">
    <w:name w:val="Default Paragraph Font"/>
    <w:semiHidden/>
    <w:unhideWhenUsed/>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2">
    <w:name w:val="annotation text"/>
    <w:basedOn w:val="1"/>
    <w:link w:val="22"/>
    <w:qFormat/>
    <w:uiPriority w:val="0"/>
    <w:pPr>
      <w:jc w:val="left"/>
    </w:pPr>
  </w:style>
  <w:style w:type="paragraph" w:styleId="3">
    <w:name w:val="Balloon Text"/>
    <w:basedOn w:val="1"/>
    <w:link w:val="24"/>
    <w:qFormat/>
    <w:uiPriority w:val="0"/>
    <w:rPr>
      <w:sz w:val="18"/>
      <w:szCs w:val="18"/>
    </w:rPr>
  </w:style>
  <w:style w:type="paragraph" w:styleId="4">
    <w:name w:val="footer"/>
    <w:basedOn w:val="1"/>
    <w:link w:val="17"/>
    <w:qFormat/>
    <w:uiPriority w:val="0"/>
    <w:pPr>
      <w:tabs>
        <w:tab w:val="center" w:pos="4153"/>
        <w:tab w:val="right" w:pos="8306"/>
      </w:tabs>
      <w:snapToGrid w:val="0"/>
      <w:jc w:val="left"/>
    </w:pPr>
    <w:rPr>
      <w:sz w:val="18"/>
      <w:szCs w:val="18"/>
    </w:rPr>
  </w:style>
  <w:style w:type="paragraph" w:styleId="5">
    <w:name w:val="header"/>
    <w:basedOn w:val="1"/>
    <w:link w:val="18"/>
    <w:qFormat/>
    <w:uiPriority w:val="0"/>
    <w:pPr>
      <w:pBdr>
        <w:bottom w:val="single" w:color="auto" w:sz="6" w:space="1"/>
      </w:pBdr>
      <w:tabs>
        <w:tab w:val="center" w:pos="4153"/>
        <w:tab w:val="right" w:pos="8306"/>
      </w:tabs>
      <w:snapToGrid w:val="0"/>
      <w:jc w:val="center"/>
    </w:pPr>
    <w:rPr>
      <w:sz w:val="18"/>
      <w:szCs w:val="18"/>
    </w:rPr>
  </w:style>
  <w:style w:type="paragraph" w:styleId="6">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rPr>
  </w:style>
  <w:style w:type="paragraph" w:styleId="7">
    <w:name w:val="Normal (Web)"/>
    <w:basedOn w:val="1"/>
    <w:qFormat/>
    <w:uiPriority w:val="0"/>
    <w:pPr>
      <w:spacing w:beforeAutospacing="1" w:afterAutospacing="1"/>
      <w:jc w:val="left"/>
    </w:pPr>
    <w:rPr>
      <w:kern w:val="0"/>
      <w:sz w:val="24"/>
    </w:rPr>
  </w:style>
  <w:style w:type="paragraph" w:styleId="8">
    <w:name w:val="annotation subject"/>
    <w:basedOn w:val="2"/>
    <w:next w:val="2"/>
    <w:link w:val="23"/>
    <w:qFormat/>
    <w:uiPriority w:val="0"/>
    <w:rPr>
      <w:b/>
      <w:bCs/>
    </w:rPr>
  </w:style>
  <w:style w:type="character" w:styleId="11">
    <w:name w:val="Strong"/>
    <w:basedOn w:val="10"/>
    <w:qFormat/>
    <w:uiPriority w:val="0"/>
    <w:rPr>
      <w:b/>
    </w:rPr>
  </w:style>
  <w:style w:type="character" w:styleId="12">
    <w:name w:val="annotation reference"/>
    <w:basedOn w:val="10"/>
    <w:qFormat/>
    <w:uiPriority w:val="0"/>
    <w:rPr>
      <w:sz w:val="21"/>
      <w:szCs w:val="21"/>
    </w:rPr>
  </w:style>
  <w:style w:type="paragraph" w:customStyle="1" w:styleId="13">
    <w:name w:val="_Style 6"/>
    <w:basedOn w:val="1"/>
    <w:qFormat/>
    <w:uiPriority w:val="34"/>
    <w:pPr>
      <w:ind w:firstLine="420" w:firstLineChars="200"/>
    </w:pPr>
    <w:rPr>
      <w:rFonts w:ascii="Calibri" w:hAnsi="Calibri"/>
      <w:szCs w:val="22"/>
    </w:rPr>
  </w:style>
  <w:style w:type="paragraph" w:customStyle="1" w:styleId="14">
    <w:name w:val="Char Char Char"/>
    <w:basedOn w:val="1"/>
    <w:qFormat/>
    <w:uiPriority w:val="0"/>
    <w:rPr>
      <w:szCs w:val="21"/>
    </w:rPr>
  </w:style>
  <w:style w:type="paragraph" w:customStyle="1" w:styleId="15">
    <w:name w:val="Char Char Char Char Char Char Char Char Char Char Char Char Char Char Char Char"/>
    <w:basedOn w:val="1"/>
    <w:qFormat/>
    <w:uiPriority w:val="0"/>
  </w:style>
  <w:style w:type="paragraph" w:customStyle="1" w:styleId="16">
    <w:name w:val="Char Char Char1"/>
    <w:basedOn w:val="1"/>
    <w:qFormat/>
    <w:uiPriority w:val="0"/>
  </w:style>
  <w:style w:type="character" w:customStyle="1" w:styleId="17">
    <w:name w:val="页脚 字符"/>
    <w:basedOn w:val="10"/>
    <w:link w:val="4"/>
    <w:qFormat/>
    <w:uiPriority w:val="0"/>
    <w:rPr>
      <w:kern w:val="2"/>
      <w:sz w:val="18"/>
      <w:szCs w:val="18"/>
    </w:rPr>
  </w:style>
  <w:style w:type="character" w:customStyle="1" w:styleId="18">
    <w:name w:val="页眉 字符"/>
    <w:basedOn w:val="10"/>
    <w:link w:val="5"/>
    <w:qFormat/>
    <w:uiPriority w:val="0"/>
    <w:rPr>
      <w:kern w:val="2"/>
      <w:sz w:val="18"/>
      <w:szCs w:val="18"/>
    </w:rPr>
  </w:style>
  <w:style w:type="paragraph" w:customStyle="1" w:styleId="19">
    <w:name w:val="修订1"/>
    <w:hidden/>
    <w:unhideWhenUsed/>
    <w:qFormat/>
    <w:uiPriority w:val="99"/>
    <w:rPr>
      <w:rFonts w:ascii="Times New Roman" w:hAnsi="Times New Roman" w:eastAsia="宋体" w:cs="Times New Roman"/>
      <w:kern w:val="2"/>
      <w:sz w:val="21"/>
      <w:szCs w:val="24"/>
      <w:lang w:val="en-US" w:eastAsia="zh-CN" w:bidi="ar-SA"/>
    </w:rPr>
  </w:style>
  <w:style w:type="paragraph" w:customStyle="1" w:styleId="20">
    <w:name w:val="修订2"/>
    <w:hidden/>
    <w:unhideWhenUsed/>
    <w:qFormat/>
    <w:uiPriority w:val="99"/>
    <w:rPr>
      <w:rFonts w:ascii="Times New Roman" w:hAnsi="Times New Roman" w:eastAsia="宋体" w:cs="Times New Roman"/>
      <w:kern w:val="2"/>
      <w:sz w:val="21"/>
      <w:szCs w:val="24"/>
      <w:lang w:val="en-US" w:eastAsia="zh-CN" w:bidi="ar-SA"/>
    </w:rPr>
  </w:style>
  <w:style w:type="paragraph" w:customStyle="1" w:styleId="21">
    <w:name w:val="修订3"/>
    <w:hidden/>
    <w:unhideWhenUsed/>
    <w:qFormat/>
    <w:uiPriority w:val="99"/>
    <w:rPr>
      <w:rFonts w:ascii="Times New Roman" w:hAnsi="Times New Roman" w:eastAsia="宋体" w:cs="Times New Roman"/>
      <w:kern w:val="2"/>
      <w:sz w:val="21"/>
      <w:szCs w:val="24"/>
      <w:lang w:val="en-US" w:eastAsia="zh-CN" w:bidi="ar-SA"/>
    </w:rPr>
  </w:style>
  <w:style w:type="character" w:customStyle="1" w:styleId="22">
    <w:name w:val="批注文字 字符"/>
    <w:basedOn w:val="10"/>
    <w:link w:val="2"/>
    <w:qFormat/>
    <w:uiPriority w:val="0"/>
    <w:rPr>
      <w:kern w:val="2"/>
      <w:sz w:val="21"/>
      <w:szCs w:val="24"/>
    </w:rPr>
  </w:style>
  <w:style w:type="character" w:customStyle="1" w:styleId="23">
    <w:name w:val="批注主题 字符"/>
    <w:basedOn w:val="22"/>
    <w:link w:val="8"/>
    <w:qFormat/>
    <w:uiPriority w:val="0"/>
    <w:rPr>
      <w:b/>
      <w:bCs/>
      <w:kern w:val="2"/>
      <w:sz w:val="21"/>
      <w:szCs w:val="24"/>
    </w:rPr>
  </w:style>
  <w:style w:type="character" w:customStyle="1" w:styleId="24">
    <w:name w:val="批注框文本 字符"/>
    <w:basedOn w:val="10"/>
    <w:link w:val="3"/>
    <w:qFormat/>
    <w:uiPriority w:val="0"/>
    <w:rPr>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黑体"/>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宋体"/>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5e1d98a5-4ae2-4abe-b143-4e0d526a4e31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2A6AA0E</paraID>
      <start>0</start>
      <end>2</end>
      <status>unmodified</status>
      <modifiedWord/>
      <trackRevisions>false</trackRevisions>
    </reviewItem>
    <reviewItem>
      <errorID>60cd5684-03c7-4b52-9417-473467f4c169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1B95B8EA</paraID>
      <start>0</start>
      <end>2</end>
      <status>unmodified</status>
      <modifiedWord/>
      <trackRevisions>false</trackRevisions>
    </reviewItem>
    <reviewItem>
      <errorID>a500c888-1adf-48b9-b506-9fadc0a5dc2b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54CF6926</paraID>
      <start>0</start>
      <end>2</end>
      <status>unmodified</status>
      <modifiedWord/>
      <trackRevisions>false</trackRevisions>
    </reviewItem>
    <reviewItem>
      <errorID>6911b232-31da-42e8-a8d7-c1d38a4285ad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132CB63F</paraID>
      <start>0</start>
      <end>2</end>
      <status>unmodified</status>
      <modifiedWord/>
      <trackRevisions>false</trackRevisions>
    </reviewItem>
    <reviewItem>
      <errorID>298a7b59-527a-454e-959e-14c0097821ee</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BE961FB</paraID>
      <start>0</start>
      <end>2</end>
      <status>unmodified</status>
      <modifiedWord/>
      <trackRevisions>false</trackRevisions>
    </reviewItem>
    <reviewItem>
      <errorID>121863b1-77c4-4e5b-ba19-e017638f9438</errorID>
      <errorWord>司</errorWord>
      <group>L1_Word</group>
      <groupName>字词问题</groupName>
      <ability>L2_Typo</ability>
      <abilityName>字词错误</abilityName>
      <candidateList>
        <item>司将</item>
      </candidateList>
      <explain/>
      <paraID>5BC91734</paraID>
      <start>97</start>
      <end>98</end>
      <status>unmodified</status>
      <modifiedWord/>
      <trackRevisions>false</trackRevisions>
    </reviewItem>
    <reviewItem>
      <errorID>01e43c70-b446-4764-87ad-7389163deb7d</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39ACE2EE</paraID>
      <start>0</start>
      <end>2</end>
      <status>unmodified</status>
      <modifiedWord/>
      <trackRevisions>false</trackRevisions>
    </reviewItem>
    <reviewItem>
      <errorID>db454fa0-b547-4ceb-aa28-9f759d373d3a</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3CDA0A85</paraID>
      <start>0</start>
      <end>2</end>
      <status>unmodified</status>
      <modifiedWord/>
      <trackRevisions>false</trackRevisions>
    </reviewItem>
  </reviewItems>
  <config/>
</contractReview>
</file>

<file path=customXml/itemProps1.xml><?xml version="1.0" encoding="utf-8"?>
<ds:datastoreItem xmlns:ds="http://schemas.openxmlformats.org/officeDocument/2006/customXml" ds:itemID="{003d5093-17ce-4b90-85b7-01722d827e04}">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4</Pages>
  <Words>1406</Words>
  <Characters>1456</Characters>
  <Lines>11</Lines>
  <Paragraphs>3</Paragraphs>
  <TotalTime>1</TotalTime>
  <ScaleCrop>false</ScaleCrop>
  <LinksUpToDate>false</LinksUpToDate>
  <CharactersWithSpaces>1545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2026-05-22T08:28:00Z</dcterms:created>
  <dc:creator>微软用户</dc:creator>
  <cp:lastModifiedBy>008923</cp:lastModifiedBy>
  <cp:lastPrinted>2025-12-30T09:30:00Z</cp:lastPrinted>
  <dcterms:modified xsi:type="dcterms:W3CDTF">2026-09-11T10:04:08Z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6A19F962C7F1420292041BE53BFDCF00_13</vt:lpwstr>
  </property>
  <property fmtid="{D5CDD505-2E9C-101B-9397-08002B2CF9AE}" pid="4" name="KSOTemplateDocerSaveRecord">
    <vt:lpwstr>eyJoZGlkIjoiN2UwOWQ1ODNjYjVjNzlmYjVhOTI0NTY1NDk0NTQ4YTMiLCJ1c2VySWQiOiIyNzI1NjM5MjcifQ==</vt:lpwstr>
  </property>
</Properties>
</file>