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F9729" w14:textId="218A27F4" w:rsidR="004A375F" w:rsidRPr="00A354CB" w:rsidRDefault="00EF495B" w:rsidP="006801B7">
      <w:pPr>
        <w:kinsoku/>
        <w:spacing w:before="85" w:line="185" w:lineRule="auto"/>
        <w:jc w:val="both"/>
        <w:rPr>
          <w:rFonts w:ascii="宋体" w:eastAsia="宋体" w:hAnsi="宋体" w:cs="宋体" w:hint="eastAsia"/>
          <w:sz w:val="24"/>
          <w:szCs w:val="24"/>
        </w:rPr>
      </w:pPr>
      <w:r w:rsidRPr="00A354CB">
        <w:rPr>
          <w:rFonts w:ascii="宋体" w:eastAsia="宋体" w:hAnsi="宋体" w:cs="宋体"/>
          <w:spacing w:val="-10"/>
          <w:sz w:val="24"/>
          <w:szCs w:val="24"/>
        </w:rPr>
        <w:t>证券代码：</w:t>
      </w:r>
      <w:r w:rsidRPr="00A354CB">
        <w:rPr>
          <w:rFonts w:ascii="宋体" w:eastAsia="宋体" w:hAnsi="宋体" w:cs="Times New Roman" w:hint="eastAsia"/>
          <w:spacing w:val="-10"/>
          <w:sz w:val="24"/>
          <w:szCs w:val="24"/>
        </w:rPr>
        <w:t>688553</w:t>
      </w:r>
      <w:r w:rsidRPr="00A354CB">
        <w:rPr>
          <w:rFonts w:ascii="宋体" w:eastAsia="宋体" w:hAnsi="宋体" w:cs="Times New Roman"/>
          <w:sz w:val="24"/>
          <w:szCs w:val="24"/>
        </w:rPr>
        <w:t xml:space="preserve">                                          </w:t>
      </w:r>
      <w:r w:rsidRPr="00A354CB">
        <w:rPr>
          <w:rFonts w:ascii="宋体" w:eastAsia="宋体" w:hAnsi="宋体" w:cs="宋体"/>
          <w:spacing w:val="-10"/>
          <w:sz w:val="24"/>
          <w:szCs w:val="24"/>
        </w:rPr>
        <w:t>证券简称：</w:t>
      </w:r>
      <w:r w:rsidRPr="00A354CB">
        <w:rPr>
          <w:rFonts w:ascii="宋体" w:eastAsia="宋体" w:hAnsi="宋体" w:cs="宋体"/>
          <w:sz w:val="24"/>
          <w:szCs w:val="24"/>
        </w:rPr>
        <w:t>汇宇制药</w:t>
      </w:r>
    </w:p>
    <w:p w14:paraId="4BF6EB44" w14:textId="77777777" w:rsidR="004A375F" w:rsidRPr="00A354CB" w:rsidRDefault="004A375F">
      <w:pPr>
        <w:kinsoku/>
        <w:spacing w:before="311" w:line="185" w:lineRule="auto"/>
        <w:jc w:val="center"/>
        <w:rPr>
          <w:rFonts w:ascii="宋体" w:eastAsia="宋体" w:hAnsi="宋体" w:cs="宋体" w:hint="eastAsia"/>
          <w:sz w:val="32"/>
          <w:szCs w:val="32"/>
          <w14:textOutline w14:w="4356" w14:cap="flat" w14:cmpd="sng" w14:algn="ctr">
            <w14:solidFill>
              <w14:srgbClr w14:val="000000"/>
            </w14:solidFill>
            <w14:prstDash w14:val="solid"/>
            <w14:miter w14:lim="0"/>
          </w14:textOutline>
        </w:rPr>
      </w:pPr>
    </w:p>
    <w:p w14:paraId="5AAC74C8" w14:textId="77777777" w:rsidR="004A375F" w:rsidRPr="00A354CB" w:rsidRDefault="00EF495B">
      <w:pPr>
        <w:kinsoku/>
        <w:spacing w:before="311" w:line="185" w:lineRule="auto"/>
        <w:jc w:val="center"/>
        <w:rPr>
          <w:rFonts w:ascii="宋体" w:eastAsia="宋体" w:hAnsi="宋体" w:cs="宋体" w:hint="eastAsia"/>
          <w:sz w:val="32"/>
          <w:szCs w:val="32"/>
          <w14:textOutline w14:w="4356" w14:cap="flat" w14:cmpd="sng" w14:algn="ctr">
            <w14:solidFill>
              <w14:srgbClr w14:val="000000"/>
            </w14:solidFill>
            <w14:prstDash w14:val="solid"/>
            <w14:miter w14:lim="0"/>
          </w14:textOutline>
        </w:rPr>
      </w:pPr>
      <w:r w:rsidRPr="00A354CB">
        <w:rPr>
          <w:rFonts w:ascii="宋体" w:eastAsia="宋体" w:hAnsi="宋体" w:cs="宋体" w:hint="eastAsia"/>
          <w:sz w:val="32"/>
          <w:szCs w:val="32"/>
          <w14:textOutline w14:w="4356" w14:cap="flat" w14:cmpd="sng" w14:algn="ctr">
            <w14:solidFill>
              <w14:srgbClr w14:val="000000"/>
            </w14:solidFill>
            <w14:prstDash w14:val="solid"/>
            <w14:miter w14:lim="0"/>
          </w14:textOutline>
        </w:rPr>
        <w:t>四川汇宇制药股份有限公司</w:t>
      </w:r>
      <w:r w:rsidRPr="00A354CB">
        <w:rPr>
          <w:rFonts w:ascii="宋体" w:eastAsia="宋体" w:hAnsi="宋体" w:cs="宋体"/>
          <w:sz w:val="32"/>
          <w:szCs w:val="32"/>
          <w14:textOutline w14:w="4356" w14:cap="flat" w14:cmpd="sng" w14:algn="ctr">
            <w14:solidFill>
              <w14:srgbClr w14:val="000000"/>
            </w14:solidFill>
            <w14:prstDash w14:val="solid"/>
            <w14:miter w14:lim="0"/>
          </w14:textOutline>
        </w:rPr>
        <w:t>投资者关系活动记录表</w:t>
      </w:r>
    </w:p>
    <w:p w14:paraId="2508F7C5" w14:textId="77777777" w:rsidR="004A375F" w:rsidRPr="00A354CB" w:rsidRDefault="004A375F">
      <w:pPr>
        <w:kinsoku/>
        <w:spacing w:before="311" w:line="185" w:lineRule="auto"/>
        <w:jc w:val="center"/>
        <w:rPr>
          <w:rFonts w:ascii="宋体" w:eastAsia="宋体" w:hAnsi="宋体" w:cs="宋体" w:hint="eastAsia"/>
          <w:sz w:val="32"/>
          <w:szCs w:val="32"/>
        </w:rPr>
      </w:pPr>
    </w:p>
    <w:p w14:paraId="6416159C" w14:textId="5145EA07" w:rsidR="004A375F" w:rsidRPr="00A354CB" w:rsidRDefault="00EF495B">
      <w:pPr>
        <w:kinsoku/>
        <w:spacing w:before="321" w:line="185" w:lineRule="auto"/>
        <w:ind w:right="224"/>
        <w:jc w:val="right"/>
        <w:rPr>
          <w:rFonts w:ascii="宋体" w:eastAsia="宋体" w:hAnsi="宋体" w:cs="Times New Roman"/>
          <w:sz w:val="24"/>
          <w:szCs w:val="24"/>
        </w:rPr>
      </w:pPr>
      <w:r w:rsidRPr="00A354CB">
        <w:rPr>
          <w:rFonts w:ascii="宋体" w:eastAsia="宋体" w:hAnsi="宋体" w:cs="Times New Roman"/>
          <w:spacing w:val="-16"/>
          <w:sz w:val="24"/>
          <w:szCs w:val="24"/>
        </w:rPr>
        <w:t>编号：</w:t>
      </w:r>
      <w:r w:rsidRPr="00A354CB">
        <w:rPr>
          <w:rFonts w:ascii="宋体" w:eastAsia="宋体" w:hAnsi="宋体" w:cs="Times New Roman"/>
          <w:spacing w:val="-5"/>
          <w:sz w:val="24"/>
          <w:szCs w:val="24"/>
        </w:rPr>
        <w:t>202</w:t>
      </w:r>
      <w:r w:rsidR="00D34D57" w:rsidRPr="00A354CB">
        <w:rPr>
          <w:rFonts w:ascii="宋体" w:eastAsia="宋体" w:hAnsi="宋体" w:cs="Times New Roman"/>
          <w:spacing w:val="-5"/>
          <w:sz w:val="24"/>
          <w:szCs w:val="24"/>
        </w:rPr>
        <w:t>6</w:t>
      </w:r>
      <w:r w:rsidRPr="00A354CB">
        <w:rPr>
          <w:rFonts w:ascii="宋体" w:eastAsia="宋体" w:hAnsi="宋体" w:cs="Times New Roman"/>
          <w:spacing w:val="-5"/>
          <w:sz w:val="24"/>
          <w:szCs w:val="24"/>
        </w:rPr>
        <w:t>-00</w:t>
      </w:r>
      <w:r w:rsidR="00E84C3E" w:rsidRPr="00A354CB">
        <w:rPr>
          <w:rFonts w:ascii="宋体" w:eastAsia="宋体" w:hAnsi="宋体" w:cs="Times New Roman"/>
          <w:spacing w:val="-5"/>
          <w:sz w:val="24"/>
          <w:szCs w:val="24"/>
        </w:rPr>
        <w:t>2</w:t>
      </w:r>
    </w:p>
    <w:p w14:paraId="3E47E1BB" w14:textId="77777777" w:rsidR="004A375F" w:rsidRPr="00A354CB" w:rsidRDefault="004A375F">
      <w:pPr>
        <w:kinsoku/>
        <w:spacing w:line="42" w:lineRule="exact"/>
        <w:rPr>
          <w:rFonts w:ascii="宋体" w:eastAsia="宋体" w:hAnsi="宋体" w:hint="eastAsia"/>
        </w:rPr>
      </w:pPr>
    </w:p>
    <w:tbl>
      <w:tblPr>
        <w:tblStyle w:val="TableNormal"/>
        <w:tblW w:w="8902"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13" w:type="dxa"/>
          <w:left w:w="113" w:type="dxa"/>
          <w:bottom w:w="113" w:type="dxa"/>
          <w:right w:w="113" w:type="dxa"/>
        </w:tblCellMar>
        <w:tblLook w:val="04A0" w:firstRow="1" w:lastRow="0" w:firstColumn="1" w:lastColumn="0" w:noHBand="0" w:noVBand="1"/>
      </w:tblPr>
      <w:tblGrid>
        <w:gridCol w:w="1361"/>
        <w:gridCol w:w="64"/>
        <w:gridCol w:w="2053"/>
        <w:gridCol w:w="5424"/>
      </w:tblGrid>
      <w:tr w:rsidR="004A375F" w:rsidRPr="00A354CB" w14:paraId="1EF88A1C" w14:textId="77777777">
        <w:trPr>
          <w:trHeight w:val="1434"/>
        </w:trPr>
        <w:tc>
          <w:tcPr>
            <w:tcW w:w="1361" w:type="dxa"/>
            <w:vMerge w:val="restart"/>
            <w:tcBorders>
              <w:bottom w:val="nil"/>
            </w:tcBorders>
            <w:vAlign w:val="center"/>
          </w:tcPr>
          <w:p w14:paraId="66AB9787" w14:textId="77777777" w:rsidR="004A375F" w:rsidRPr="00A354CB" w:rsidRDefault="00EF495B">
            <w:pPr>
              <w:kinsoku/>
              <w:spacing w:before="78" w:line="185" w:lineRule="auto"/>
              <w:ind w:leftChars="-50" w:left="-105" w:firstLine="165"/>
              <w:rPr>
                <w:rFonts w:ascii="宋体" w:eastAsia="宋体" w:hAnsi="宋体" w:cs="宋体" w:hint="eastAsia"/>
                <w:sz w:val="24"/>
                <w:szCs w:val="24"/>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投资者关</w:t>
            </w:r>
          </w:p>
          <w:p w14:paraId="5FE0F2A7" w14:textId="77777777" w:rsidR="004A375F" w:rsidRPr="00A354CB" w:rsidRDefault="00EF495B">
            <w:pPr>
              <w:kinsoku/>
              <w:spacing w:before="225" w:line="185" w:lineRule="auto"/>
              <w:ind w:leftChars="-50" w:left="-105" w:firstLine="167"/>
              <w:rPr>
                <w:rFonts w:ascii="宋体" w:eastAsia="宋体" w:hAnsi="宋体" w:cs="宋体" w:hint="eastAsia"/>
                <w:sz w:val="24"/>
                <w:szCs w:val="24"/>
              </w:rPr>
            </w:pPr>
            <w:r w:rsidRPr="00A354CB">
              <w:rPr>
                <w:rFonts w:ascii="宋体" w:eastAsia="宋体" w:hAnsi="宋体" w:cs="宋体"/>
                <w:spacing w:val="-3"/>
                <w:sz w:val="24"/>
                <w:szCs w:val="24"/>
                <w14:textOutline w14:w="4356" w14:cap="flat" w14:cmpd="sng" w14:algn="ctr">
                  <w14:solidFill>
                    <w14:srgbClr w14:val="000000"/>
                  </w14:solidFill>
                  <w14:prstDash w14:val="solid"/>
                  <w14:miter w14:lim="0"/>
                </w14:textOutline>
              </w:rPr>
              <w:t>系活动类</w:t>
            </w:r>
          </w:p>
          <w:p w14:paraId="53C9DDFD" w14:textId="77777777" w:rsidR="004A375F" w:rsidRPr="00A354CB" w:rsidRDefault="00EF495B">
            <w:pPr>
              <w:kinsoku/>
              <w:spacing w:before="230" w:line="185" w:lineRule="auto"/>
              <w:ind w:leftChars="-50" w:left="-105" w:firstLine="526"/>
              <w:rPr>
                <w:rFonts w:ascii="宋体" w:eastAsia="宋体" w:hAnsi="宋体" w:cs="宋体" w:hint="eastAsia"/>
                <w:sz w:val="24"/>
                <w:szCs w:val="24"/>
              </w:rPr>
            </w:pPr>
            <w:r w:rsidRPr="00A354CB">
              <w:rPr>
                <w:rFonts w:ascii="宋体" w:eastAsia="宋体" w:hAnsi="宋体" w:cs="宋体"/>
                <w:sz w:val="24"/>
                <w:szCs w:val="24"/>
                <w14:textOutline w14:w="4356" w14:cap="flat" w14:cmpd="sng" w14:algn="ctr">
                  <w14:solidFill>
                    <w14:srgbClr w14:val="000000"/>
                  </w14:solidFill>
                  <w14:prstDash w14:val="solid"/>
                  <w14:miter w14:lim="0"/>
                </w14:textOutline>
              </w:rPr>
              <w:t>别</w:t>
            </w:r>
          </w:p>
        </w:tc>
        <w:tc>
          <w:tcPr>
            <w:tcW w:w="2117" w:type="dxa"/>
            <w:gridSpan w:val="2"/>
            <w:tcBorders>
              <w:bottom w:val="nil"/>
              <w:right w:val="nil"/>
            </w:tcBorders>
            <w:vAlign w:val="center"/>
          </w:tcPr>
          <w:p w14:paraId="02560D47" w14:textId="77777777" w:rsidR="004A375F" w:rsidRPr="00A354CB" w:rsidRDefault="00EF495B">
            <w:pPr>
              <w:kinsoku/>
              <w:spacing w:before="119" w:line="185" w:lineRule="auto"/>
              <w:ind w:firstLine="121"/>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A3"/>
            </w:r>
            <w:r w:rsidRPr="00A354CB">
              <w:rPr>
                <w:rFonts w:ascii="宋体" w:eastAsia="宋体" w:hAnsi="宋体" w:cs="宋体"/>
                <w:spacing w:val="1"/>
                <w:sz w:val="24"/>
                <w:szCs w:val="24"/>
              </w:rPr>
              <w:t>特定对象调研</w:t>
            </w:r>
          </w:p>
          <w:p w14:paraId="3A481284" w14:textId="77777777" w:rsidR="004A375F" w:rsidRPr="00A354CB" w:rsidRDefault="00EF495B">
            <w:pPr>
              <w:kinsoku/>
              <w:spacing w:before="230" w:line="198" w:lineRule="auto"/>
              <w:ind w:firstLine="118"/>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A3"/>
            </w:r>
            <w:r w:rsidRPr="00A354CB">
              <w:rPr>
                <w:rFonts w:ascii="宋体" w:eastAsia="宋体" w:hAnsi="宋体" w:cs="宋体"/>
                <w:spacing w:val="-3"/>
                <w:sz w:val="24"/>
                <w:szCs w:val="24"/>
              </w:rPr>
              <w:t>媒体采访</w:t>
            </w:r>
          </w:p>
          <w:p w14:paraId="79FB34DC" w14:textId="77777777" w:rsidR="004A375F" w:rsidRPr="00A354CB" w:rsidRDefault="00EF495B">
            <w:pPr>
              <w:kinsoku/>
              <w:spacing w:before="208" w:line="198" w:lineRule="auto"/>
              <w:ind w:firstLine="118"/>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A3"/>
            </w:r>
            <w:r w:rsidRPr="00A354CB">
              <w:rPr>
                <w:rFonts w:ascii="宋体" w:eastAsia="宋体" w:hAnsi="宋体" w:cs="宋体"/>
                <w:spacing w:val="-3"/>
                <w:sz w:val="24"/>
                <w:szCs w:val="24"/>
              </w:rPr>
              <w:t>新闻发布会</w:t>
            </w:r>
          </w:p>
        </w:tc>
        <w:tc>
          <w:tcPr>
            <w:tcW w:w="5424" w:type="dxa"/>
            <w:tcBorders>
              <w:left w:val="nil"/>
              <w:bottom w:val="nil"/>
            </w:tcBorders>
            <w:vAlign w:val="center"/>
          </w:tcPr>
          <w:p w14:paraId="3527C3C6" w14:textId="77777777" w:rsidR="004A375F" w:rsidRPr="00A354CB" w:rsidRDefault="00EF495B">
            <w:pPr>
              <w:kinsoku/>
              <w:spacing w:before="120" w:line="198" w:lineRule="auto"/>
              <w:ind w:firstLineChars="200" w:firstLine="480"/>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A3"/>
            </w:r>
            <w:r w:rsidRPr="00A354CB">
              <w:rPr>
                <w:rFonts w:ascii="宋体" w:eastAsia="宋体" w:hAnsi="宋体" w:cs="宋体"/>
                <w:spacing w:val="-3"/>
                <w:sz w:val="24"/>
                <w:szCs w:val="24"/>
              </w:rPr>
              <w:t>分析师会议</w:t>
            </w:r>
          </w:p>
          <w:p w14:paraId="518E537A" w14:textId="77777777" w:rsidR="004A375F" w:rsidRPr="00A354CB" w:rsidRDefault="00EF495B">
            <w:pPr>
              <w:kinsoku/>
              <w:spacing w:before="213" w:line="198" w:lineRule="auto"/>
              <w:ind w:firstLine="469"/>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52"/>
            </w:r>
            <w:r w:rsidRPr="00A354CB">
              <w:rPr>
                <w:rFonts w:ascii="宋体" w:eastAsia="宋体" w:hAnsi="宋体" w:cs="宋体"/>
                <w:spacing w:val="-3"/>
                <w:sz w:val="24"/>
                <w:szCs w:val="24"/>
              </w:rPr>
              <w:t>业绩说明会</w:t>
            </w:r>
          </w:p>
          <w:p w14:paraId="5C255346" w14:textId="77777777" w:rsidR="004A375F" w:rsidRPr="00A354CB" w:rsidRDefault="00EF495B">
            <w:pPr>
              <w:kinsoku/>
              <w:spacing w:before="208" w:line="198" w:lineRule="auto"/>
              <w:ind w:firstLine="469"/>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A3"/>
            </w:r>
            <w:r w:rsidRPr="00A354CB">
              <w:rPr>
                <w:rFonts w:ascii="宋体" w:eastAsia="宋体" w:hAnsi="宋体" w:cs="宋体"/>
                <w:spacing w:val="-3"/>
                <w:sz w:val="24"/>
                <w:szCs w:val="24"/>
              </w:rPr>
              <w:t>路演活动</w:t>
            </w:r>
          </w:p>
        </w:tc>
      </w:tr>
      <w:tr w:rsidR="004A375F" w:rsidRPr="00A354CB" w14:paraId="5E661454" w14:textId="77777777">
        <w:trPr>
          <w:trHeight w:val="917"/>
        </w:trPr>
        <w:tc>
          <w:tcPr>
            <w:tcW w:w="1361" w:type="dxa"/>
            <w:vMerge/>
            <w:tcBorders>
              <w:top w:val="nil"/>
            </w:tcBorders>
            <w:vAlign w:val="center"/>
          </w:tcPr>
          <w:p w14:paraId="3FD71A4E" w14:textId="77777777" w:rsidR="004A375F" w:rsidRPr="00A354CB" w:rsidRDefault="004A375F">
            <w:pPr>
              <w:kinsoku/>
              <w:rPr>
                <w:rFonts w:ascii="宋体" w:eastAsia="宋体" w:hAnsi="宋体" w:hint="eastAsia"/>
              </w:rPr>
            </w:pPr>
          </w:p>
        </w:tc>
        <w:tc>
          <w:tcPr>
            <w:tcW w:w="7541" w:type="dxa"/>
            <w:gridSpan w:val="3"/>
            <w:tcBorders>
              <w:top w:val="nil"/>
            </w:tcBorders>
            <w:vAlign w:val="center"/>
          </w:tcPr>
          <w:p w14:paraId="3A18FCC6" w14:textId="77777777" w:rsidR="004A375F" w:rsidRPr="00A354CB" w:rsidRDefault="00EF495B">
            <w:pPr>
              <w:kinsoku/>
              <w:spacing w:before="93" w:line="198" w:lineRule="auto"/>
              <w:ind w:firstLine="118"/>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A3"/>
            </w:r>
            <w:r w:rsidRPr="00A354CB">
              <w:rPr>
                <w:rFonts w:ascii="宋体" w:eastAsia="宋体" w:hAnsi="宋体" w:cs="宋体"/>
                <w:spacing w:val="-3"/>
                <w:sz w:val="24"/>
                <w:szCs w:val="24"/>
              </w:rPr>
              <w:t>现场参观</w:t>
            </w:r>
          </w:p>
          <w:p w14:paraId="6BA61AFC" w14:textId="77777777" w:rsidR="004A375F" w:rsidRPr="00A354CB" w:rsidRDefault="00EF495B">
            <w:pPr>
              <w:kinsoku/>
              <w:spacing w:before="208" w:line="198" w:lineRule="auto"/>
              <w:ind w:firstLine="118"/>
              <w:rPr>
                <w:rFonts w:ascii="宋体" w:eastAsia="宋体" w:hAnsi="宋体" w:cs="宋体" w:hint="eastAsia"/>
                <w:sz w:val="24"/>
                <w:szCs w:val="24"/>
              </w:rPr>
            </w:pPr>
            <w:r w:rsidRPr="00A354CB">
              <w:rPr>
                <w:rFonts w:ascii="宋体" w:eastAsia="宋体" w:hAnsi="宋体" w:cs="Times New Roman"/>
                <w:spacing w:val="-3"/>
                <w:sz w:val="24"/>
                <w:szCs w:val="24"/>
              </w:rPr>
              <w:sym w:font="Wingdings 2" w:char="00A3"/>
            </w:r>
            <w:proofErr w:type="gramStart"/>
            <w:r w:rsidRPr="00A354CB">
              <w:rPr>
                <w:rFonts w:ascii="宋体" w:eastAsia="宋体" w:hAnsi="宋体" w:cs="宋体"/>
                <w:spacing w:val="-10"/>
                <w:sz w:val="24"/>
                <w:szCs w:val="24"/>
              </w:rPr>
              <w:t>其他</w:t>
            </w:r>
            <w:r w:rsidRPr="00A354CB">
              <w:rPr>
                <w:rFonts w:ascii="宋体" w:eastAsia="宋体" w:hAnsi="宋体" w:cs="宋体"/>
                <w:spacing w:val="11"/>
                <w:sz w:val="24"/>
                <w:szCs w:val="24"/>
              </w:rPr>
              <w:t xml:space="preserve"> </w:t>
            </w:r>
            <w:r w:rsidRPr="00A354CB">
              <w:rPr>
                <w:rFonts w:ascii="宋体" w:eastAsia="宋体" w:hAnsi="宋体" w:cs="宋体" w:hint="eastAsia"/>
                <w:spacing w:val="11"/>
                <w:sz w:val="24"/>
                <w:szCs w:val="24"/>
                <w:u w:val="single"/>
              </w:rPr>
              <w:t xml:space="preserve"> </w:t>
            </w:r>
            <w:r w:rsidRPr="00A354CB">
              <w:rPr>
                <w:rFonts w:ascii="宋体" w:eastAsia="宋体" w:hAnsi="宋体" w:cs="宋体"/>
                <w:sz w:val="24"/>
                <w:szCs w:val="24"/>
                <w:u w:val="single"/>
              </w:rPr>
              <w:t>（</w:t>
            </w:r>
            <w:proofErr w:type="gramEnd"/>
            <w:r w:rsidRPr="00A354CB">
              <w:rPr>
                <w:rFonts w:ascii="宋体" w:eastAsia="宋体" w:hAnsi="宋体" w:cs="宋体"/>
                <w:sz w:val="24"/>
                <w:szCs w:val="24"/>
                <w:u w:val="single"/>
              </w:rPr>
              <w:t xml:space="preserve">请文字说明其他活动内容） </w:t>
            </w:r>
            <w:r w:rsidRPr="00A354CB">
              <w:rPr>
                <w:rFonts w:ascii="宋体" w:eastAsia="宋体" w:hAnsi="宋体" w:cs="宋体" w:hint="eastAsia"/>
                <w:spacing w:val="11"/>
                <w:sz w:val="24"/>
                <w:szCs w:val="24"/>
                <w:u w:val="single"/>
              </w:rPr>
              <w:t xml:space="preserve"> </w:t>
            </w:r>
          </w:p>
        </w:tc>
      </w:tr>
      <w:tr w:rsidR="004A375F" w:rsidRPr="00A354CB" w14:paraId="607B8A14" w14:textId="77777777" w:rsidTr="00BA1147">
        <w:trPr>
          <w:trHeight w:val="1772"/>
        </w:trPr>
        <w:tc>
          <w:tcPr>
            <w:tcW w:w="1361" w:type="dxa"/>
            <w:vAlign w:val="center"/>
          </w:tcPr>
          <w:p w14:paraId="0D26D22E"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参与单位</w:t>
            </w:r>
          </w:p>
          <w:p w14:paraId="2559E543"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名称</w:t>
            </w:r>
          </w:p>
        </w:tc>
        <w:tc>
          <w:tcPr>
            <w:tcW w:w="7541" w:type="dxa"/>
            <w:gridSpan w:val="3"/>
            <w:vAlign w:val="center"/>
          </w:tcPr>
          <w:p w14:paraId="04BCF7D0" w14:textId="6549CE9B" w:rsidR="004A375F" w:rsidRPr="00A354CB" w:rsidRDefault="00EF495B">
            <w:pPr>
              <w:kinsoku/>
              <w:spacing w:before="119" w:line="360" w:lineRule="auto"/>
              <w:ind w:right="36"/>
              <w:rPr>
                <w:rFonts w:ascii="宋体" w:eastAsia="宋体" w:hAnsi="宋体" w:cs="Times New Roman"/>
                <w:sz w:val="24"/>
                <w:szCs w:val="24"/>
              </w:rPr>
            </w:pPr>
            <w:r w:rsidRPr="00A354CB">
              <w:rPr>
                <w:rFonts w:ascii="宋体" w:eastAsia="宋体" w:hAnsi="宋体" w:cs="Times New Roman"/>
                <w:sz w:val="24"/>
                <w:szCs w:val="24"/>
              </w:rPr>
              <w:t>通过线上方式参与公司</w:t>
            </w:r>
            <w:r w:rsidR="00D34D57" w:rsidRPr="00A354CB">
              <w:rPr>
                <w:rFonts w:ascii="宋体" w:eastAsia="宋体" w:hAnsi="宋体" w:cs="Times New Roman"/>
                <w:sz w:val="24"/>
                <w:szCs w:val="24"/>
              </w:rPr>
              <w:t>202</w:t>
            </w:r>
            <w:r w:rsidR="00E84C3E" w:rsidRPr="00A354CB">
              <w:rPr>
                <w:rFonts w:ascii="宋体" w:eastAsia="宋体" w:hAnsi="宋体" w:cs="Times New Roman"/>
                <w:sz w:val="24"/>
                <w:szCs w:val="24"/>
              </w:rPr>
              <w:t>6年半年度</w:t>
            </w:r>
            <w:r w:rsidR="00D34D57" w:rsidRPr="00A354CB">
              <w:rPr>
                <w:rFonts w:ascii="宋体" w:eastAsia="宋体" w:hAnsi="宋体" w:cs="Times New Roman"/>
                <w:sz w:val="24"/>
                <w:szCs w:val="24"/>
              </w:rPr>
              <w:t>业绩说明会</w:t>
            </w:r>
            <w:r w:rsidRPr="00A354CB">
              <w:rPr>
                <w:rFonts w:ascii="宋体" w:eastAsia="宋体" w:hAnsi="宋体" w:cs="Times New Roman"/>
                <w:sz w:val="24"/>
                <w:szCs w:val="24"/>
              </w:rPr>
              <w:t>的投资者</w:t>
            </w:r>
          </w:p>
        </w:tc>
      </w:tr>
      <w:tr w:rsidR="004A375F" w:rsidRPr="00A354CB" w14:paraId="78AE529A" w14:textId="77777777" w:rsidTr="00ED0CB8">
        <w:trPr>
          <w:trHeight w:val="1337"/>
        </w:trPr>
        <w:tc>
          <w:tcPr>
            <w:tcW w:w="1361" w:type="dxa"/>
            <w:vAlign w:val="center"/>
          </w:tcPr>
          <w:p w14:paraId="7E6CFED9"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时间</w:t>
            </w:r>
          </w:p>
        </w:tc>
        <w:tc>
          <w:tcPr>
            <w:tcW w:w="7541" w:type="dxa"/>
            <w:gridSpan w:val="3"/>
            <w:vAlign w:val="center"/>
          </w:tcPr>
          <w:p w14:paraId="3679C604" w14:textId="5AFBAFF4" w:rsidR="004A375F" w:rsidRPr="00A354CB" w:rsidRDefault="00EF495B">
            <w:pPr>
              <w:kinsoku/>
              <w:spacing w:before="117" w:line="185" w:lineRule="auto"/>
              <w:rPr>
                <w:rFonts w:ascii="宋体" w:eastAsia="宋体" w:hAnsi="宋体" w:cs="Times New Roman"/>
                <w:sz w:val="24"/>
                <w:szCs w:val="24"/>
              </w:rPr>
            </w:pPr>
            <w:r w:rsidRPr="00A354CB">
              <w:rPr>
                <w:rFonts w:ascii="宋体" w:eastAsia="宋体" w:hAnsi="宋体" w:cs="Times New Roman"/>
                <w:sz w:val="24"/>
                <w:szCs w:val="24"/>
              </w:rPr>
              <w:t>202</w:t>
            </w:r>
            <w:r w:rsidR="00D34D57" w:rsidRPr="00A354CB">
              <w:rPr>
                <w:rFonts w:ascii="宋体" w:eastAsia="宋体" w:hAnsi="宋体" w:cs="Times New Roman"/>
                <w:sz w:val="24"/>
                <w:szCs w:val="24"/>
              </w:rPr>
              <w:t>6</w:t>
            </w:r>
            <w:r w:rsidRPr="00A354CB">
              <w:rPr>
                <w:rFonts w:ascii="宋体" w:eastAsia="宋体" w:hAnsi="宋体" w:cs="Times New Roman"/>
                <w:sz w:val="24"/>
                <w:szCs w:val="24"/>
              </w:rPr>
              <w:t>年</w:t>
            </w:r>
            <w:r w:rsidR="00E84C3E" w:rsidRPr="00A354CB">
              <w:rPr>
                <w:rFonts w:ascii="宋体" w:eastAsia="宋体" w:hAnsi="宋体" w:cs="Times New Roman"/>
                <w:sz w:val="24"/>
                <w:szCs w:val="24"/>
              </w:rPr>
              <w:t>9</w:t>
            </w:r>
            <w:r w:rsidRPr="00A354CB">
              <w:rPr>
                <w:rFonts w:ascii="宋体" w:eastAsia="宋体" w:hAnsi="宋体" w:cs="Times New Roman"/>
                <w:sz w:val="24"/>
                <w:szCs w:val="24"/>
              </w:rPr>
              <w:t>月</w:t>
            </w:r>
            <w:r w:rsidR="00E84C3E" w:rsidRPr="00A354CB">
              <w:rPr>
                <w:rFonts w:ascii="宋体" w:eastAsia="宋体" w:hAnsi="宋体" w:cs="Times New Roman"/>
                <w:sz w:val="24"/>
                <w:szCs w:val="24"/>
              </w:rPr>
              <w:t>14</w:t>
            </w:r>
            <w:r w:rsidRPr="00A354CB">
              <w:rPr>
                <w:rFonts w:ascii="宋体" w:eastAsia="宋体" w:hAnsi="宋体" w:cs="Times New Roman"/>
                <w:sz w:val="24"/>
                <w:szCs w:val="24"/>
              </w:rPr>
              <w:t xml:space="preserve">日 </w:t>
            </w:r>
            <w:r w:rsidR="00C61D0E" w:rsidRPr="00A354CB">
              <w:rPr>
                <w:rFonts w:ascii="宋体" w:eastAsia="宋体" w:hAnsi="宋体" w:cs="Times New Roman"/>
                <w:sz w:val="24"/>
                <w:szCs w:val="24"/>
              </w:rPr>
              <w:t>上</w:t>
            </w:r>
            <w:r w:rsidRPr="00A354CB">
              <w:rPr>
                <w:rFonts w:ascii="宋体" w:eastAsia="宋体" w:hAnsi="宋体" w:cs="Times New Roman"/>
                <w:sz w:val="24"/>
                <w:szCs w:val="24"/>
              </w:rPr>
              <w:t xml:space="preserve">午 </w:t>
            </w:r>
            <w:r w:rsidR="00E84C3E" w:rsidRPr="00A354CB">
              <w:rPr>
                <w:rFonts w:ascii="宋体" w:eastAsia="宋体" w:hAnsi="宋体" w:cs="Times New Roman"/>
                <w:sz w:val="24"/>
                <w:szCs w:val="24"/>
              </w:rPr>
              <w:t>9</w:t>
            </w:r>
            <w:r w:rsidRPr="00A354CB">
              <w:rPr>
                <w:rFonts w:ascii="宋体" w:eastAsia="宋体" w:hAnsi="宋体" w:cs="Times New Roman"/>
                <w:sz w:val="24"/>
                <w:szCs w:val="24"/>
              </w:rPr>
              <w:t>:</w:t>
            </w:r>
            <w:r w:rsidR="00855AF4" w:rsidRPr="00A354CB">
              <w:rPr>
                <w:rFonts w:ascii="宋体" w:eastAsia="宋体" w:hAnsi="宋体" w:cs="Times New Roman"/>
                <w:sz w:val="24"/>
                <w:szCs w:val="24"/>
              </w:rPr>
              <w:t>0</w:t>
            </w:r>
            <w:r w:rsidRPr="00A354CB">
              <w:rPr>
                <w:rFonts w:ascii="宋体" w:eastAsia="宋体" w:hAnsi="宋体" w:cs="Times New Roman"/>
                <w:sz w:val="24"/>
                <w:szCs w:val="24"/>
              </w:rPr>
              <w:t>0-1</w:t>
            </w:r>
            <w:r w:rsidR="00E84C3E" w:rsidRPr="00A354CB">
              <w:rPr>
                <w:rFonts w:ascii="宋体" w:eastAsia="宋体" w:hAnsi="宋体" w:cs="Times New Roman"/>
                <w:sz w:val="24"/>
                <w:szCs w:val="24"/>
              </w:rPr>
              <w:t>0</w:t>
            </w:r>
            <w:r w:rsidRPr="00A354CB">
              <w:rPr>
                <w:rFonts w:ascii="宋体" w:eastAsia="宋体" w:hAnsi="宋体" w:cs="Times New Roman"/>
                <w:sz w:val="24"/>
                <w:szCs w:val="24"/>
              </w:rPr>
              <w:t>:</w:t>
            </w:r>
            <w:r w:rsidR="00855AF4" w:rsidRPr="00A354CB">
              <w:rPr>
                <w:rFonts w:ascii="宋体" w:eastAsia="宋体" w:hAnsi="宋体" w:cs="Times New Roman"/>
                <w:sz w:val="24"/>
                <w:szCs w:val="24"/>
              </w:rPr>
              <w:t>0</w:t>
            </w:r>
            <w:r w:rsidRPr="00A354CB">
              <w:rPr>
                <w:rFonts w:ascii="宋体" w:eastAsia="宋体" w:hAnsi="宋体" w:cs="Times New Roman"/>
                <w:sz w:val="24"/>
                <w:szCs w:val="24"/>
              </w:rPr>
              <w:t xml:space="preserve">0 </w:t>
            </w:r>
          </w:p>
        </w:tc>
      </w:tr>
      <w:tr w:rsidR="004A375F" w:rsidRPr="00A354CB" w14:paraId="701ED989" w14:textId="77777777" w:rsidTr="00ED0CB8">
        <w:trPr>
          <w:trHeight w:val="1617"/>
        </w:trPr>
        <w:tc>
          <w:tcPr>
            <w:tcW w:w="1361" w:type="dxa"/>
            <w:vAlign w:val="center"/>
          </w:tcPr>
          <w:p w14:paraId="52A3E544"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地点</w:t>
            </w:r>
          </w:p>
        </w:tc>
        <w:tc>
          <w:tcPr>
            <w:tcW w:w="7541" w:type="dxa"/>
            <w:gridSpan w:val="3"/>
            <w:vAlign w:val="center"/>
          </w:tcPr>
          <w:p w14:paraId="1C011211" w14:textId="36B20AE9" w:rsidR="004A375F" w:rsidRPr="00A354CB" w:rsidRDefault="00EF495B">
            <w:pPr>
              <w:rPr>
                <w:rFonts w:ascii="宋体" w:eastAsia="宋体" w:hAnsi="宋体" w:cs="Times New Roman"/>
                <w:sz w:val="24"/>
                <w:szCs w:val="24"/>
              </w:rPr>
            </w:pPr>
            <w:r w:rsidRPr="00A354CB">
              <w:rPr>
                <w:rFonts w:ascii="宋体" w:eastAsia="宋体" w:hAnsi="宋体" w:cs="Times New Roman"/>
                <w:sz w:val="24"/>
                <w:szCs w:val="24"/>
              </w:rPr>
              <w:t>上海证券交易所上证路演中心（http://roadshow.sseinfo.com/）</w:t>
            </w:r>
          </w:p>
        </w:tc>
      </w:tr>
      <w:tr w:rsidR="004A375F" w:rsidRPr="00A354CB" w14:paraId="62B34C0C" w14:textId="77777777" w:rsidTr="00ED0CB8">
        <w:trPr>
          <w:trHeight w:val="4150"/>
        </w:trPr>
        <w:tc>
          <w:tcPr>
            <w:tcW w:w="1361" w:type="dxa"/>
            <w:vAlign w:val="center"/>
          </w:tcPr>
          <w:p w14:paraId="6A8C41EC"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上市公司</w:t>
            </w:r>
          </w:p>
          <w:p w14:paraId="21C9DCF8"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接待人员</w:t>
            </w:r>
          </w:p>
          <w:p w14:paraId="582ECE97"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姓名</w:t>
            </w:r>
          </w:p>
        </w:tc>
        <w:tc>
          <w:tcPr>
            <w:tcW w:w="7541" w:type="dxa"/>
            <w:gridSpan w:val="3"/>
            <w:vAlign w:val="center"/>
          </w:tcPr>
          <w:p w14:paraId="16B84F0D" w14:textId="77777777" w:rsidR="004A375F" w:rsidRPr="00A354CB" w:rsidRDefault="00EF495B">
            <w:pPr>
              <w:kinsoku/>
              <w:spacing w:before="119" w:line="360" w:lineRule="auto"/>
              <w:ind w:left="112" w:right="36"/>
              <w:jc w:val="both"/>
              <w:rPr>
                <w:rFonts w:ascii="宋体" w:eastAsia="宋体" w:hAnsi="宋体" w:cs="宋体" w:hint="eastAsia"/>
                <w:spacing w:val="-2"/>
                <w:sz w:val="24"/>
                <w:szCs w:val="24"/>
              </w:rPr>
            </w:pPr>
            <w:r w:rsidRPr="00A354CB">
              <w:rPr>
                <w:rFonts w:ascii="宋体" w:eastAsia="宋体" w:hAnsi="宋体" w:cs="宋体"/>
                <w:spacing w:val="-2"/>
                <w:sz w:val="24"/>
                <w:szCs w:val="24"/>
              </w:rPr>
              <w:t>董事</w:t>
            </w:r>
            <w:r w:rsidRPr="00A354CB">
              <w:rPr>
                <w:rFonts w:ascii="宋体" w:eastAsia="宋体" w:hAnsi="宋体" w:cs="宋体" w:hint="eastAsia"/>
                <w:spacing w:val="-2"/>
                <w:sz w:val="24"/>
                <w:szCs w:val="24"/>
              </w:rPr>
              <w:t>长、总经理：丁兆</w:t>
            </w:r>
          </w:p>
          <w:p w14:paraId="37BD512F" w14:textId="77777777" w:rsidR="004A375F" w:rsidRPr="00A354CB" w:rsidRDefault="00EF495B">
            <w:pPr>
              <w:kinsoku/>
              <w:spacing w:before="119" w:line="360" w:lineRule="auto"/>
              <w:ind w:left="112" w:right="36"/>
              <w:jc w:val="both"/>
              <w:rPr>
                <w:rFonts w:ascii="宋体" w:eastAsia="宋体" w:hAnsi="宋体" w:cs="宋体" w:hint="eastAsia"/>
                <w:spacing w:val="-2"/>
                <w:sz w:val="24"/>
                <w:szCs w:val="24"/>
              </w:rPr>
            </w:pPr>
            <w:r w:rsidRPr="00A354CB">
              <w:rPr>
                <w:rFonts w:ascii="宋体" w:eastAsia="宋体" w:hAnsi="宋体" w:cs="宋体" w:hint="eastAsia"/>
                <w:spacing w:val="-2"/>
                <w:sz w:val="24"/>
                <w:szCs w:val="24"/>
              </w:rPr>
              <w:t>董事、财务总监：高岚</w:t>
            </w:r>
          </w:p>
          <w:p w14:paraId="50DE8FBF" w14:textId="234D8178" w:rsidR="004A375F" w:rsidRPr="00A354CB" w:rsidRDefault="00EF495B">
            <w:pPr>
              <w:kinsoku/>
              <w:spacing w:before="119" w:line="360" w:lineRule="auto"/>
              <w:ind w:left="112" w:right="36"/>
              <w:jc w:val="both"/>
              <w:rPr>
                <w:rFonts w:ascii="宋体" w:eastAsia="宋体" w:hAnsi="宋体" w:cs="宋体" w:hint="eastAsia"/>
                <w:spacing w:val="-2"/>
                <w:sz w:val="24"/>
                <w:szCs w:val="24"/>
              </w:rPr>
            </w:pPr>
            <w:r w:rsidRPr="00A354CB">
              <w:rPr>
                <w:rFonts w:ascii="宋体" w:eastAsia="宋体" w:hAnsi="宋体" w:cs="宋体" w:hint="eastAsia"/>
                <w:spacing w:val="-2"/>
                <w:sz w:val="24"/>
                <w:szCs w:val="24"/>
              </w:rPr>
              <w:t>独立董事：</w:t>
            </w:r>
            <w:r w:rsidR="00E84C3E" w:rsidRPr="00A354CB">
              <w:rPr>
                <w:rFonts w:ascii="宋体" w:eastAsia="宋体" w:hAnsi="宋体" w:cs="宋体" w:hint="eastAsia"/>
                <w:spacing w:val="-2"/>
                <w:sz w:val="24"/>
                <w:szCs w:val="24"/>
              </w:rPr>
              <w:t>向川</w:t>
            </w:r>
          </w:p>
          <w:p w14:paraId="58F8FA9D" w14:textId="7CA22A68" w:rsidR="00040518" w:rsidRPr="00A354CB" w:rsidRDefault="00C61D0E" w:rsidP="00040518">
            <w:pPr>
              <w:kinsoku/>
              <w:spacing w:before="119" w:line="360" w:lineRule="auto"/>
              <w:ind w:left="112" w:right="36"/>
              <w:jc w:val="both"/>
              <w:rPr>
                <w:rFonts w:ascii="宋体" w:eastAsia="宋体" w:hAnsi="宋体" w:cs="宋体" w:hint="eastAsia"/>
                <w:spacing w:val="-2"/>
                <w:sz w:val="24"/>
                <w:szCs w:val="24"/>
              </w:rPr>
            </w:pPr>
            <w:r w:rsidRPr="00A354CB">
              <w:rPr>
                <w:rFonts w:ascii="宋体" w:eastAsia="宋体" w:hAnsi="宋体" w:cs="宋体" w:hint="eastAsia"/>
                <w:spacing w:val="-2"/>
                <w:sz w:val="24"/>
                <w:szCs w:val="24"/>
              </w:rPr>
              <w:t>董事、</w:t>
            </w:r>
            <w:r w:rsidR="00040518" w:rsidRPr="00A354CB">
              <w:rPr>
                <w:rFonts w:ascii="宋体" w:eastAsia="宋体" w:hAnsi="宋体" w:cs="宋体" w:hint="eastAsia"/>
                <w:spacing w:val="-2"/>
                <w:sz w:val="24"/>
                <w:szCs w:val="24"/>
              </w:rPr>
              <w:t>副总经理、董事会秘书：张春平</w:t>
            </w:r>
          </w:p>
        </w:tc>
      </w:tr>
      <w:tr w:rsidR="004A375F" w:rsidRPr="00A354CB" w14:paraId="1B4DA6BF" w14:textId="77777777">
        <w:trPr>
          <w:trHeight w:val="15642"/>
        </w:trPr>
        <w:tc>
          <w:tcPr>
            <w:tcW w:w="1425" w:type="dxa"/>
            <w:gridSpan w:val="2"/>
            <w:vAlign w:val="center"/>
          </w:tcPr>
          <w:p w14:paraId="32A1DA03" w14:textId="2E1C15B3" w:rsidR="004A375F" w:rsidRPr="00A354CB" w:rsidRDefault="00EF495B">
            <w:pPr>
              <w:kinsoku/>
              <w:spacing w:before="78" w:line="359" w:lineRule="auto"/>
              <w:ind w:left="115" w:right="109" w:firstLine="1"/>
              <w:jc w:val="center"/>
              <w:rPr>
                <w:rFonts w:ascii="宋体" w:eastAsia="宋体" w:hAnsi="宋体" w:cs="宋体" w:hint="eastAsia"/>
                <w:sz w:val="24"/>
                <w:szCs w:val="24"/>
              </w:rPr>
            </w:pPr>
            <w:r w:rsidRPr="00A354CB">
              <w:rPr>
                <w:rFonts w:ascii="宋体" w:eastAsia="宋体" w:hAnsi="宋体"/>
              </w:rPr>
              <w:lastRenderedPageBreak/>
              <w:br w:type="page"/>
            </w:r>
            <w:r w:rsidRPr="00A354CB">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t>投资者关系活动主要内容介绍</w:t>
            </w:r>
          </w:p>
        </w:tc>
        <w:tc>
          <w:tcPr>
            <w:tcW w:w="7477" w:type="dxa"/>
            <w:gridSpan w:val="2"/>
            <w:vAlign w:val="center"/>
          </w:tcPr>
          <w:p w14:paraId="51165EF1" w14:textId="77777777" w:rsidR="004A375F" w:rsidRPr="00A354CB" w:rsidRDefault="00EF495B" w:rsidP="00D40908">
            <w:pPr>
              <w:numPr>
                <w:ilvl w:val="0"/>
                <w:numId w:val="1"/>
              </w:numPr>
              <w:kinsoku/>
              <w:spacing w:before="119" w:line="360" w:lineRule="auto"/>
              <w:ind w:right="36"/>
              <w:jc w:val="both"/>
              <w:rPr>
                <w:rFonts w:ascii="宋体" w:eastAsia="宋体" w:hAnsi="宋体" w:cs="Times New Roman"/>
                <w:b/>
                <w:bCs/>
                <w:color w:val="auto"/>
                <w:spacing w:val="-5"/>
                <w:sz w:val="24"/>
                <w:szCs w:val="24"/>
              </w:rPr>
            </w:pPr>
            <w:r w:rsidRPr="00A354CB">
              <w:rPr>
                <w:rFonts w:ascii="宋体" w:eastAsia="宋体" w:hAnsi="宋体" w:cs="Times New Roman"/>
                <w:b/>
                <w:bCs/>
                <w:color w:val="auto"/>
                <w:spacing w:val="-5"/>
                <w:sz w:val="24"/>
                <w:szCs w:val="24"/>
              </w:rPr>
              <w:t>经营情况</w:t>
            </w:r>
          </w:p>
          <w:p w14:paraId="2A3878C2" w14:textId="77777777" w:rsidR="00D47B0A" w:rsidRPr="00A354CB" w:rsidRDefault="00D47B0A" w:rsidP="00D40908">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汇宇制药是一家研发驱动型的综合制药企业，主要从事肿瘤创新药和优质仿制药的研发、生产和国内外销售。为全球患者提供疗效确切、质量精湛、价格合理的药品，让癌症成为一种可以控制的疾病。</w:t>
            </w:r>
          </w:p>
          <w:p w14:paraId="71D742F0" w14:textId="6CA97479" w:rsidR="001558CD" w:rsidRPr="00A354CB" w:rsidRDefault="009D1623" w:rsidP="00D40908">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202</w:t>
            </w:r>
            <w:r w:rsidR="00D40908" w:rsidRPr="00A354CB">
              <w:rPr>
                <w:rFonts w:ascii="宋体" w:eastAsia="宋体" w:hAnsi="宋体" w:cs="Times New Roman"/>
                <w:color w:val="auto"/>
                <w:spacing w:val="-2"/>
                <w:sz w:val="24"/>
                <w:szCs w:val="24"/>
              </w:rPr>
              <w:t>6</w:t>
            </w:r>
            <w:r w:rsidRPr="00A354CB">
              <w:rPr>
                <w:rFonts w:ascii="宋体" w:eastAsia="宋体" w:hAnsi="宋体" w:cs="Times New Roman"/>
                <w:color w:val="auto"/>
                <w:spacing w:val="-2"/>
                <w:sz w:val="24"/>
                <w:szCs w:val="24"/>
              </w:rPr>
              <w:t>年</w:t>
            </w:r>
            <w:r w:rsidR="00D40908" w:rsidRPr="00A354CB">
              <w:rPr>
                <w:rFonts w:ascii="宋体" w:eastAsia="宋体" w:hAnsi="宋体" w:cs="Times New Roman"/>
                <w:color w:val="auto"/>
                <w:spacing w:val="-2"/>
                <w:sz w:val="24"/>
                <w:szCs w:val="24"/>
              </w:rPr>
              <w:t>上半年</w:t>
            </w:r>
            <w:r w:rsidRPr="00A354CB">
              <w:rPr>
                <w:rFonts w:ascii="宋体" w:eastAsia="宋体" w:hAnsi="宋体" w:cs="Times New Roman"/>
                <w:color w:val="auto"/>
                <w:spacing w:val="-2"/>
                <w:sz w:val="24"/>
                <w:szCs w:val="24"/>
              </w:rPr>
              <w:t>，公司实现营业总收入</w:t>
            </w:r>
            <w:r w:rsidR="00D40908" w:rsidRPr="00A354CB">
              <w:rPr>
                <w:rFonts w:ascii="宋体" w:eastAsia="宋体" w:hAnsi="宋体" w:cs="Times New Roman"/>
                <w:color w:val="auto"/>
                <w:spacing w:val="-2"/>
                <w:sz w:val="24"/>
                <w:szCs w:val="24"/>
              </w:rPr>
              <w:t>55</w:t>
            </w:r>
            <w:r w:rsidRPr="00A354CB">
              <w:rPr>
                <w:rFonts w:ascii="宋体" w:eastAsia="宋体" w:hAnsi="宋体" w:cs="Times New Roman"/>
                <w:color w:val="auto"/>
                <w:spacing w:val="-2"/>
                <w:sz w:val="24"/>
                <w:szCs w:val="24"/>
              </w:rPr>
              <w:t>,</w:t>
            </w:r>
            <w:r w:rsidR="00D40908" w:rsidRPr="00A354CB">
              <w:rPr>
                <w:rFonts w:ascii="宋体" w:eastAsia="宋体" w:hAnsi="宋体" w:cs="Times New Roman"/>
                <w:color w:val="auto"/>
                <w:spacing w:val="-2"/>
                <w:sz w:val="24"/>
                <w:szCs w:val="24"/>
              </w:rPr>
              <w:t>186</w:t>
            </w:r>
            <w:r w:rsidRPr="00A354CB">
              <w:rPr>
                <w:rFonts w:ascii="宋体" w:eastAsia="宋体" w:hAnsi="宋体" w:cs="Times New Roman"/>
                <w:color w:val="auto"/>
                <w:spacing w:val="-2"/>
                <w:sz w:val="24"/>
                <w:szCs w:val="24"/>
              </w:rPr>
              <w:t>万元，</w:t>
            </w:r>
            <w:r w:rsidR="00D40908" w:rsidRPr="00A354CB">
              <w:rPr>
                <w:rFonts w:ascii="宋体" w:eastAsia="宋体" w:hAnsi="宋体" w:cs="Times New Roman"/>
                <w:color w:val="auto"/>
                <w:spacing w:val="-2"/>
                <w:sz w:val="24"/>
                <w:szCs w:val="24"/>
              </w:rPr>
              <w:t>其中境内营收37,807万元，境外营收17,378万元。归母净利润5,765万元，</w:t>
            </w:r>
            <w:r w:rsidRPr="00A354CB">
              <w:rPr>
                <w:rFonts w:ascii="宋体" w:eastAsia="宋体" w:hAnsi="宋体" w:cs="Times New Roman"/>
                <w:color w:val="auto"/>
                <w:spacing w:val="-2"/>
                <w:sz w:val="24"/>
                <w:szCs w:val="24"/>
              </w:rPr>
              <w:t>扣除非经营损益归属上市公司股东的净利润</w:t>
            </w:r>
            <w:r w:rsidR="00C34995" w:rsidRPr="00A354CB">
              <w:rPr>
                <w:rFonts w:ascii="宋体" w:eastAsia="宋体" w:hAnsi="宋体" w:cs="Times New Roman"/>
                <w:color w:val="auto"/>
                <w:spacing w:val="-2"/>
                <w:sz w:val="24"/>
                <w:szCs w:val="24"/>
              </w:rPr>
              <w:t>为</w:t>
            </w:r>
            <w:r w:rsidR="00D40908" w:rsidRPr="00A354CB">
              <w:rPr>
                <w:rFonts w:ascii="宋体" w:eastAsia="宋体" w:hAnsi="宋体" w:cs="Times New Roman"/>
                <w:color w:val="auto"/>
                <w:spacing w:val="-2"/>
                <w:sz w:val="24"/>
                <w:szCs w:val="24"/>
              </w:rPr>
              <w:t>7</w:t>
            </w:r>
            <w:r w:rsidRPr="00A354CB">
              <w:rPr>
                <w:rFonts w:ascii="宋体" w:eastAsia="宋体" w:hAnsi="宋体" w:cs="Times New Roman"/>
                <w:color w:val="auto"/>
                <w:spacing w:val="-2"/>
                <w:sz w:val="24"/>
                <w:szCs w:val="24"/>
              </w:rPr>
              <w:t>,</w:t>
            </w:r>
            <w:r w:rsidR="00D40908" w:rsidRPr="00A354CB">
              <w:rPr>
                <w:rFonts w:ascii="宋体" w:eastAsia="宋体" w:hAnsi="宋体" w:cs="Times New Roman"/>
                <w:color w:val="auto"/>
                <w:spacing w:val="-2"/>
                <w:sz w:val="24"/>
                <w:szCs w:val="24"/>
              </w:rPr>
              <w:t>810</w:t>
            </w:r>
            <w:r w:rsidRPr="00A354CB">
              <w:rPr>
                <w:rFonts w:ascii="宋体" w:eastAsia="宋体" w:hAnsi="宋体" w:cs="Times New Roman"/>
                <w:color w:val="auto"/>
                <w:spacing w:val="-2"/>
                <w:sz w:val="24"/>
                <w:szCs w:val="24"/>
              </w:rPr>
              <w:t>万元。202</w:t>
            </w:r>
            <w:r w:rsidR="00D40908" w:rsidRPr="00A354CB">
              <w:rPr>
                <w:rFonts w:ascii="宋体" w:eastAsia="宋体" w:hAnsi="宋体" w:cs="Times New Roman"/>
                <w:color w:val="auto"/>
                <w:spacing w:val="-2"/>
                <w:sz w:val="24"/>
                <w:szCs w:val="24"/>
              </w:rPr>
              <w:t>6</w:t>
            </w:r>
            <w:r w:rsidRPr="00A354CB">
              <w:rPr>
                <w:rFonts w:ascii="宋体" w:eastAsia="宋体" w:hAnsi="宋体" w:cs="Times New Roman"/>
                <w:color w:val="auto"/>
                <w:spacing w:val="-2"/>
                <w:sz w:val="24"/>
                <w:szCs w:val="24"/>
              </w:rPr>
              <w:t>年</w:t>
            </w:r>
            <w:r w:rsidR="00D40908" w:rsidRPr="00A354CB">
              <w:rPr>
                <w:rFonts w:ascii="宋体" w:eastAsia="宋体" w:hAnsi="宋体" w:cs="Times New Roman"/>
                <w:color w:val="auto"/>
                <w:spacing w:val="-2"/>
                <w:sz w:val="24"/>
                <w:szCs w:val="24"/>
              </w:rPr>
              <w:t>上半年</w:t>
            </w:r>
            <w:r w:rsidRPr="00A354CB">
              <w:rPr>
                <w:rFonts w:ascii="宋体" w:eastAsia="宋体" w:hAnsi="宋体" w:cs="Times New Roman"/>
                <w:color w:val="auto"/>
                <w:spacing w:val="-2"/>
                <w:sz w:val="24"/>
                <w:szCs w:val="24"/>
              </w:rPr>
              <w:t>，公司研发投入为</w:t>
            </w:r>
            <w:r w:rsidR="00D40908" w:rsidRPr="00A354CB">
              <w:rPr>
                <w:rFonts w:ascii="宋体" w:eastAsia="宋体" w:hAnsi="宋体" w:cs="Times New Roman"/>
                <w:color w:val="auto"/>
                <w:spacing w:val="-2"/>
                <w:sz w:val="24"/>
                <w:szCs w:val="24"/>
              </w:rPr>
              <w:t>15</w:t>
            </w:r>
            <w:r w:rsidRPr="00A354CB">
              <w:rPr>
                <w:rFonts w:ascii="宋体" w:eastAsia="宋体" w:hAnsi="宋体" w:cs="Times New Roman"/>
                <w:color w:val="auto"/>
                <w:spacing w:val="-2"/>
                <w:sz w:val="24"/>
                <w:szCs w:val="24"/>
              </w:rPr>
              <w:t>,</w:t>
            </w:r>
            <w:r w:rsidR="00D40908" w:rsidRPr="00A354CB">
              <w:rPr>
                <w:rFonts w:ascii="宋体" w:eastAsia="宋体" w:hAnsi="宋体" w:cs="Times New Roman"/>
                <w:color w:val="auto"/>
                <w:spacing w:val="-2"/>
                <w:sz w:val="24"/>
                <w:szCs w:val="24"/>
              </w:rPr>
              <w:t>883</w:t>
            </w:r>
            <w:r w:rsidRPr="00A354CB">
              <w:rPr>
                <w:rFonts w:ascii="宋体" w:eastAsia="宋体" w:hAnsi="宋体" w:cs="Times New Roman"/>
                <w:color w:val="auto"/>
                <w:spacing w:val="-2"/>
                <w:sz w:val="24"/>
                <w:szCs w:val="24"/>
              </w:rPr>
              <w:t>万元，占营业收入比重为</w:t>
            </w:r>
            <w:r w:rsidR="00D40908" w:rsidRPr="00A354CB">
              <w:rPr>
                <w:rFonts w:ascii="宋体" w:eastAsia="宋体" w:hAnsi="宋体" w:cs="Times New Roman"/>
                <w:color w:val="auto"/>
                <w:spacing w:val="-2"/>
                <w:sz w:val="24"/>
                <w:szCs w:val="24"/>
              </w:rPr>
              <w:t>28</w:t>
            </w:r>
            <w:r w:rsidRPr="00A354CB">
              <w:rPr>
                <w:rFonts w:ascii="宋体" w:eastAsia="宋体" w:hAnsi="宋体" w:cs="Times New Roman"/>
                <w:color w:val="auto"/>
                <w:spacing w:val="-2"/>
                <w:sz w:val="24"/>
                <w:szCs w:val="24"/>
              </w:rPr>
              <w:t>.</w:t>
            </w:r>
            <w:r w:rsidR="00D40908" w:rsidRPr="00A354CB">
              <w:rPr>
                <w:rFonts w:ascii="宋体" w:eastAsia="宋体" w:hAnsi="宋体" w:cs="Times New Roman"/>
                <w:color w:val="auto"/>
                <w:spacing w:val="-2"/>
                <w:sz w:val="24"/>
                <w:szCs w:val="24"/>
              </w:rPr>
              <w:t>78</w:t>
            </w:r>
            <w:r w:rsidRPr="00A354CB">
              <w:rPr>
                <w:rFonts w:ascii="宋体" w:eastAsia="宋体" w:hAnsi="宋体" w:cs="Times New Roman"/>
                <w:color w:val="auto"/>
                <w:spacing w:val="-2"/>
                <w:sz w:val="24"/>
                <w:szCs w:val="24"/>
              </w:rPr>
              <w:t>%。</w:t>
            </w:r>
            <w:r w:rsidR="001558CD" w:rsidRPr="00A354CB">
              <w:rPr>
                <w:rFonts w:ascii="宋体" w:eastAsia="宋体" w:hAnsi="宋体" w:cs="Times New Roman"/>
                <w:color w:val="auto"/>
                <w:spacing w:val="-2"/>
                <w:sz w:val="24"/>
                <w:szCs w:val="24"/>
              </w:rPr>
              <w:t>研发投入给公司技术创新能力和新产品开发能力所带来的提升效应将会在未来较长的时间内逐步显现。</w:t>
            </w:r>
          </w:p>
          <w:p w14:paraId="7AB1DA73" w14:textId="77777777" w:rsidR="0035575A" w:rsidRPr="00A354CB" w:rsidRDefault="00937494" w:rsidP="0035575A">
            <w:pPr>
              <w:spacing w:beforeLines="50" w:before="120" w:afterLines="50" w:after="120" w:line="360" w:lineRule="auto"/>
              <w:ind w:firstLineChars="200" w:firstLine="480"/>
              <w:jc w:val="both"/>
              <w:rPr>
                <w:rFonts w:ascii="宋体" w:eastAsia="宋体" w:hAnsi="宋体" w:cs="Times New Roman"/>
                <w:sz w:val="24"/>
                <w:szCs w:val="24"/>
              </w:rPr>
            </w:pPr>
            <w:r w:rsidRPr="00A354CB">
              <w:rPr>
                <w:rFonts w:ascii="宋体" w:eastAsia="宋体" w:hAnsi="宋体" w:cs="Times New Roman"/>
                <w:sz w:val="24"/>
                <w:szCs w:val="24"/>
              </w:rPr>
              <w:t>公司成立以来，研发驱动是公司坚定不移的发展战略，在当前的行业发展态势下，全面拥抱创新显得更为迫切和重要。公司一方面加快I类创新药和改良新药的研发速度，另一方面在仿制药上则重点推进高壁垒仿制药的研发进度。通过不断的创新，确保公司未来拥有源源不断的更具竞争力的产品管线。</w:t>
            </w:r>
          </w:p>
          <w:p w14:paraId="4BD27B4D" w14:textId="61AB10D6" w:rsidR="00D40908" w:rsidRPr="00A354CB" w:rsidRDefault="00D40908" w:rsidP="0035575A">
            <w:pPr>
              <w:spacing w:beforeLines="50" w:before="120" w:afterLines="50" w:after="120" w:line="360" w:lineRule="auto"/>
              <w:ind w:firstLineChars="200" w:firstLine="480"/>
              <w:jc w:val="both"/>
              <w:rPr>
                <w:rFonts w:ascii="宋体" w:eastAsia="宋体" w:hAnsi="宋体" w:cs="Times New Roman"/>
                <w:sz w:val="24"/>
                <w:szCs w:val="24"/>
              </w:rPr>
            </w:pPr>
            <w:r w:rsidRPr="00A354CB">
              <w:rPr>
                <w:rFonts w:ascii="宋体" w:eastAsia="宋体" w:hAnsi="宋体" w:cs="Times New Roman"/>
                <w:sz w:val="24"/>
                <w:szCs w:val="24"/>
              </w:rPr>
              <w:t>在I类创新药和改良新药上，公司坚持“</w:t>
            </w:r>
            <w:proofErr w:type="spellStart"/>
            <w:r w:rsidRPr="00A354CB">
              <w:rPr>
                <w:rFonts w:ascii="宋体" w:eastAsia="宋体" w:hAnsi="宋体" w:cs="Times New Roman"/>
                <w:sz w:val="24"/>
                <w:szCs w:val="24"/>
              </w:rPr>
              <w:t>ConvertCancertoManageableChronicDisease</w:t>
            </w:r>
            <w:proofErr w:type="spellEnd"/>
            <w:r w:rsidRPr="00A354CB">
              <w:rPr>
                <w:rFonts w:ascii="宋体" w:eastAsia="宋体" w:hAnsi="宋体" w:cs="Times New Roman"/>
                <w:sz w:val="24"/>
                <w:szCs w:val="24"/>
              </w:rPr>
              <w:t>”的创新药发展战略，以肿瘤领域</w:t>
            </w:r>
            <w:proofErr w:type="spellStart"/>
            <w:r w:rsidRPr="00A354CB">
              <w:rPr>
                <w:rFonts w:ascii="宋体" w:eastAsia="宋体" w:hAnsi="宋体" w:cs="Times New Roman"/>
                <w:sz w:val="24"/>
                <w:szCs w:val="24"/>
              </w:rPr>
              <w:t>Bestinindication</w:t>
            </w:r>
            <w:proofErr w:type="spellEnd"/>
            <w:r w:rsidRPr="00A354CB">
              <w:rPr>
                <w:rFonts w:ascii="宋体" w:eastAsia="宋体" w:hAnsi="宋体" w:cs="Times New Roman"/>
                <w:sz w:val="24"/>
                <w:szCs w:val="24"/>
              </w:rPr>
              <w:t>为主，在非癌领域</w:t>
            </w:r>
            <w:proofErr w:type="spellStart"/>
            <w:r w:rsidRPr="00A354CB">
              <w:rPr>
                <w:rFonts w:ascii="宋体" w:eastAsia="宋体" w:hAnsi="宋体" w:cs="Times New Roman"/>
                <w:sz w:val="24"/>
                <w:szCs w:val="24"/>
              </w:rPr>
              <w:t>mebetter</w:t>
            </w:r>
            <w:proofErr w:type="spellEnd"/>
            <w:r w:rsidRPr="00A354CB">
              <w:rPr>
                <w:rFonts w:ascii="宋体" w:eastAsia="宋体" w:hAnsi="宋体" w:cs="Times New Roman"/>
                <w:sz w:val="24"/>
                <w:szCs w:val="24"/>
              </w:rPr>
              <w:t>做少量拓展，整体以解决临床空缺为目的，推动更多项目进入临床研究阶段。截至报告期末，公司在研I类创新药项目有14个，包括小分子项目、三抗（含TCE）/ADC生物药项目，并有5个改良型新药项目。在研项目推进的同时，公司也在不断夯实小分子药物技术平台、免疫靶向技术平台和抗体偶联药物（ADC）等技术平台的建设与优化。</w:t>
            </w:r>
          </w:p>
          <w:p w14:paraId="64D11DAD" w14:textId="77777777" w:rsidR="00D40908" w:rsidRPr="00A354CB" w:rsidRDefault="00D40908" w:rsidP="00D40908">
            <w:pPr>
              <w:spacing w:beforeLines="50" w:before="120" w:afterLines="50" w:after="120" w:line="360" w:lineRule="auto"/>
              <w:ind w:firstLineChars="200" w:firstLine="480"/>
              <w:jc w:val="both"/>
              <w:rPr>
                <w:rFonts w:ascii="宋体" w:eastAsia="宋体" w:hAnsi="宋体" w:cs="Times New Roman"/>
                <w:sz w:val="24"/>
                <w:szCs w:val="24"/>
              </w:rPr>
            </w:pPr>
            <w:r w:rsidRPr="00A354CB">
              <w:rPr>
                <w:rFonts w:ascii="宋体" w:eastAsia="宋体" w:hAnsi="宋体" w:cs="Times New Roman"/>
                <w:sz w:val="24"/>
                <w:szCs w:val="24"/>
              </w:rPr>
              <w:t>截至报告期末，公司处于临床阶段的I类创新药和改良新药包括：</w:t>
            </w:r>
          </w:p>
          <w:p w14:paraId="456C547B" w14:textId="514DB22A" w:rsidR="00D40908" w:rsidRPr="00A354CB" w:rsidRDefault="00D40908" w:rsidP="00D40908">
            <w:pPr>
              <w:spacing w:beforeLines="50" w:before="120" w:afterLines="50" w:after="120" w:line="360" w:lineRule="auto"/>
              <w:ind w:firstLineChars="200" w:firstLine="480"/>
              <w:jc w:val="both"/>
              <w:rPr>
                <w:rFonts w:ascii="宋体" w:eastAsia="宋体" w:hAnsi="宋体" w:cs="Times New Roman"/>
                <w:sz w:val="24"/>
                <w:szCs w:val="24"/>
              </w:rPr>
            </w:pPr>
            <w:r w:rsidRPr="00A354CB">
              <w:rPr>
                <w:rFonts w:ascii="宋体" w:eastAsia="宋体" w:hAnsi="宋体" w:cs="Times New Roman"/>
                <w:sz w:val="24"/>
                <w:szCs w:val="24"/>
              </w:rPr>
              <w:t>生物创新药：公司首个I类生物创新药HY-0007项目于2024年9月获批静脉给药途径临床， 目前正处于临床I期试验。该项目于2026年6月在本品现有处方和使用规格（10mg/ml）均不变的基础上，申请皮下注射（SC）给药途径临床试验</w:t>
            </w:r>
            <w:r w:rsidR="003A5521" w:rsidRPr="00A354CB">
              <w:rPr>
                <w:rFonts w:ascii="宋体" w:eastAsia="宋体" w:hAnsi="宋体" w:cs="Times New Roman"/>
                <w:sz w:val="24"/>
                <w:szCs w:val="24"/>
              </w:rPr>
              <w:t>，该临床试验申请于2026年8月</w:t>
            </w:r>
            <w:r w:rsidRPr="00A354CB">
              <w:rPr>
                <w:rFonts w:ascii="宋体" w:eastAsia="宋体" w:hAnsi="宋体" w:cs="Times New Roman"/>
                <w:sz w:val="24"/>
                <w:szCs w:val="24"/>
              </w:rPr>
              <w:t>获得</w:t>
            </w:r>
            <w:r w:rsidR="003A5521" w:rsidRPr="00A354CB">
              <w:rPr>
                <w:rFonts w:ascii="宋体" w:eastAsia="宋体" w:hAnsi="宋体" w:cs="Times New Roman"/>
                <w:sz w:val="24"/>
                <w:szCs w:val="24"/>
              </w:rPr>
              <w:t>批准</w:t>
            </w:r>
            <w:r w:rsidRPr="00A354CB">
              <w:rPr>
                <w:rFonts w:ascii="宋体" w:eastAsia="宋体" w:hAnsi="宋体" w:cs="Times New Roman"/>
                <w:sz w:val="24"/>
                <w:szCs w:val="24"/>
              </w:rPr>
              <w:t>。该项目为公司抗PD-1、抗 TIGIT、IL-15/IL-15Rα双抗融合蛋白，因其优秀的协同潜力、增强肿瘤免疫治疗疗效及克服免疫耐药的</w:t>
            </w:r>
            <w:r w:rsidRPr="00A354CB">
              <w:rPr>
                <w:rFonts w:ascii="宋体" w:eastAsia="宋体" w:hAnsi="宋体" w:cs="Times New Roman"/>
                <w:sz w:val="24"/>
                <w:szCs w:val="24"/>
              </w:rPr>
              <w:lastRenderedPageBreak/>
              <w:t>特点，预期将为晚期肿瘤患者提供新的治疗选择；公司第二个I类生物创新药HY-0001项目临床I期试验正在推进中，该项目为公司自主研发的一种抗体偶联药物，本品为全球首个披露针对CDCP1靶点推向临床的药物；公司第三个I类生物创新药HY-0005项目临床I期试验正在推进中，该项目为公司自主研发的一种三特异抗体TCE（</w:t>
            </w:r>
            <w:proofErr w:type="spellStart"/>
            <w:r w:rsidRPr="00A354CB">
              <w:rPr>
                <w:rFonts w:ascii="宋体" w:eastAsia="宋体" w:hAnsi="宋体" w:cs="Times New Roman"/>
                <w:sz w:val="24"/>
                <w:szCs w:val="24"/>
              </w:rPr>
              <w:t>Tcellengager</w:t>
            </w:r>
            <w:proofErr w:type="spellEnd"/>
            <w:r w:rsidRPr="00A354CB">
              <w:rPr>
                <w:rFonts w:ascii="宋体" w:eastAsia="宋体" w:hAnsi="宋体" w:cs="Times New Roman"/>
                <w:sz w:val="24"/>
                <w:szCs w:val="24"/>
              </w:rPr>
              <w:t xml:space="preserve">）产品，具有良好的抗肿瘤效果及安全性； </w:t>
            </w:r>
          </w:p>
          <w:p w14:paraId="67F1DC55" w14:textId="3B915FAE" w:rsidR="00D40908" w:rsidRPr="00A354CB" w:rsidRDefault="00D40908" w:rsidP="00D40908">
            <w:pPr>
              <w:spacing w:beforeLines="50" w:before="120" w:afterLines="50" w:after="120" w:line="360" w:lineRule="auto"/>
              <w:ind w:firstLineChars="200" w:firstLine="480"/>
              <w:jc w:val="both"/>
              <w:rPr>
                <w:rFonts w:ascii="宋体" w:eastAsia="宋体" w:hAnsi="宋体" w:cs="Times New Roman"/>
                <w:sz w:val="24"/>
                <w:szCs w:val="24"/>
              </w:rPr>
            </w:pPr>
            <w:r w:rsidRPr="00A354CB">
              <w:rPr>
                <w:rFonts w:ascii="宋体" w:eastAsia="宋体" w:hAnsi="宋体" w:cs="Times New Roman"/>
                <w:sz w:val="24"/>
                <w:szCs w:val="24"/>
              </w:rPr>
              <w:t>化学创新药：公司首个I类化学创新药HY-0002a项目用于治疗KRASG12C突变的晚期实体瘤的I/II 期临床试验正在有序持续推进中，目前已在全国6家临床研究机构开展HY-0002a在KRAS突变的晚期实体瘤患者中的安全性、耐受性、药代动力学和有效性的开放性、多中心、多队列的 I/II 期研究；公司第二个I类化学创新药HY-0006项目单药用于治疗晚期实体瘤的临床试验I期已完成；报告期内，HY-0006项目正联合奥希替尼开展用于靶点驱动基因阳性的晚期非小细胞肺癌临床试验。该项目为高选择性SOS1小分子抑制剂，预期与EGFR抑制剂、KRAS抑制剂联用能发挥协同增效、克服耐药的作用。</w:t>
            </w:r>
          </w:p>
          <w:p w14:paraId="449E8710" w14:textId="14165F86" w:rsidR="00D40908" w:rsidRPr="00A354CB" w:rsidRDefault="00D40908" w:rsidP="00D40908">
            <w:pPr>
              <w:spacing w:beforeLines="50" w:before="120" w:afterLines="50" w:after="120" w:line="360" w:lineRule="auto"/>
              <w:ind w:firstLineChars="200" w:firstLine="480"/>
              <w:jc w:val="both"/>
              <w:rPr>
                <w:rFonts w:ascii="宋体" w:eastAsia="宋体" w:hAnsi="宋体" w:cs="Times New Roman"/>
                <w:sz w:val="24"/>
                <w:szCs w:val="24"/>
              </w:rPr>
            </w:pPr>
            <w:r w:rsidRPr="00A354CB">
              <w:rPr>
                <w:rFonts w:ascii="宋体" w:eastAsia="宋体" w:hAnsi="宋体" w:cs="Times New Roman"/>
                <w:sz w:val="24"/>
                <w:szCs w:val="24"/>
              </w:rPr>
              <w:t>改良新药：公司首个改良型新药HY-2003项目于2024年12月完成I期临床试验首例受试者给药，目前临床II期试验有序推进中。该项目为含有去氧胆酸的新剂型，以期降低注射部位不良反应、缩短用药间隔、加快起效时间、减少给药周期。公司第二个改良型新药HY-1016缓释注射液用于治疗子宫内膜异位症的临床试验于2026年6月获得批准。HY-1016缓释注射液为含有地诺孕素的新剂型、新给药途径，以期在不降低临床疗效、不增加新的重要安全性风险前提下，减少子宫内膜异位症患者长期治疗的用药频率，提升用药依从性。</w:t>
            </w:r>
          </w:p>
          <w:p w14:paraId="10B05705" w14:textId="77777777" w:rsidR="00D40908" w:rsidRPr="00A354CB" w:rsidRDefault="00D40908" w:rsidP="00D40908">
            <w:pPr>
              <w:spacing w:beforeLines="50" w:before="120" w:afterLines="50" w:after="120" w:line="360" w:lineRule="auto"/>
              <w:ind w:firstLineChars="200" w:firstLine="480"/>
              <w:jc w:val="both"/>
              <w:rPr>
                <w:rFonts w:ascii="宋体" w:eastAsia="宋体" w:hAnsi="宋体" w:cs="Times New Roman"/>
                <w:sz w:val="24"/>
                <w:szCs w:val="24"/>
              </w:rPr>
            </w:pPr>
            <w:r w:rsidRPr="00A354CB">
              <w:rPr>
                <w:rFonts w:ascii="宋体" w:eastAsia="宋体" w:hAnsi="宋体" w:cs="Times New Roman"/>
                <w:sz w:val="24"/>
                <w:szCs w:val="24"/>
              </w:rPr>
              <w:t>在仿制药上，公司严格把握立项标准，实施“高壁垒+高投入产出比+首仿”的立项策略。截至报告期末，国内累计上市药品达到48个；新增递交上市注册申请为1个药品，累计待批上市注册为5个药品；国外新增药品上市批件46个，累计自主持有、授权合作方持有药品批件达到579个，累计待批上市注册批件超过300个。</w:t>
            </w:r>
          </w:p>
          <w:p w14:paraId="4ED375F2" w14:textId="266FB0AA" w:rsidR="00071057" w:rsidRPr="00A354CB" w:rsidRDefault="00D40908" w:rsidP="00000326">
            <w:pPr>
              <w:spacing w:beforeLines="50" w:before="120" w:afterLines="50" w:after="120" w:line="360" w:lineRule="auto"/>
              <w:ind w:firstLineChars="200" w:firstLine="480"/>
              <w:jc w:val="both"/>
              <w:rPr>
                <w:rFonts w:ascii="宋体" w:eastAsia="宋体" w:hAnsi="宋体" w:cs="Times New Roman"/>
                <w:color w:val="auto"/>
                <w:spacing w:val="-2"/>
                <w:sz w:val="24"/>
                <w:szCs w:val="24"/>
              </w:rPr>
            </w:pPr>
            <w:r w:rsidRPr="00A354CB">
              <w:rPr>
                <w:rFonts w:ascii="宋体" w:eastAsia="宋体" w:hAnsi="宋体" w:cs="Times New Roman"/>
                <w:sz w:val="24"/>
                <w:szCs w:val="24"/>
              </w:rPr>
              <w:t>其中复杂注射剂的研发进入收获期，兰瑞肽、蔗糖铁、两性霉素脂质体等产品已进入国内药品监督管理审评环节，戈舍瑞林等多个复杂注射剂产品正有序研发中。公司复杂注射剂产品注射用紫杉醇（白</w:t>
            </w:r>
            <w:r w:rsidRPr="00A354CB">
              <w:rPr>
                <w:rFonts w:ascii="宋体" w:eastAsia="宋体" w:hAnsi="宋体" w:cs="Times New Roman"/>
                <w:sz w:val="24"/>
                <w:szCs w:val="24"/>
              </w:rPr>
              <w:lastRenderedPageBreak/>
              <w:t>蛋白结合型）已在14个欧洲国家获得注册批件；蔗糖铁注射液已在美国、德国、意大利等多国开展注册审评工作；醋酸兰瑞肽缓释注射液已在美国、丹麦、德国等多国开展注册审评工作；羧基麦芽糖铁注射液、注射用两性霉素B脂质体已在荷兰、丹麦、德国、英国等多国开展注册审评工作</w:t>
            </w:r>
            <w:r w:rsidR="00A8091C" w:rsidRPr="00A354CB">
              <w:rPr>
                <w:rFonts w:ascii="宋体" w:eastAsia="宋体" w:hAnsi="宋体" w:cs="Times New Roman"/>
                <w:sz w:val="24"/>
                <w:szCs w:val="24"/>
              </w:rPr>
              <w:t>。</w:t>
            </w:r>
          </w:p>
          <w:p w14:paraId="45E36B55" w14:textId="1E085F4F" w:rsidR="001C1CBB" w:rsidRPr="00A354CB" w:rsidRDefault="00350D41" w:rsidP="00D40908">
            <w:pPr>
              <w:numPr>
                <w:ilvl w:val="0"/>
                <w:numId w:val="1"/>
              </w:numPr>
              <w:kinsoku/>
              <w:spacing w:before="119" w:line="360" w:lineRule="auto"/>
              <w:ind w:right="36"/>
              <w:jc w:val="both"/>
              <w:rPr>
                <w:rFonts w:ascii="宋体" w:eastAsia="宋体" w:hAnsi="宋体" w:cs="Times New Roman"/>
                <w:b/>
                <w:bCs/>
                <w:color w:val="auto"/>
                <w:spacing w:val="-5"/>
                <w:sz w:val="24"/>
                <w:szCs w:val="24"/>
              </w:rPr>
            </w:pPr>
            <w:r w:rsidRPr="00A354CB">
              <w:rPr>
                <w:rFonts w:ascii="宋体" w:eastAsia="宋体" w:hAnsi="宋体" w:cs="Times New Roman"/>
                <w:b/>
                <w:bCs/>
                <w:color w:val="auto"/>
                <w:spacing w:val="-5"/>
                <w:sz w:val="24"/>
                <w:szCs w:val="24"/>
              </w:rPr>
              <w:t>问答互动</w:t>
            </w:r>
          </w:p>
          <w:p w14:paraId="38C27B61" w14:textId="5DB208BE" w:rsidR="00350D41" w:rsidRPr="00A354CB" w:rsidRDefault="00EF495B" w:rsidP="00D40908">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1、</w:t>
            </w:r>
            <w:r w:rsidR="00FB413C" w:rsidRPr="00A354CB">
              <w:rPr>
                <w:rFonts w:hint="default"/>
                <w:color w:val="auto"/>
                <w:spacing w:val="-2"/>
                <w:sz w:val="24"/>
                <w:szCs w:val="24"/>
              </w:rPr>
              <w:t>公司研发占比如何？有无资金压力</w:t>
            </w:r>
            <w:r w:rsidR="001C1CBB" w:rsidRPr="00A354CB">
              <w:rPr>
                <w:rFonts w:hint="default"/>
                <w:color w:val="auto"/>
                <w:spacing w:val="-2"/>
                <w:sz w:val="24"/>
                <w:szCs w:val="24"/>
              </w:rPr>
              <w:t>？</w:t>
            </w:r>
          </w:p>
          <w:p w14:paraId="45BD9860" w14:textId="2675C1FC" w:rsidR="00D40908" w:rsidRPr="00A354CB" w:rsidRDefault="00D528B8" w:rsidP="00D40908">
            <w:pPr>
              <w:pStyle w:val="3"/>
              <w:spacing w:before="360" w:after="240" w:line="360" w:lineRule="auto"/>
              <w:ind w:firstLineChars="200" w:firstLine="476"/>
              <w:jc w:val="both"/>
              <w:rPr>
                <w:rFonts w:hint="default"/>
                <w:b w:val="0"/>
                <w:bCs w:val="0"/>
                <w:color w:val="auto"/>
                <w:spacing w:val="-2"/>
                <w:sz w:val="24"/>
                <w:szCs w:val="24"/>
              </w:rPr>
            </w:pPr>
            <w:r w:rsidRPr="00A354CB">
              <w:rPr>
                <w:rFonts w:hint="default"/>
                <w:b w:val="0"/>
                <w:bCs w:val="0"/>
                <w:color w:val="auto"/>
                <w:spacing w:val="-2"/>
                <w:sz w:val="24"/>
                <w:szCs w:val="24"/>
              </w:rPr>
              <w:t>答：</w:t>
            </w:r>
            <w:r w:rsidR="00937494" w:rsidRPr="00A354CB">
              <w:rPr>
                <w:rFonts w:hint="default"/>
                <w:b w:val="0"/>
                <w:bCs w:val="0"/>
                <w:color w:val="auto"/>
                <w:spacing w:val="-2"/>
                <w:sz w:val="24"/>
                <w:szCs w:val="24"/>
              </w:rPr>
              <w:t>尊敬的投资者，您好！</w:t>
            </w:r>
            <w:r w:rsidR="00FB413C" w:rsidRPr="00A354CB">
              <w:rPr>
                <w:rFonts w:hint="default"/>
                <w:b w:val="0"/>
                <w:bCs w:val="0"/>
                <w:color w:val="auto"/>
                <w:spacing w:val="-2"/>
                <w:sz w:val="24"/>
                <w:szCs w:val="24"/>
              </w:rPr>
              <w:t xml:space="preserve"> 2026年上半年公司实现营业收入约5.52亿元，较上年同期增长21.79%。2026年上半年，公司研发投入为15,883万元，占营业收入比重为28.78%。资金方面，截至2026年6月30日，公司货币资金 25.40 亿元，经营活动产生的现金流量净额为0.92亿元，公司不存在资金压力。感谢您的关注！</w:t>
            </w:r>
          </w:p>
          <w:p w14:paraId="42FFDCF6" w14:textId="2E22B500" w:rsidR="00350D41" w:rsidRPr="00A354CB" w:rsidRDefault="00CB429B" w:rsidP="00D40908">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2、</w:t>
            </w:r>
            <w:r w:rsidR="00FB413C" w:rsidRPr="00A354CB">
              <w:rPr>
                <w:rFonts w:hint="default"/>
                <w:color w:val="auto"/>
                <w:spacing w:val="-2"/>
                <w:sz w:val="24"/>
                <w:szCs w:val="24"/>
              </w:rPr>
              <w:t>公司本期有分红吗</w:t>
            </w:r>
            <w:r w:rsidR="001C1CBB" w:rsidRPr="00A354CB">
              <w:rPr>
                <w:rFonts w:hint="default"/>
                <w:color w:val="auto"/>
                <w:spacing w:val="-2"/>
                <w:sz w:val="24"/>
                <w:szCs w:val="24"/>
              </w:rPr>
              <w:t>？</w:t>
            </w:r>
          </w:p>
          <w:p w14:paraId="4FA52DBD" w14:textId="1C06EFF5" w:rsidR="001C1CBB" w:rsidRPr="00A354CB" w:rsidRDefault="00D528B8" w:rsidP="00D40908">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微软雅黑" w:hint="eastAsia"/>
                <w:color w:val="auto"/>
                <w:spacing w:val="-2"/>
                <w:sz w:val="24"/>
                <w:szCs w:val="24"/>
              </w:rPr>
              <w:t>答：</w:t>
            </w:r>
            <w:r w:rsidR="00937494" w:rsidRPr="00A354CB">
              <w:rPr>
                <w:rFonts w:ascii="宋体" w:eastAsia="宋体" w:hAnsi="宋体" w:cs="Times New Roman"/>
                <w:color w:val="auto"/>
                <w:spacing w:val="-2"/>
                <w:sz w:val="24"/>
                <w:szCs w:val="24"/>
              </w:rPr>
              <w:t>尊敬的投资者，您好！</w:t>
            </w:r>
            <w:r w:rsidR="00FB413C" w:rsidRPr="00A354CB">
              <w:rPr>
                <w:rFonts w:ascii="宋体" w:eastAsia="宋体" w:hAnsi="宋体" w:cs="Times New Roman"/>
                <w:color w:val="auto"/>
                <w:spacing w:val="-2"/>
                <w:sz w:val="24"/>
                <w:szCs w:val="24"/>
              </w:rPr>
              <w:t>公司2026年半年度不进行利润分配；2025 年度每10股派现2.00元并转增4.8股，已于2026年6月实施完毕；公司未来将在兼顾研发与产能投入的前提下持续回报投资者。感谢您的关注！</w:t>
            </w:r>
          </w:p>
          <w:p w14:paraId="04EF8C2A" w14:textId="793D7E42" w:rsidR="00CB429B" w:rsidRPr="00A354CB" w:rsidRDefault="003440A5" w:rsidP="00D40908">
            <w:pPr>
              <w:kinsoku/>
              <w:spacing w:before="119" w:line="360" w:lineRule="auto"/>
              <w:ind w:right="36"/>
              <w:jc w:val="both"/>
              <w:rPr>
                <w:rFonts w:ascii="宋体" w:eastAsia="宋体" w:hAnsi="宋体" w:cs="Times New Roman"/>
                <w:b/>
                <w:bCs/>
                <w:color w:val="auto"/>
                <w:spacing w:val="-2"/>
                <w:sz w:val="24"/>
                <w:szCs w:val="24"/>
              </w:rPr>
            </w:pPr>
            <w:r w:rsidRPr="00A354CB">
              <w:rPr>
                <w:rFonts w:ascii="宋体" w:eastAsia="宋体" w:hAnsi="宋体" w:cs="Times New Roman"/>
                <w:b/>
                <w:bCs/>
                <w:color w:val="auto"/>
                <w:spacing w:val="-2"/>
                <w:sz w:val="24"/>
                <w:szCs w:val="24"/>
              </w:rPr>
              <w:t>3</w:t>
            </w:r>
            <w:r w:rsidR="00CB429B" w:rsidRPr="00A354CB">
              <w:rPr>
                <w:rFonts w:ascii="宋体" w:eastAsia="宋体" w:hAnsi="宋体" w:cs="Times New Roman"/>
                <w:b/>
                <w:bCs/>
                <w:color w:val="auto"/>
                <w:spacing w:val="-2"/>
                <w:sz w:val="24"/>
                <w:szCs w:val="24"/>
              </w:rPr>
              <w:t>、</w:t>
            </w:r>
            <w:r w:rsidR="00FB413C" w:rsidRPr="00A354CB">
              <w:rPr>
                <w:rFonts w:ascii="宋体" w:eastAsia="宋体" w:hAnsi="宋体" w:cs="Times New Roman"/>
                <w:b/>
                <w:bCs/>
                <w:color w:val="auto"/>
                <w:spacing w:val="-2"/>
                <w:sz w:val="24"/>
                <w:szCs w:val="24"/>
              </w:rPr>
              <w:t>请介绍下公司创新药的管线进度，预计什么时候会有海外BD</w:t>
            </w:r>
            <w:r w:rsidR="001C1CBB" w:rsidRPr="00A354CB">
              <w:rPr>
                <w:rFonts w:ascii="宋体" w:eastAsia="宋体" w:hAnsi="宋体" w:cs="Times New Roman"/>
                <w:b/>
                <w:bCs/>
                <w:color w:val="auto"/>
                <w:spacing w:val="-2"/>
                <w:sz w:val="24"/>
                <w:szCs w:val="24"/>
              </w:rPr>
              <w:t>？</w:t>
            </w:r>
          </w:p>
          <w:p w14:paraId="2A33337A" w14:textId="51304186" w:rsidR="00C151B6" w:rsidRPr="00A354CB" w:rsidRDefault="00D528B8" w:rsidP="00D40908">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微软雅黑" w:hint="eastAsia"/>
                <w:color w:val="auto"/>
                <w:spacing w:val="-2"/>
                <w:sz w:val="24"/>
                <w:szCs w:val="24"/>
              </w:rPr>
              <w:t>答：</w:t>
            </w:r>
            <w:r w:rsidR="00FB413C" w:rsidRPr="00A354CB">
              <w:rPr>
                <w:rFonts w:ascii="宋体" w:eastAsia="宋体" w:hAnsi="宋体" w:cs="Times New Roman"/>
                <w:color w:val="auto"/>
                <w:spacing w:val="-2"/>
                <w:sz w:val="24"/>
                <w:szCs w:val="24"/>
              </w:rPr>
              <w:t>尊敬的投资者，您好！公司在研I类创新药项目有14个，包括小分子项目、三抗/ADC生物药项目。I类生物创新药HY-0007项目静脉给药途径用于治疗晚期实体瘤的临床Ⅰ期研究持续推进中；2026年6月新增皮下注射（SC）给药途径临床试验申请，2026年8月皮下注射给药途径临床试验申请获批。I类生物创新药HY-0001项目用于治疗晚期实体瘤的临床Ⅰ期试验正在推进中。I类生物创新药HY-0005项目用于治疗晚期实体瘤的临床Ⅰ期试验正在推进中。I类双靶点小分子创新药HY-0002a项目用于治疗KRASG12C突变的晚期实体瘤的Ⅰ/Ⅱ期临床试验正在有序持续推进中。I类化学创新药HY-0006项目单药用于治疗晚期实体瘤的临床试验Ⅰ期已完成，HY-0006项目与奥希替尼联合治疗靶点驱动基因阳性的晚期NSCLC患者的临床试验推进中。 BD 是公</w:t>
            </w:r>
            <w:r w:rsidR="00FB413C" w:rsidRPr="00A354CB">
              <w:rPr>
                <w:rFonts w:ascii="宋体" w:eastAsia="宋体" w:hAnsi="宋体" w:cs="Times New Roman"/>
                <w:color w:val="auto"/>
                <w:spacing w:val="-2"/>
                <w:sz w:val="24"/>
                <w:szCs w:val="24"/>
              </w:rPr>
              <w:lastRenderedPageBreak/>
              <w:t>司长期推进的方向，对外授权受临床数据、对方决策及市场环境等多重因素影响，具有重大不确定性，如有达到披露标准的进展将及时公告。感谢您的关注！</w:t>
            </w:r>
          </w:p>
          <w:p w14:paraId="4F8E1E84" w14:textId="0EFD1B2F" w:rsidR="00FB413C" w:rsidRPr="00A354CB" w:rsidRDefault="00FB413C" w:rsidP="00FB413C">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4、上半年末，公司应收账款账面价值较2025年末增长超50%，核心原因是什么？有何应对措施？</w:t>
            </w:r>
          </w:p>
          <w:p w14:paraId="009496F1" w14:textId="2C406B0B" w:rsidR="00FB413C" w:rsidRPr="00A354CB" w:rsidRDefault="00D528B8" w:rsidP="00FB413C">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答：</w:t>
            </w:r>
            <w:r w:rsidR="00FB413C" w:rsidRPr="00A354CB">
              <w:rPr>
                <w:rFonts w:ascii="宋体" w:eastAsia="宋体" w:hAnsi="宋体" w:cs="Times New Roman"/>
                <w:color w:val="auto"/>
                <w:spacing w:val="-2"/>
                <w:sz w:val="24"/>
                <w:szCs w:val="24"/>
              </w:rPr>
              <w:t>尊敬的投资者，您好！公司上半年应收账款大幅增长主要是海外子公司业务扩张、海外销售收入增加带来的。一方面加强海外客户信用审核、严格授信管理；另一方面持续跟踪海外回款，落实对账与催收，做好坏账风险管控，兼顾海外业务发展和现金流安全。感谢您的关注！</w:t>
            </w:r>
          </w:p>
          <w:p w14:paraId="5F6F5D69" w14:textId="5926771E" w:rsidR="00360403" w:rsidRPr="00A354CB" w:rsidRDefault="00360403" w:rsidP="00360403">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5、《证券日报》记者提问：上半年公司海外收入大幅攀升的原因，未来持续性如何？</w:t>
            </w:r>
          </w:p>
          <w:p w14:paraId="05C4FC9A" w14:textId="199CAFDD" w:rsidR="00360403" w:rsidRPr="00A354CB" w:rsidRDefault="00D528B8" w:rsidP="00360403">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答：</w:t>
            </w:r>
            <w:r w:rsidR="00360403" w:rsidRPr="00A354CB">
              <w:rPr>
                <w:rFonts w:ascii="宋体" w:eastAsia="宋体" w:hAnsi="宋体" w:cs="Times New Roman"/>
                <w:color w:val="auto"/>
                <w:spacing w:val="-2"/>
                <w:sz w:val="24"/>
                <w:szCs w:val="24"/>
              </w:rPr>
              <w:t>尊敬的投资者，您好！ 2026年上半年，公司实现国外营业收入约1.74亿元，同比增长率约92.42%。公司海外收入的快速增长，一是受益于产品管线的增加，截止2026 年上半年，公司在海外累计已有30个产品获批上市，包括紫杉醇白蛋白这样的复杂注射剂；二是海外销售业务已覆盖，较2025年新增9个国家和地区，且美国市场已有产品从2025年开始陆续获批；三是公司新增代理扬子江、复星等国内企业产品在欧洲的注册和销售业务，进一步完善了公司产品结构，提升了市场竞争力。感谢您的关注！</w:t>
            </w:r>
          </w:p>
          <w:p w14:paraId="7CC379A3" w14:textId="6BD84454" w:rsidR="00360403" w:rsidRPr="00A354CB" w:rsidRDefault="00360403" w:rsidP="00360403">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6、贵司与美国公司签订了合作协议，但预期将对仿制药的关税，这对贵司与美国公司的合作会有什么影响？</w:t>
            </w:r>
          </w:p>
          <w:p w14:paraId="4A142AD8" w14:textId="49EBAE57" w:rsidR="00360403" w:rsidRPr="00A354CB" w:rsidRDefault="00D528B8" w:rsidP="00360403">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答：</w:t>
            </w:r>
            <w:r w:rsidR="00360403" w:rsidRPr="00A354CB">
              <w:rPr>
                <w:rFonts w:ascii="宋体" w:eastAsia="宋体" w:hAnsi="宋体" w:cs="Times New Roman"/>
                <w:color w:val="auto"/>
                <w:spacing w:val="-2"/>
                <w:sz w:val="24"/>
                <w:szCs w:val="24"/>
              </w:rPr>
              <w:t>尊敬的投资者，您好！美国关税政策目前对公司短期影响较为有限，主要原因是：仿制药明确豁免（白宫2026年4月2日依据《1962年贸易扩张法》第232条款对专利药及专利原料药（API）征收最高100%关税，但仿制药、生物类似药及其原料明确豁免）。后续公司将继续关注仿制药豁免政策是否变化、以及潜在本土制造要求对合作模式的影响。感谢您的关注！</w:t>
            </w:r>
          </w:p>
          <w:p w14:paraId="24C436FA" w14:textId="5B0EE706" w:rsidR="00360403" w:rsidRPr="00A354CB" w:rsidRDefault="00360403" w:rsidP="00360403">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lastRenderedPageBreak/>
              <w:t>7、《证券日报》记者提问：请介绍公司研发策略，目前在研管线重点聚焦哪些领域？未来有哪些管线产品即将迎来商业化上市？</w:t>
            </w:r>
          </w:p>
          <w:p w14:paraId="3BB9B499" w14:textId="672DC3D2" w:rsidR="00360403" w:rsidRPr="00A354CB" w:rsidRDefault="00D528B8" w:rsidP="00360403">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答：</w:t>
            </w:r>
            <w:r w:rsidR="00360403" w:rsidRPr="00A354CB">
              <w:rPr>
                <w:rFonts w:ascii="宋体" w:eastAsia="宋体" w:hAnsi="宋体" w:cs="Times New Roman"/>
                <w:color w:val="auto"/>
                <w:spacing w:val="-2"/>
                <w:sz w:val="24"/>
                <w:szCs w:val="24"/>
              </w:rPr>
              <w:t>尊敬的投资者，您好！公司研发整体以肿瘤治疗领域为主，其他综合治疗领域为辅；公司将集中资源优先发展创新药，仿制药则聚焦于复杂注射剂。未来，在仿制药方面，会有更多的复杂注射剂迎来商业化。目前，复杂注射剂紫杉醇白蛋白已在14个欧洲国家获得注册批件；羧基麦芽糖铁、兰瑞肽、蔗糖铁、两性霉素脂质体已进入药品监督管理审评环节；戈舍瑞林、异麦芽糖酐铁正有序研发中；在创新药方面，目前在研创新药项目合计14个（含小分子、三抗/TCE、ADC生物药），其中5个已进入临床阶段，且多个项目具有FIC管线潜力，未来具备 BD 潜力。感谢您的关注！</w:t>
            </w:r>
          </w:p>
          <w:p w14:paraId="47F90A6E" w14:textId="0712CD2D" w:rsidR="00360403" w:rsidRPr="00A354CB" w:rsidRDefault="00360403" w:rsidP="00360403">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8、根据山德士内部测算显示，2026年至2030年，生物类似药和仿制药合计的专利过期市场机会约为2600亿美元；2031年至2035年间将膨胀至3500亿美元；2036年至2040年更达3700亿美元，这可谓是“仿制药制造商的黄金十年”。公司在未来的生物类似药赛道有没有深度战略布局，充分利用自身研发优势，这明显比公司布局的医美赛道更加贴近医药主业。</w:t>
            </w:r>
          </w:p>
          <w:p w14:paraId="675F241B" w14:textId="5B701A34" w:rsidR="00360403" w:rsidRPr="00A354CB" w:rsidRDefault="00D528B8" w:rsidP="00360403">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答：</w:t>
            </w:r>
            <w:r w:rsidR="00360403" w:rsidRPr="00A354CB">
              <w:rPr>
                <w:rFonts w:ascii="宋体" w:eastAsia="宋体" w:hAnsi="宋体" w:cs="Times New Roman"/>
                <w:color w:val="auto"/>
                <w:spacing w:val="-2"/>
                <w:sz w:val="24"/>
                <w:szCs w:val="24"/>
              </w:rPr>
              <w:t>尊敬的投资者，您好！</w:t>
            </w:r>
            <w:r w:rsidR="003476E3" w:rsidRPr="00A354CB">
              <w:rPr>
                <w:rFonts w:ascii="宋体" w:eastAsia="宋体" w:hAnsi="宋体" w:cs="Times New Roman"/>
                <w:color w:val="auto"/>
                <w:spacing w:val="-2"/>
                <w:sz w:val="24"/>
                <w:szCs w:val="24"/>
              </w:rPr>
              <w:t>“</w:t>
            </w:r>
            <w:r w:rsidR="00360403" w:rsidRPr="00A354CB">
              <w:rPr>
                <w:rFonts w:ascii="宋体" w:eastAsia="宋体" w:hAnsi="宋体" w:cs="Times New Roman"/>
                <w:color w:val="auto"/>
                <w:spacing w:val="-2"/>
                <w:sz w:val="24"/>
                <w:szCs w:val="24"/>
              </w:rPr>
              <w:t>适应集采、全面拥抱创新、加速国际化</w:t>
            </w:r>
            <w:r w:rsidR="003476E3" w:rsidRPr="00A354CB">
              <w:rPr>
                <w:rFonts w:ascii="宋体" w:eastAsia="宋体" w:hAnsi="宋体" w:cs="Times New Roman"/>
                <w:color w:val="auto"/>
                <w:spacing w:val="-2"/>
                <w:sz w:val="24"/>
                <w:szCs w:val="24"/>
              </w:rPr>
              <w:t>”</w:t>
            </w:r>
            <w:r w:rsidR="00360403" w:rsidRPr="00A354CB">
              <w:rPr>
                <w:rFonts w:ascii="宋体" w:eastAsia="宋体" w:hAnsi="宋体" w:cs="Times New Roman"/>
                <w:color w:val="auto"/>
                <w:spacing w:val="-2"/>
                <w:sz w:val="24"/>
                <w:szCs w:val="24"/>
              </w:rPr>
              <w:t>是公司发展的核心战略。在仿制药上，公司将结合自身在复杂注射剂、肿瘤治疗领域的平台积累，将综合考虑中国、欧洲和美国三地的政策、市场、竞争格局、技术壁垒等多个因素，实施“高壁垒+高投入产出比”的策略，针对全球不同市场的需求进行差异化立项。生物类似药虽然市场规模很大，但具有研发周期长、研发投入大的特性，且目前竞争格局相对拥挤。对于符合公司能力、具备明确商业价值的生物类似药机会，公司也会结合行业格局变化持续评估，不排除进行立项研发、管线引进等。感谢您的关注！</w:t>
            </w:r>
          </w:p>
          <w:p w14:paraId="40749BF9" w14:textId="425DC0D0" w:rsidR="00566C2F" w:rsidRPr="00A354CB" w:rsidRDefault="00566C2F" w:rsidP="00566C2F">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9、这几年公示研发费用累计已接近15亿左右，除了几个新药一期二期临床受理通知，真正的创新成果却差强人意，管理层有没有制定差异化的、适合公司实际情况的研发战略以提高研发效率？</w:t>
            </w:r>
          </w:p>
          <w:p w14:paraId="50D93C1D" w14:textId="415D9CCC" w:rsidR="00566C2F" w:rsidRPr="00A354CB" w:rsidRDefault="00566C2F" w:rsidP="00566C2F">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答：尊敬的投资者，您好！公司成立以来，研发驱动是公司坚定不移的发展战略，在当前的行业发展态势下，全面拥抱创新显得更为</w:t>
            </w:r>
            <w:r w:rsidRPr="00A354CB">
              <w:rPr>
                <w:rFonts w:ascii="宋体" w:eastAsia="宋体" w:hAnsi="宋体" w:cs="Times New Roman"/>
                <w:color w:val="auto"/>
                <w:spacing w:val="-2"/>
                <w:sz w:val="24"/>
                <w:szCs w:val="24"/>
              </w:rPr>
              <w:lastRenderedPageBreak/>
              <w:t>迫切和重要。但创新药具有研发周期长、研发投入高、失败率高等特点。从产出来看，公司目前在研创新药项目合计14个（含小分子、三抗/TCE、ADC生物药），其中5个已进入临床阶段，且多个项目具有FIC管线潜力；在研改良新药5个，其中2个已进入临床阶段。这意味着公司管线有相当比例已进入实质性临床推进和知识产权沉淀，也符合创新药研发的行业规律。公司理解创新药从立项到商业化兑现需要较长周期，管理层将持续优化资源配置效率，把有限研发投入集中在真正具备差异化临床价值的方向上。感谢您的关注！</w:t>
            </w:r>
          </w:p>
          <w:p w14:paraId="57298501" w14:textId="55872F16" w:rsidR="00E51395" w:rsidRPr="00A354CB" w:rsidRDefault="00E51395" w:rsidP="00E51395">
            <w:pPr>
              <w:pStyle w:val="3"/>
              <w:spacing w:before="360" w:beforeAutospacing="0" w:after="240" w:afterAutospacing="0" w:line="360" w:lineRule="atLeast"/>
              <w:jc w:val="both"/>
              <w:rPr>
                <w:rFonts w:hint="default"/>
                <w:color w:val="auto"/>
                <w:spacing w:val="-2"/>
                <w:sz w:val="24"/>
                <w:szCs w:val="24"/>
              </w:rPr>
            </w:pPr>
            <w:r w:rsidRPr="00A354CB">
              <w:rPr>
                <w:rFonts w:hint="default"/>
                <w:color w:val="auto"/>
                <w:spacing w:val="-2"/>
                <w:sz w:val="24"/>
                <w:szCs w:val="24"/>
              </w:rPr>
              <w:t>10、近两年公司的仿制药申报节奏明显放缓，公司在国内的仿制药基本盘在未来的发展计划是什么？</w:t>
            </w:r>
          </w:p>
          <w:p w14:paraId="2197CA8A" w14:textId="52F6DF0E" w:rsidR="00E51395" w:rsidRPr="00A354CB" w:rsidRDefault="00D528B8" w:rsidP="00E51395">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t>答：</w:t>
            </w:r>
            <w:r w:rsidR="00E51395" w:rsidRPr="00A354CB">
              <w:rPr>
                <w:rFonts w:ascii="宋体" w:eastAsia="宋体" w:hAnsi="宋体" w:cs="Times New Roman"/>
                <w:color w:val="auto"/>
                <w:spacing w:val="-2"/>
                <w:sz w:val="24"/>
                <w:szCs w:val="24"/>
              </w:rPr>
              <w:t>尊敬的投资者，您好！仿制药新增申报节奏的变化，是公司主动的结构性调整：在集采常态化背景下，单纯扩大常规仿制药品种数量对收入和盈利的边际贡献在下降，公司因此将资源更多投向技术壁垒更高、竞争格局更温和的复杂注射剂、改良新药和专利挑战首仿新药。目前，注射用紫杉醇（白蛋白结合型）已在14个欧洲国家获得注册批件；羧基麦芽糖铁、兰瑞肽、蔗糖铁、两性霉素脂质体已进入药品监督管理审评环节；戈舍瑞林、异麦芽糖酐铁正有序研发中。国内仿制药基本盘方面，公司将在现有48个上市品种（肿瘤治疗领域26个、其他治疗领域22个）的基础上，通过复杂注射剂、改良新药和专利挑战首仿新药的国际化持续提升海外收入占比，实现</w:t>
            </w:r>
            <w:r w:rsidR="00C16035" w:rsidRPr="00A354CB">
              <w:rPr>
                <w:rFonts w:ascii="宋体" w:eastAsia="宋体" w:hAnsi="宋体" w:cs="Times New Roman"/>
                <w:color w:val="auto"/>
                <w:spacing w:val="-2"/>
                <w:sz w:val="24"/>
                <w:szCs w:val="24"/>
              </w:rPr>
              <w:t>“</w:t>
            </w:r>
            <w:r w:rsidR="00E51395" w:rsidRPr="00A354CB">
              <w:rPr>
                <w:rFonts w:ascii="宋体" w:eastAsia="宋体" w:hAnsi="宋体" w:cs="Times New Roman"/>
                <w:color w:val="auto"/>
                <w:spacing w:val="-2"/>
                <w:sz w:val="24"/>
                <w:szCs w:val="24"/>
              </w:rPr>
              <w:t>存量稳固+结构升级+海外拓展</w:t>
            </w:r>
            <w:r w:rsidR="00C16035" w:rsidRPr="00A354CB">
              <w:rPr>
                <w:rFonts w:ascii="宋体" w:eastAsia="宋体" w:hAnsi="宋体" w:cs="Times New Roman"/>
                <w:color w:val="auto"/>
                <w:spacing w:val="-2"/>
                <w:sz w:val="24"/>
                <w:szCs w:val="24"/>
              </w:rPr>
              <w:t>”</w:t>
            </w:r>
            <w:r w:rsidR="00E51395" w:rsidRPr="00A354CB">
              <w:rPr>
                <w:rFonts w:ascii="宋体" w:eastAsia="宋体" w:hAnsi="宋体" w:cs="Times New Roman"/>
                <w:color w:val="auto"/>
                <w:spacing w:val="-2"/>
                <w:sz w:val="24"/>
                <w:szCs w:val="24"/>
              </w:rPr>
              <w:t>并行的发展路径。感谢您的关注！</w:t>
            </w:r>
          </w:p>
          <w:p w14:paraId="15BC622F" w14:textId="2DDD7AF0" w:rsidR="00E51395" w:rsidRPr="00A354CB" w:rsidRDefault="00E51395" w:rsidP="00E51395">
            <w:pPr>
              <w:pStyle w:val="3"/>
              <w:spacing w:before="360" w:after="240" w:line="360" w:lineRule="atLeast"/>
              <w:jc w:val="both"/>
              <w:rPr>
                <w:rFonts w:hint="default"/>
                <w:color w:val="auto"/>
                <w:spacing w:val="-2"/>
                <w:sz w:val="24"/>
                <w:szCs w:val="24"/>
              </w:rPr>
            </w:pPr>
            <w:r w:rsidRPr="00A354CB">
              <w:rPr>
                <w:rFonts w:hint="default"/>
                <w:color w:val="auto"/>
                <w:spacing w:val="-2"/>
                <w:sz w:val="24"/>
                <w:szCs w:val="24"/>
              </w:rPr>
              <w:t>1</w:t>
            </w:r>
            <w:r w:rsidR="00000326" w:rsidRPr="00A354CB">
              <w:rPr>
                <w:rFonts w:hint="default"/>
                <w:color w:val="auto"/>
                <w:spacing w:val="-2"/>
                <w:sz w:val="24"/>
                <w:szCs w:val="24"/>
              </w:rPr>
              <w:t>1</w:t>
            </w:r>
            <w:r w:rsidRPr="00A354CB">
              <w:rPr>
                <w:rFonts w:hint="default"/>
                <w:color w:val="auto"/>
                <w:spacing w:val="-2"/>
                <w:sz w:val="24"/>
                <w:szCs w:val="24"/>
              </w:rPr>
              <w:t>、2025年全球生物类似药市场规模已达362亿美元，过去五年复合增长率约11%。未来几年全球MNC将迎来史上最大专利悬崖，有118种生物制剂将会失去相应的专利保护，涉及2340亿美元市场。然而，目前这118款即将到期分子中，只有极少数在火热开发，大量缺口有待生物类似药填补。这一判断得到权威数据印证。据</w:t>
            </w:r>
            <w:proofErr w:type="spellStart"/>
            <w:r w:rsidRPr="00A354CB">
              <w:rPr>
                <w:rFonts w:hint="default"/>
                <w:color w:val="auto"/>
                <w:spacing w:val="-2"/>
                <w:sz w:val="24"/>
                <w:szCs w:val="24"/>
              </w:rPr>
              <w:t>DrugPatentWatch</w:t>
            </w:r>
            <w:proofErr w:type="spellEnd"/>
            <w:r w:rsidRPr="00A354CB">
              <w:rPr>
                <w:rFonts w:hint="default"/>
                <w:color w:val="auto"/>
                <w:spacing w:val="-2"/>
                <w:sz w:val="24"/>
                <w:szCs w:val="24"/>
              </w:rPr>
              <w:t>统计，2025至2034年间仅有12个即将失去专利保护的分子有生物类似药在研，超过100个生物药专利到期后面临“生物类似药空白”。这种缺口源于生物类似药开发的高壁垒，即通常需要6至9年时间和1亿至3亿美元投入。请问公司有没有在生物仿制药上制定未来3-5年的发展规划？另外公司在未来是否考虑利用AI这一先进工具加速研发进程，降低研发成本？</w:t>
            </w:r>
          </w:p>
          <w:p w14:paraId="0499CCAC" w14:textId="2A342025" w:rsidR="00E51395" w:rsidRPr="00A354CB" w:rsidRDefault="00D528B8" w:rsidP="00E51395">
            <w:pPr>
              <w:kinsoku/>
              <w:spacing w:before="119" w:line="360" w:lineRule="auto"/>
              <w:ind w:right="36" w:firstLineChars="200" w:firstLine="476"/>
              <w:jc w:val="both"/>
              <w:rPr>
                <w:rFonts w:ascii="宋体" w:eastAsia="宋体" w:hAnsi="宋体" w:cs="Times New Roman"/>
                <w:color w:val="auto"/>
                <w:spacing w:val="-2"/>
                <w:sz w:val="24"/>
                <w:szCs w:val="24"/>
              </w:rPr>
            </w:pPr>
            <w:r w:rsidRPr="00A354CB">
              <w:rPr>
                <w:rFonts w:ascii="宋体" w:eastAsia="宋体" w:hAnsi="宋体" w:cs="Times New Roman"/>
                <w:color w:val="auto"/>
                <w:spacing w:val="-2"/>
                <w:sz w:val="24"/>
                <w:szCs w:val="24"/>
              </w:rPr>
              <w:lastRenderedPageBreak/>
              <w:t>答：</w:t>
            </w:r>
            <w:r w:rsidR="00E51395" w:rsidRPr="00A354CB">
              <w:rPr>
                <w:rFonts w:ascii="宋体" w:eastAsia="宋体" w:hAnsi="宋体" w:cs="Times New Roman"/>
                <w:color w:val="auto"/>
                <w:spacing w:val="-2"/>
                <w:sz w:val="24"/>
                <w:szCs w:val="24"/>
              </w:rPr>
              <w:t>尊敬的投资者，您好！（1）生物类似药虽然市场规模很大，但具有研发周期长、研发投入大的特性，且目前竞争格局相对拥挤。对于符合公司能力、具备明确商业价值的生物类似药机会，公司也会结合行业格局变化持续评估，不排除进行立项研发、管线引进等。同时，公司将发挥自身在复杂注射剂、肿瘤治疗领域的平台优势，将复杂注射剂、改良新药、专利挑战首仿新药的国际化作为另一重要战略方向。（2）在AI应用方面，公司持续推动AI技术与创新药全链条研发深度耦合：临床前阶段运用AI工具赋能靶点发现、分子设计、化合物筛选；临床阶段运用AI工具赋能方案设计、受试者筛选、多中心数据管理及风险预判。这些应用的核心目标是降低早期阶段的试错成本、缩短里程碑达成周期，公司将结合实际研发场景持续扩大AI工具的应用范围。感谢您的关注！</w:t>
            </w:r>
          </w:p>
        </w:tc>
      </w:tr>
      <w:tr w:rsidR="004A375F" w:rsidRPr="00A354CB" w14:paraId="006186D4" w14:textId="77777777" w:rsidTr="005C54A3">
        <w:trPr>
          <w:trHeight w:val="729"/>
        </w:trPr>
        <w:tc>
          <w:tcPr>
            <w:tcW w:w="1425" w:type="dxa"/>
            <w:gridSpan w:val="2"/>
            <w:vAlign w:val="center"/>
          </w:tcPr>
          <w:p w14:paraId="0D02B313" w14:textId="77777777" w:rsidR="004A375F" w:rsidRPr="00A354CB" w:rsidRDefault="00EF495B">
            <w:pPr>
              <w:kinsoku/>
              <w:spacing w:before="78" w:line="185" w:lineRule="auto"/>
              <w:jc w:val="both"/>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lastRenderedPageBreak/>
              <w:t>关于本次活动是</w:t>
            </w: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否涉及应披露重大信息的说明</w:t>
            </w:r>
          </w:p>
        </w:tc>
        <w:tc>
          <w:tcPr>
            <w:tcW w:w="7477" w:type="dxa"/>
            <w:gridSpan w:val="2"/>
            <w:vAlign w:val="center"/>
          </w:tcPr>
          <w:p w14:paraId="3B9C9088" w14:textId="77777777" w:rsidR="004A375F" w:rsidRPr="00A354CB" w:rsidRDefault="00EF495B">
            <w:pPr>
              <w:kinsoku/>
              <w:spacing w:before="117" w:line="185" w:lineRule="auto"/>
              <w:ind w:firstLine="164"/>
              <w:rPr>
                <w:rFonts w:ascii="宋体" w:eastAsia="宋体" w:hAnsi="宋体" w:cs="宋体" w:hint="eastAsia"/>
                <w:spacing w:val="-2"/>
                <w:sz w:val="24"/>
                <w:szCs w:val="24"/>
              </w:rPr>
            </w:pPr>
            <w:r w:rsidRPr="00A354CB">
              <w:rPr>
                <w:rFonts w:ascii="宋体" w:eastAsia="宋体" w:hAnsi="宋体" w:cs="宋体" w:hint="eastAsia"/>
                <w:spacing w:val="-2"/>
                <w:sz w:val="24"/>
                <w:szCs w:val="24"/>
              </w:rPr>
              <w:t>否。</w:t>
            </w:r>
          </w:p>
        </w:tc>
      </w:tr>
      <w:tr w:rsidR="004A375F" w:rsidRPr="00A354CB" w14:paraId="0334BE42" w14:textId="77777777">
        <w:trPr>
          <w:trHeight w:val="383"/>
        </w:trPr>
        <w:tc>
          <w:tcPr>
            <w:tcW w:w="1425" w:type="dxa"/>
            <w:gridSpan w:val="2"/>
            <w:vAlign w:val="center"/>
          </w:tcPr>
          <w:p w14:paraId="387E2931"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t>附件清</w:t>
            </w:r>
            <w:r w:rsidRPr="00A354CB">
              <w:rPr>
                <w:rFonts w:ascii="宋体" w:eastAsia="宋体" w:hAnsi="宋体" w:cs="宋体"/>
                <w:spacing w:val="-2"/>
                <w:sz w:val="24"/>
                <w:szCs w:val="24"/>
                <w14:textOutline w14:w="4356" w14:cap="flat" w14:cmpd="sng" w14:algn="ctr">
                  <w14:solidFill>
                    <w14:srgbClr w14:val="000000"/>
                  </w14:solidFill>
                  <w14:prstDash w14:val="solid"/>
                  <w14:miter w14:lim="0"/>
                </w14:textOutline>
              </w:rPr>
              <w:t>单</w:t>
            </w:r>
          </w:p>
        </w:tc>
        <w:tc>
          <w:tcPr>
            <w:tcW w:w="7477" w:type="dxa"/>
            <w:gridSpan w:val="2"/>
            <w:vAlign w:val="center"/>
          </w:tcPr>
          <w:p w14:paraId="5AFEFCCA" w14:textId="77777777" w:rsidR="004A375F" w:rsidRPr="00A354CB" w:rsidRDefault="00EF495B">
            <w:pPr>
              <w:kinsoku/>
              <w:spacing w:before="117" w:line="185" w:lineRule="auto"/>
              <w:ind w:firstLine="164"/>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hint="eastAsia"/>
                <w:spacing w:val="-2"/>
                <w:sz w:val="24"/>
                <w:szCs w:val="24"/>
              </w:rPr>
              <w:t>否。</w:t>
            </w:r>
          </w:p>
        </w:tc>
      </w:tr>
      <w:tr w:rsidR="004A375F" w:rsidRPr="00A354CB" w14:paraId="1DABC639" w14:textId="77777777">
        <w:trPr>
          <w:trHeight w:val="52"/>
        </w:trPr>
        <w:tc>
          <w:tcPr>
            <w:tcW w:w="1425" w:type="dxa"/>
            <w:gridSpan w:val="2"/>
            <w:vAlign w:val="center"/>
          </w:tcPr>
          <w:p w14:paraId="19739A88" w14:textId="77777777" w:rsidR="004A375F" w:rsidRPr="00A354CB" w:rsidRDefault="00EF495B">
            <w:pPr>
              <w:kinsoku/>
              <w:spacing w:before="78" w:line="185" w:lineRule="auto"/>
              <w:ind w:leftChars="-50" w:left="-105" w:firstLine="165"/>
              <w:jc w:val="center"/>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宋体" w:hint="eastAsia"/>
                <w:spacing w:val="-2"/>
                <w:sz w:val="24"/>
                <w:szCs w:val="24"/>
                <w14:textOutline w14:w="4356" w14:cap="flat" w14:cmpd="sng" w14:algn="ctr">
                  <w14:solidFill>
                    <w14:srgbClr w14:val="000000"/>
                  </w14:solidFill>
                  <w14:prstDash w14:val="solid"/>
                  <w14:miter w14:lim="0"/>
                </w14:textOutline>
              </w:rPr>
              <w:t>日期</w:t>
            </w:r>
          </w:p>
        </w:tc>
        <w:tc>
          <w:tcPr>
            <w:tcW w:w="7477" w:type="dxa"/>
            <w:gridSpan w:val="2"/>
            <w:vAlign w:val="center"/>
          </w:tcPr>
          <w:p w14:paraId="02FC21DD" w14:textId="71A8F216" w:rsidR="004A375F" w:rsidRPr="00A354CB" w:rsidRDefault="00EF495B">
            <w:pPr>
              <w:kinsoku/>
              <w:spacing w:before="117" w:line="185" w:lineRule="auto"/>
              <w:ind w:firstLine="164"/>
              <w:rPr>
                <w:rFonts w:ascii="宋体" w:eastAsia="宋体" w:hAnsi="宋体" w:cs="Times New Roman"/>
                <w:spacing w:val="-2"/>
                <w:sz w:val="24"/>
                <w:szCs w:val="24"/>
                <w14:textOutline w14:w="4356" w14:cap="flat" w14:cmpd="sng" w14:algn="ctr">
                  <w14:solidFill>
                    <w14:srgbClr w14:val="000000"/>
                  </w14:solidFill>
                  <w14:prstDash w14:val="solid"/>
                  <w14:miter w14:lim="0"/>
                </w14:textOutline>
              </w:rPr>
            </w:pPr>
            <w:r w:rsidRPr="00A354CB">
              <w:rPr>
                <w:rFonts w:ascii="宋体" w:eastAsia="宋体" w:hAnsi="宋体" w:cs="Times New Roman"/>
                <w:spacing w:val="-2"/>
                <w:sz w:val="24"/>
                <w:szCs w:val="24"/>
              </w:rPr>
              <w:t>202</w:t>
            </w:r>
            <w:r w:rsidR="00071057" w:rsidRPr="00A354CB">
              <w:rPr>
                <w:rFonts w:ascii="宋体" w:eastAsia="宋体" w:hAnsi="宋体" w:cs="Times New Roman"/>
                <w:spacing w:val="-2"/>
                <w:sz w:val="24"/>
                <w:szCs w:val="24"/>
              </w:rPr>
              <w:t>6</w:t>
            </w:r>
            <w:r w:rsidRPr="00A354CB">
              <w:rPr>
                <w:rFonts w:ascii="宋体" w:eastAsia="宋体" w:hAnsi="宋体" w:cs="Times New Roman"/>
                <w:spacing w:val="-2"/>
                <w:sz w:val="24"/>
                <w:szCs w:val="24"/>
              </w:rPr>
              <w:t>年</w:t>
            </w:r>
            <w:r w:rsidR="00D40908" w:rsidRPr="00A354CB">
              <w:rPr>
                <w:rFonts w:ascii="宋体" w:eastAsia="宋体" w:hAnsi="宋体" w:cs="Times New Roman"/>
                <w:spacing w:val="-2"/>
                <w:sz w:val="24"/>
                <w:szCs w:val="24"/>
              </w:rPr>
              <w:t>9</w:t>
            </w:r>
            <w:r w:rsidRPr="00A354CB">
              <w:rPr>
                <w:rFonts w:ascii="宋体" w:eastAsia="宋体" w:hAnsi="宋体" w:cs="Times New Roman"/>
                <w:spacing w:val="-2"/>
                <w:sz w:val="24"/>
                <w:szCs w:val="24"/>
              </w:rPr>
              <w:t>月</w:t>
            </w:r>
            <w:r w:rsidR="00D40908" w:rsidRPr="00A354CB">
              <w:rPr>
                <w:rFonts w:ascii="宋体" w:eastAsia="宋体" w:hAnsi="宋体" w:cs="Times New Roman"/>
                <w:spacing w:val="-2"/>
                <w:sz w:val="24"/>
                <w:szCs w:val="24"/>
              </w:rPr>
              <w:t>14</w:t>
            </w:r>
            <w:r w:rsidRPr="00A354CB">
              <w:rPr>
                <w:rFonts w:ascii="宋体" w:eastAsia="宋体" w:hAnsi="宋体" w:cs="Times New Roman"/>
                <w:spacing w:val="-2"/>
                <w:sz w:val="24"/>
                <w:szCs w:val="24"/>
              </w:rPr>
              <w:t>日</w:t>
            </w:r>
          </w:p>
        </w:tc>
      </w:tr>
    </w:tbl>
    <w:p w14:paraId="61E02F41" w14:textId="77777777" w:rsidR="004A375F" w:rsidRPr="00A354CB" w:rsidRDefault="004A375F">
      <w:pPr>
        <w:kinsoku/>
        <w:rPr>
          <w:rFonts w:ascii="宋体" w:eastAsia="宋体" w:hAnsi="宋体" w:hint="eastAsia"/>
        </w:rPr>
      </w:pPr>
    </w:p>
    <w:sectPr w:rsidR="004A375F" w:rsidRPr="00A354CB">
      <w:pgSz w:w="11905" w:h="16839"/>
      <w:pgMar w:top="1248" w:right="1584" w:bottom="0" w:left="141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8CF0" w14:textId="77777777" w:rsidR="005D1A2A" w:rsidRDefault="005D1A2A" w:rsidP="00AD0853">
      <w:r>
        <w:separator/>
      </w:r>
    </w:p>
  </w:endnote>
  <w:endnote w:type="continuationSeparator" w:id="0">
    <w:p w14:paraId="7919177D" w14:textId="77777777" w:rsidR="005D1A2A" w:rsidRDefault="005D1A2A" w:rsidP="00AD0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C8829" w14:textId="77777777" w:rsidR="005D1A2A" w:rsidRDefault="005D1A2A" w:rsidP="00AD0853">
      <w:r>
        <w:separator/>
      </w:r>
    </w:p>
  </w:footnote>
  <w:footnote w:type="continuationSeparator" w:id="0">
    <w:p w14:paraId="7825DAAB" w14:textId="77777777" w:rsidR="005D1A2A" w:rsidRDefault="005D1A2A" w:rsidP="00AD0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0590A"/>
    <w:multiLevelType w:val="singleLevel"/>
    <w:tmpl w:val="51B0590A"/>
    <w:lvl w:ilvl="0">
      <w:start w:val="1"/>
      <w:numFmt w:val="chineseCounting"/>
      <w:suff w:val="nothing"/>
      <w:lvlText w:val="%1、"/>
      <w:lvlJc w:val="left"/>
      <w:rPr>
        <w:rFonts w:hint="eastAsia"/>
      </w:rPr>
    </w:lvl>
  </w:abstractNum>
  <w:num w:numId="1" w16cid:durableId="948316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A0YWM2ODg4MWFkZTg3NzFmODJiYjI5ZTFhM2MxNDQifQ=="/>
  </w:docVars>
  <w:rsids>
    <w:rsidRoot w:val="00A82403"/>
    <w:rsid w:val="00000326"/>
    <w:rsid w:val="00010E5F"/>
    <w:rsid w:val="00013320"/>
    <w:rsid w:val="000160E1"/>
    <w:rsid w:val="00040518"/>
    <w:rsid w:val="0004184A"/>
    <w:rsid w:val="000442D6"/>
    <w:rsid w:val="00052E3F"/>
    <w:rsid w:val="00064301"/>
    <w:rsid w:val="000657B4"/>
    <w:rsid w:val="00071057"/>
    <w:rsid w:val="000725DB"/>
    <w:rsid w:val="0007395A"/>
    <w:rsid w:val="00087747"/>
    <w:rsid w:val="000B1DAF"/>
    <w:rsid w:val="000B383F"/>
    <w:rsid w:val="000B4616"/>
    <w:rsid w:val="000C27C4"/>
    <w:rsid w:val="000C51DC"/>
    <w:rsid w:val="000D6EDF"/>
    <w:rsid w:val="001070B3"/>
    <w:rsid w:val="0011162B"/>
    <w:rsid w:val="001141E7"/>
    <w:rsid w:val="001160A5"/>
    <w:rsid w:val="00121E26"/>
    <w:rsid w:val="00122114"/>
    <w:rsid w:val="0012579C"/>
    <w:rsid w:val="00131590"/>
    <w:rsid w:val="00134425"/>
    <w:rsid w:val="001349D4"/>
    <w:rsid w:val="001429D0"/>
    <w:rsid w:val="001447C5"/>
    <w:rsid w:val="00151778"/>
    <w:rsid w:val="00155616"/>
    <w:rsid w:val="001558CD"/>
    <w:rsid w:val="001721C8"/>
    <w:rsid w:val="00176AB7"/>
    <w:rsid w:val="0017756B"/>
    <w:rsid w:val="00186BB8"/>
    <w:rsid w:val="001C1CBB"/>
    <w:rsid w:val="001D28AC"/>
    <w:rsid w:val="001E22CC"/>
    <w:rsid w:val="001F20DA"/>
    <w:rsid w:val="001F424D"/>
    <w:rsid w:val="001F7F74"/>
    <w:rsid w:val="00202342"/>
    <w:rsid w:val="00204A36"/>
    <w:rsid w:val="00207DAF"/>
    <w:rsid w:val="00212B6E"/>
    <w:rsid w:val="002245E7"/>
    <w:rsid w:val="00254322"/>
    <w:rsid w:val="0027222C"/>
    <w:rsid w:val="002732AD"/>
    <w:rsid w:val="00282A83"/>
    <w:rsid w:val="00285228"/>
    <w:rsid w:val="002A7294"/>
    <w:rsid w:val="002A73B2"/>
    <w:rsid w:val="002B1870"/>
    <w:rsid w:val="002C2351"/>
    <w:rsid w:val="002C2863"/>
    <w:rsid w:val="002C3ED3"/>
    <w:rsid w:val="002C5F87"/>
    <w:rsid w:val="002D721B"/>
    <w:rsid w:val="002E3CC3"/>
    <w:rsid w:val="002E58DC"/>
    <w:rsid w:val="00310DAC"/>
    <w:rsid w:val="0033331C"/>
    <w:rsid w:val="00340116"/>
    <w:rsid w:val="00342173"/>
    <w:rsid w:val="003440A5"/>
    <w:rsid w:val="003476E3"/>
    <w:rsid w:val="00350D41"/>
    <w:rsid w:val="0035575A"/>
    <w:rsid w:val="00356017"/>
    <w:rsid w:val="0035746D"/>
    <w:rsid w:val="00357EED"/>
    <w:rsid w:val="00360403"/>
    <w:rsid w:val="003625D1"/>
    <w:rsid w:val="00365CE3"/>
    <w:rsid w:val="00371330"/>
    <w:rsid w:val="00380C64"/>
    <w:rsid w:val="003841E4"/>
    <w:rsid w:val="003A2C6B"/>
    <w:rsid w:val="003A45C4"/>
    <w:rsid w:val="003A5521"/>
    <w:rsid w:val="003B1941"/>
    <w:rsid w:val="003B5325"/>
    <w:rsid w:val="003B5556"/>
    <w:rsid w:val="003B5B71"/>
    <w:rsid w:val="003C0076"/>
    <w:rsid w:val="003D6CC5"/>
    <w:rsid w:val="003E6BCC"/>
    <w:rsid w:val="003F6A9C"/>
    <w:rsid w:val="003F750B"/>
    <w:rsid w:val="004111D5"/>
    <w:rsid w:val="004112D0"/>
    <w:rsid w:val="0043584F"/>
    <w:rsid w:val="00454B61"/>
    <w:rsid w:val="00454E5F"/>
    <w:rsid w:val="00460B9B"/>
    <w:rsid w:val="004969A4"/>
    <w:rsid w:val="004A1871"/>
    <w:rsid w:val="004A375F"/>
    <w:rsid w:val="004C2254"/>
    <w:rsid w:val="004D6EF2"/>
    <w:rsid w:val="004E100F"/>
    <w:rsid w:val="004E2DE2"/>
    <w:rsid w:val="004E2FA7"/>
    <w:rsid w:val="004E50D4"/>
    <w:rsid w:val="004E5651"/>
    <w:rsid w:val="004F74C2"/>
    <w:rsid w:val="00512D96"/>
    <w:rsid w:val="00524AAA"/>
    <w:rsid w:val="00527CD8"/>
    <w:rsid w:val="00533406"/>
    <w:rsid w:val="00535A02"/>
    <w:rsid w:val="00535AFC"/>
    <w:rsid w:val="005445A8"/>
    <w:rsid w:val="00554659"/>
    <w:rsid w:val="0056673A"/>
    <w:rsid w:val="00566C2F"/>
    <w:rsid w:val="005726CD"/>
    <w:rsid w:val="005C0BEB"/>
    <w:rsid w:val="005C13DC"/>
    <w:rsid w:val="005C54A3"/>
    <w:rsid w:val="005D1A2A"/>
    <w:rsid w:val="005D67C9"/>
    <w:rsid w:val="005E645A"/>
    <w:rsid w:val="00604C91"/>
    <w:rsid w:val="00606391"/>
    <w:rsid w:val="00634391"/>
    <w:rsid w:val="00636BAE"/>
    <w:rsid w:val="00641B80"/>
    <w:rsid w:val="00644B20"/>
    <w:rsid w:val="006458E3"/>
    <w:rsid w:val="00646207"/>
    <w:rsid w:val="0065124E"/>
    <w:rsid w:val="00663B88"/>
    <w:rsid w:val="00667E75"/>
    <w:rsid w:val="00675C35"/>
    <w:rsid w:val="006801B7"/>
    <w:rsid w:val="006A325F"/>
    <w:rsid w:val="006C3EC7"/>
    <w:rsid w:val="006C6029"/>
    <w:rsid w:val="006C6D6C"/>
    <w:rsid w:val="006C6F5A"/>
    <w:rsid w:val="006E49CA"/>
    <w:rsid w:val="006F1A5C"/>
    <w:rsid w:val="006F473A"/>
    <w:rsid w:val="006F4C4E"/>
    <w:rsid w:val="006F4F21"/>
    <w:rsid w:val="00715C53"/>
    <w:rsid w:val="007300D2"/>
    <w:rsid w:val="00736341"/>
    <w:rsid w:val="00747897"/>
    <w:rsid w:val="00752B6F"/>
    <w:rsid w:val="00753A6F"/>
    <w:rsid w:val="00763ADF"/>
    <w:rsid w:val="007648A5"/>
    <w:rsid w:val="00767A79"/>
    <w:rsid w:val="0077409E"/>
    <w:rsid w:val="0078058A"/>
    <w:rsid w:val="007868E8"/>
    <w:rsid w:val="00797552"/>
    <w:rsid w:val="007A0392"/>
    <w:rsid w:val="007A0F9D"/>
    <w:rsid w:val="007A5F05"/>
    <w:rsid w:val="007C4032"/>
    <w:rsid w:val="007C6DEA"/>
    <w:rsid w:val="007D0C8E"/>
    <w:rsid w:val="007E2222"/>
    <w:rsid w:val="007E4C5F"/>
    <w:rsid w:val="007F2122"/>
    <w:rsid w:val="008265E0"/>
    <w:rsid w:val="0083293B"/>
    <w:rsid w:val="00835D4E"/>
    <w:rsid w:val="008428F3"/>
    <w:rsid w:val="00852F76"/>
    <w:rsid w:val="0085545A"/>
    <w:rsid w:val="008555FD"/>
    <w:rsid w:val="00855AF4"/>
    <w:rsid w:val="008600C5"/>
    <w:rsid w:val="00860EEE"/>
    <w:rsid w:val="00863F27"/>
    <w:rsid w:val="00864D92"/>
    <w:rsid w:val="00870091"/>
    <w:rsid w:val="00885B84"/>
    <w:rsid w:val="00890D15"/>
    <w:rsid w:val="008B0CFC"/>
    <w:rsid w:val="008B45A1"/>
    <w:rsid w:val="008C6DED"/>
    <w:rsid w:val="008D3192"/>
    <w:rsid w:val="008D701B"/>
    <w:rsid w:val="008F704F"/>
    <w:rsid w:val="008F7B7F"/>
    <w:rsid w:val="009000D1"/>
    <w:rsid w:val="009007FE"/>
    <w:rsid w:val="009014B3"/>
    <w:rsid w:val="009147ED"/>
    <w:rsid w:val="00931095"/>
    <w:rsid w:val="0093706F"/>
    <w:rsid w:val="00937494"/>
    <w:rsid w:val="009445E0"/>
    <w:rsid w:val="009606DB"/>
    <w:rsid w:val="00962475"/>
    <w:rsid w:val="00966166"/>
    <w:rsid w:val="00966E2B"/>
    <w:rsid w:val="009763E7"/>
    <w:rsid w:val="00983676"/>
    <w:rsid w:val="009836D0"/>
    <w:rsid w:val="009A7A86"/>
    <w:rsid w:val="009D016E"/>
    <w:rsid w:val="009D062D"/>
    <w:rsid w:val="009D1623"/>
    <w:rsid w:val="009D56E4"/>
    <w:rsid w:val="009E1754"/>
    <w:rsid w:val="009E7D9E"/>
    <w:rsid w:val="009F74E8"/>
    <w:rsid w:val="00A03360"/>
    <w:rsid w:val="00A063D3"/>
    <w:rsid w:val="00A06ABB"/>
    <w:rsid w:val="00A1674E"/>
    <w:rsid w:val="00A25B2D"/>
    <w:rsid w:val="00A32D35"/>
    <w:rsid w:val="00A354CB"/>
    <w:rsid w:val="00A4640B"/>
    <w:rsid w:val="00A47ECF"/>
    <w:rsid w:val="00A63D08"/>
    <w:rsid w:val="00A740CB"/>
    <w:rsid w:val="00A75D92"/>
    <w:rsid w:val="00A8091C"/>
    <w:rsid w:val="00A82403"/>
    <w:rsid w:val="00A826F9"/>
    <w:rsid w:val="00A90F96"/>
    <w:rsid w:val="00AB0573"/>
    <w:rsid w:val="00AB13DA"/>
    <w:rsid w:val="00AC5546"/>
    <w:rsid w:val="00AD0853"/>
    <w:rsid w:val="00AD68E1"/>
    <w:rsid w:val="00AD7F50"/>
    <w:rsid w:val="00AE43A7"/>
    <w:rsid w:val="00AF2E78"/>
    <w:rsid w:val="00AF676C"/>
    <w:rsid w:val="00B00238"/>
    <w:rsid w:val="00B07084"/>
    <w:rsid w:val="00B10276"/>
    <w:rsid w:val="00B11D09"/>
    <w:rsid w:val="00B25DE7"/>
    <w:rsid w:val="00B368F2"/>
    <w:rsid w:val="00B53B4F"/>
    <w:rsid w:val="00B542DA"/>
    <w:rsid w:val="00B56C2F"/>
    <w:rsid w:val="00B61270"/>
    <w:rsid w:val="00B65857"/>
    <w:rsid w:val="00B66F43"/>
    <w:rsid w:val="00B7734D"/>
    <w:rsid w:val="00B82424"/>
    <w:rsid w:val="00B91331"/>
    <w:rsid w:val="00B9230C"/>
    <w:rsid w:val="00BA1147"/>
    <w:rsid w:val="00BA14AA"/>
    <w:rsid w:val="00BB2D55"/>
    <w:rsid w:val="00BB3342"/>
    <w:rsid w:val="00BB5428"/>
    <w:rsid w:val="00BB71F7"/>
    <w:rsid w:val="00BC0565"/>
    <w:rsid w:val="00BC12AE"/>
    <w:rsid w:val="00BD1BA6"/>
    <w:rsid w:val="00BD29C9"/>
    <w:rsid w:val="00BE7CD9"/>
    <w:rsid w:val="00C0022E"/>
    <w:rsid w:val="00C02378"/>
    <w:rsid w:val="00C03BDD"/>
    <w:rsid w:val="00C05C07"/>
    <w:rsid w:val="00C151B6"/>
    <w:rsid w:val="00C16035"/>
    <w:rsid w:val="00C25AE6"/>
    <w:rsid w:val="00C3197B"/>
    <w:rsid w:val="00C33CF7"/>
    <w:rsid w:val="00C34995"/>
    <w:rsid w:val="00C51B7F"/>
    <w:rsid w:val="00C6196E"/>
    <w:rsid w:val="00C61D0E"/>
    <w:rsid w:val="00C82C29"/>
    <w:rsid w:val="00C870E4"/>
    <w:rsid w:val="00CB429B"/>
    <w:rsid w:val="00CD2689"/>
    <w:rsid w:val="00CD4DA3"/>
    <w:rsid w:val="00D0142C"/>
    <w:rsid w:val="00D07BDA"/>
    <w:rsid w:val="00D14BDA"/>
    <w:rsid w:val="00D34D57"/>
    <w:rsid w:val="00D37E7C"/>
    <w:rsid w:val="00D40908"/>
    <w:rsid w:val="00D4229D"/>
    <w:rsid w:val="00D47B0A"/>
    <w:rsid w:val="00D528B8"/>
    <w:rsid w:val="00D64568"/>
    <w:rsid w:val="00D669C3"/>
    <w:rsid w:val="00D71169"/>
    <w:rsid w:val="00D93994"/>
    <w:rsid w:val="00DB086D"/>
    <w:rsid w:val="00DD0095"/>
    <w:rsid w:val="00DD1B6B"/>
    <w:rsid w:val="00DD3EF4"/>
    <w:rsid w:val="00DE5CB8"/>
    <w:rsid w:val="00DF0888"/>
    <w:rsid w:val="00E0158B"/>
    <w:rsid w:val="00E106AF"/>
    <w:rsid w:val="00E10B5B"/>
    <w:rsid w:val="00E17ADC"/>
    <w:rsid w:val="00E321BF"/>
    <w:rsid w:val="00E33B34"/>
    <w:rsid w:val="00E40F5A"/>
    <w:rsid w:val="00E44087"/>
    <w:rsid w:val="00E44C9F"/>
    <w:rsid w:val="00E51395"/>
    <w:rsid w:val="00E55D67"/>
    <w:rsid w:val="00E64623"/>
    <w:rsid w:val="00E8421F"/>
    <w:rsid w:val="00E84C3E"/>
    <w:rsid w:val="00E90DA8"/>
    <w:rsid w:val="00E93965"/>
    <w:rsid w:val="00E965C9"/>
    <w:rsid w:val="00EA3EBD"/>
    <w:rsid w:val="00EB2E24"/>
    <w:rsid w:val="00EC3521"/>
    <w:rsid w:val="00ED0CB8"/>
    <w:rsid w:val="00ED47A2"/>
    <w:rsid w:val="00EE04D9"/>
    <w:rsid w:val="00EE088A"/>
    <w:rsid w:val="00EE208A"/>
    <w:rsid w:val="00EF495B"/>
    <w:rsid w:val="00F0661A"/>
    <w:rsid w:val="00F25641"/>
    <w:rsid w:val="00F2730D"/>
    <w:rsid w:val="00F33062"/>
    <w:rsid w:val="00F4615E"/>
    <w:rsid w:val="00F76A2C"/>
    <w:rsid w:val="00F8725C"/>
    <w:rsid w:val="00F92BD6"/>
    <w:rsid w:val="00F969B7"/>
    <w:rsid w:val="00FA25C5"/>
    <w:rsid w:val="00FA25E9"/>
    <w:rsid w:val="00FA26F7"/>
    <w:rsid w:val="00FB0487"/>
    <w:rsid w:val="00FB413C"/>
    <w:rsid w:val="00FB7AF0"/>
    <w:rsid w:val="00FC076D"/>
    <w:rsid w:val="00FC6A11"/>
    <w:rsid w:val="00FD3485"/>
    <w:rsid w:val="00FE0929"/>
    <w:rsid w:val="00FE1AD8"/>
    <w:rsid w:val="00FE363C"/>
    <w:rsid w:val="00FF1480"/>
    <w:rsid w:val="016A6281"/>
    <w:rsid w:val="02AC38A5"/>
    <w:rsid w:val="04BB007D"/>
    <w:rsid w:val="05250B93"/>
    <w:rsid w:val="06D22031"/>
    <w:rsid w:val="06F55595"/>
    <w:rsid w:val="071D689A"/>
    <w:rsid w:val="07CF6FE0"/>
    <w:rsid w:val="07D2567A"/>
    <w:rsid w:val="093D31BF"/>
    <w:rsid w:val="098827B8"/>
    <w:rsid w:val="0A0C21A4"/>
    <w:rsid w:val="0A36472B"/>
    <w:rsid w:val="0B2E0A4D"/>
    <w:rsid w:val="0CBB210D"/>
    <w:rsid w:val="0D292884"/>
    <w:rsid w:val="0D8D66AA"/>
    <w:rsid w:val="0DB37F58"/>
    <w:rsid w:val="0DD51C7C"/>
    <w:rsid w:val="0F1467D4"/>
    <w:rsid w:val="0F550FE0"/>
    <w:rsid w:val="107A1149"/>
    <w:rsid w:val="10F7475B"/>
    <w:rsid w:val="12F80267"/>
    <w:rsid w:val="13173947"/>
    <w:rsid w:val="13227691"/>
    <w:rsid w:val="13E76BAD"/>
    <w:rsid w:val="13E829C1"/>
    <w:rsid w:val="14B4206E"/>
    <w:rsid w:val="14D44714"/>
    <w:rsid w:val="1503519F"/>
    <w:rsid w:val="156F6E5A"/>
    <w:rsid w:val="1586199A"/>
    <w:rsid w:val="16985C80"/>
    <w:rsid w:val="180E47E3"/>
    <w:rsid w:val="18736C61"/>
    <w:rsid w:val="1A33760F"/>
    <w:rsid w:val="1AC8120F"/>
    <w:rsid w:val="1B5E6CE5"/>
    <w:rsid w:val="1D952BCB"/>
    <w:rsid w:val="1D966831"/>
    <w:rsid w:val="1DD26DCC"/>
    <w:rsid w:val="1F1F71FB"/>
    <w:rsid w:val="1FF16DE9"/>
    <w:rsid w:val="20582A63"/>
    <w:rsid w:val="208A4B48"/>
    <w:rsid w:val="213D0FD6"/>
    <w:rsid w:val="24107A5A"/>
    <w:rsid w:val="244A1032"/>
    <w:rsid w:val="248734EA"/>
    <w:rsid w:val="25F72C80"/>
    <w:rsid w:val="27196C26"/>
    <w:rsid w:val="27F356C9"/>
    <w:rsid w:val="280E7ABB"/>
    <w:rsid w:val="2C6170A5"/>
    <w:rsid w:val="32A36377"/>
    <w:rsid w:val="34665EFD"/>
    <w:rsid w:val="35021552"/>
    <w:rsid w:val="361F7F47"/>
    <w:rsid w:val="36206572"/>
    <w:rsid w:val="36677BCA"/>
    <w:rsid w:val="366C6D72"/>
    <w:rsid w:val="37CA69BC"/>
    <w:rsid w:val="386A108F"/>
    <w:rsid w:val="39E13DBD"/>
    <w:rsid w:val="39E75962"/>
    <w:rsid w:val="3B1E6C7B"/>
    <w:rsid w:val="3B702E61"/>
    <w:rsid w:val="3DCD2EF4"/>
    <w:rsid w:val="3EA551D7"/>
    <w:rsid w:val="3FDA2F9E"/>
    <w:rsid w:val="4036521E"/>
    <w:rsid w:val="40556A92"/>
    <w:rsid w:val="40CA6468"/>
    <w:rsid w:val="43283616"/>
    <w:rsid w:val="453B09A0"/>
    <w:rsid w:val="46F80C5B"/>
    <w:rsid w:val="48734414"/>
    <w:rsid w:val="4CAE23B0"/>
    <w:rsid w:val="4D0000A2"/>
    <w:rsid w:val="4D8E53C8"/>
    <w:rsid w:val="4FA92E02"/>
    <w:rsid w:val="50A75C4F"/>
    <w:rsid w:val="51E93115"/>
    <w:rsid w:val="5281374D"/>
    <w:rsid w:val="53F57ADE"/>
    <w:rsid w:val="54C9521B"/>
    <w:rsid w:val="54DA326F"/>
    <w:rsid w:val="55B81DF7"/>
    <w:rsid w:val="56220DA3"/>
    <w:rsid w:val="57066B19"/>
    <w:rsid w:val="581D0FF3"/>
    <w:rsid w:val="592355CE"/>
    <w:rsid w:val="5C0A7F51"/>
    <w:rsid w:val="5CD8609B"/>
    <w:rsid w:val="5E015742"/>
    <w:rsid w:val="5F683CCB"/>
    <w:rsid w:val="5FBB029F"/>
    <w:rsid w:val="60775C1E"/>
    <w:rsid w:val="61BA4EB8"/>
    <w:rsid w:val="61C15914"/>
    <w:rsid w:val="6372363C"/>
    <w:rsid w:val="63F06720"/>
    <w:rsid w:val="6416272A"/>
    <w:rsid w:val="656C01D4"/>
    <w:rsid w:val="65915880"/>
    <w:rsid w:val="66A973CB"/>
    <w:rsid w:val="68D06A0D"/>
    <w:rsid w:val="69465932"/>
    <w:rsid w:val="69E12C0F"/>
    <w:rsid w:val="6A1762EA"/>
    <w:rsid w:val="6A6C6E15"/>
    <w:rsid w:val="6AB272B2"/>
    <w:rsid w:val="6B2347E2"/>
    <w:rsid w:val="6D8617C0"/>
    <w:rsid w:val="6F4605A5"/>
    <w:rsid w:val="6F6F7D2B"/>
    <w:rsid w:val="70231548"/>
    <w:rsid w:val="70546656"/>
    <w:rsid w:val="70805BFB"/>
    <w:rsid w:val="71F53DEB"/>
    <w:rsid w:val="72F44417"/>
    <w:rsid w:val="73C51565"/>
    <w:rsid w:val="7423781D"/>
    <w:rsid w:val="77400C32"/>
    <w:rsid w:val="785830AA"/>
    <w:rsid w:val="7AEC6717"/>
    <w:rsid w:val="7B477CF9"/>
    <w:rsid w:val="7BF70459"/>
    <w:rsid w:val="7C4B225A"/>
    <w:rsid w:val="7CAC0E59"/>
    <w:rsid w:val="7DC221CB"/>
    <w:rsid w:val="7E410F5F"/>
    <w:rsid w:val="7E4902CC"/>
    <w:rsid w:val="7F8E7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9A557"/>
  <w15:docId w15:val="{B0474CBB-FCBA-463E-962C-9EB3892A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3">
    <w:name w:val="heading 3"/>
    <w:basedOn w:val="a"/>
    <w:next w:val="a"/>
    <w:unhideWhenUsed/>
    <w:qFormat/>
    <w:pPr>
      <w:spacing w:beforeAutospacing="1" w:afterAutospacing="1"/>
      <w:outlineLvl w:val="2"/>
    </w:pPr>
    <w:rPr>
      <w:rFonts w:ascii="宋体" w:eastAsia="宋体" w:hAnsi="宋体" w:cs="Times New Roman" w:hint="eastAsia"/>
      <w:b/>
      <w:bCs/>
      <w:sz w:val="27"/>
      <w:szCs w:val="27"/>
    </w:rPr>
  </w:style>
  <w:style w:type="paragraph" w:styleId="4">
    <w:name w:val="heading 4"/>
    <w:basedOn w:val="a"/>
    <w:next w:val="a"/>
    <w:autoRedefine/>
    <w:semiHidden/>
    <w:unhideWhenUsed/>
    <w:qFormat/>
    <w:pPr>
      <w:spacing w:beforeAutospacing="1" w:afterAutospacing="1"/>
      <w:outlineLvl w:val="3"/>
    </w:pPr>
    <w:rPr>
      <w:rFonts w:ascii="宋体" w:eastAsia="宋体" w:hAnsi="宋体" w:cs="Times New Roman" w:hint="eastAsia"/>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style>
  <w:style w:type="paragraph" w:styleId="a5">
    <w:name w:val="Balloon Text"/>
    <w:basedOn w:val="a"/>
    <w:link w:val="a6"/>
    <w:autoRedefine/>
    <w:qFormat/>
    <w:rPr>
      <w:sz w:val="18"/>
      <w:szCs w:val="18"/>
    </w:rPr>
  </w:style>
  <w:style w:type="paragraph" w:styleId="a7">
    <w:name w:val="footer"/>
    <w:basedOn w:val="a"/>
    <w:autoRedefine/>
    <w:qFormat/>
    <w:pPr>
      <w:tabs>
        <w:tab w:val="center" w:pos="4153"/>
        <w:tab w:val="right" w:pos="8306"/>
      </w:tabs>
    </w:pPr>
    <w:rPr>
      <w:sz w:val="18"/>
    </w:rPr>
  </w:style>
  <w:style w:type="paragraph" w:styleId="a8">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HTML">
    <w:name w:val="HTML Preformatted"/>
    <w:basedOn w:val="a"/>
    <w:autoRedefine/>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Times New Roman" w:hint="eastAsia"/>
      <w:sz w:val="24"/>
      <w:szCs w:val="24"/>
    </w:rPr>
  </w:style>
  <w:style w:type="paragraph" w:styleId="a9">
    <w:name w:val="Normal (Web)"/>
    <w:basedOn w:val="a"/>
    <w:autoRedefine/>
    <w:semiHidden/>
    <w:unhideWhenUsed/>
    <w:qFormat/>
    <w:pPr>
      <w:spacing w:beforeAutospacing="1" w:afterAutospacing="1"/>
    </w:pPr>
    <w:rPr>
      <w:rFonts w:cs="Times New Roman"/>
      <w:sz w:val="24"/>
    </w:rPr>
  </w:style>
  <w:style w:type="paragraph" w:styleId="aa">
    <w:name w:val="annotation subject"/>
    <w:basedOn w:val="a3"/>
    <w:next w:val="a3"/>
    <w:link w:val="ab"/>
    <w:autoRedefine/>
    <w:qFormat/>
    <w:rPr>
      <w:b/>
      <w:bCs/>
    </w:rPr>
  </w:style>
  <w:style w:type="table" w:styleId="ac">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autoRedefine/>
    <w:qFormat/>
    <w:rPr>
      <w:sz w:val="21"/>
      <w:szCs w:val="21"/>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styleId="ae">
    <w:name w:val="List Paragraph"/>
    <w:basedOn w:val="a"/>
    <w:autoRedefine/>
    <w:uiPriority w:val="34"/>
    <w:qFormat/>
    <w:pPr>
      <w:ind w:firstLineChars="200" w:firstLine="420"/>
    </w:pPr>
  </w:style>
  <w:style w:type="character" w:customStyle="1" w:styleId="a4">
    <w:name w:val="批注文字 字符"/>
    <w:basedOn w:val="a0"/>
    <w:link w:val="a3"/>
    <w:autoRedefine/>
    <w:qFormat/>
    <w:rPr>
      <w:rFonts w:ascii="Arial" w:eastAsia="Arial" w:hAnsi="Arial" w:cs="Arial"/>
      <w:snapToGrid w:val="0"/>
      <w:color w:val="000000"/>
      <w:sz w:val="21"/>
      <w:szCs w:val="21"/>
    </w:rPr>
  </w:style>
  <w:style w:type="character" w:customStyle="1" w:styleId="ab">
    <w:name w:val="批注主题 字符"/>
    <w:basedOn w:val="a4"/>
    <w:link w:val="aa"/>
    <w:autoRedefine/>
    <w:qFormat/>
    <w:rPr>
      <w:rFonts w:ascii="Arial" w:eastAsia="Arial" w:hAnsi="Arial" w:cs="Arial"/>
      <w:b/>
      <w:bCs/>
      <w:snapToGrid w:val="0"/>
      <w:color w:val="000000"/>
      <w:sz w:val="21"/>
      <w:szCs w:val="21"/>
    </w:rPr>
  </w:style>
  <w:style w:type="character" w:customStyle="1" w:styleId="a6">
    <w:name w:val="批注框文本 字符"/>
    <w:basedOn w:val="a0"/>
    <w:link w:val="a5"/>
    <w:autoRedefine/>
    <w:qFormat/>
    <w:rPr>
      <w:rFonts w:ascii="Arial" w:eastAsia="Arial" w:hAnsi="Arial" w:cs="Arial"/>
      <w:snapToGrid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013158">
      <w:bodyDiv w:val="1"/>
      <w:marLeft w:val="0"/>
      <w:marRight w:val="0"/>
      <w:marTop w:val="0"/>
      <w:marBottom w:val="0"/>
      <w:divBdr>
        <w:top w:val="none" w:sz="0" w:space="0" w:color="auto"/>
        <w:left w:val="none" w:sz="0" w:space="0" w:color="auto"/>
        <w:bottom w:val="none" w:sz="0" w:space="0" w:color="auto"/>
        <w:right w:val="none" w:sz="0" w:space="0" w:color="auto"/>
      </w:divBdr>
    </w:div>
    <w:div w:id="16631188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9</Pages>
  <Words>907</Words>
  <Characters>5170</Characters>
  <Application>Microsoft Office Word</Application>
  <DocSecurity>0</DocSecurity>
  <Lines>43</Lines>
  <Paragraphs>12</Paragraphs>
  <ScaleCrop>false</ScaleCrop>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91357</dc:creator>
  <cp:lastModifiedBy>刘琳</cp:lastModifiedBy>
  <cp:revision>64</cp:revision>
  <dcterms:created xsi:type="dcterms:W3CDTF">2023-11-07T05:48:00Z</dcterms:created>
  <dcterms:modified xsi:type="dcterms:W3CDTF">2026-09-14T03:01:00Z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2022-01-18T10:27:02Z</vt:filetime>
  </property>
  <property fmtid="{D5CDD505-2E9C-101B-9397-08002B2CF9AE}" pid="4" name="KSOProductBuildVer">
    <vt:lpwstr>2052-12.1.0.16729</vt:lpwstr>
  </property>
  <property fmtid="{D5CDD505-2E9C-101B-9397-08002B2CF9AE}" pid="5" name="ICV">
    <vt:lpwstr>BC861D94807042C78B45C5D82F45FF7D</vt:lpwstr>
  </property>
</Properties>
</file>