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F8D0" w14:textId="4D75C430" w:rsidR="00053498" w:rsidRDefault="00E27F4F">
      <w:pPr>
        <w:jc w:val="both"/>
      </w:pPr>
      <w:r>
        <w:t>证券代码：</w:t>
      </w:r>
      <w:r>
        <w:t>688818</w:t>
      </w:r>
      <w:r>
        <w:tab/>
      </w:r>
      <w:r w:rsidR="00564B47">
        <w:rPr>
          <w:rFonts w:hint="eastAsia"/>
        </w:rPr>
        <w:t xml:space="preserve"> </w:t>
      </w:r>
      <w:r w:rsidR="00564B47">
        <w:tab/>
      </w:r>
      <w:r w:rsidR="00564B47">
        <w:tab/>
      </w:r>
      <w:r w:rsidR="00564B47">
        <w:tab/>
      </w:r>
      <w:r w:rsidR="00564B47">
        <w:tab/>
      </w:r>
      <w:r w:rsidR="00564B47">
        <w:tab/>
      </w:r>
      <w:r w:rsidR="00564B47">
        <w:tab/>
      </w:r>
      <w:r w:rsidR="00564B47">
        <w:tab/>
      </w:r>
      <w:r w:rsidR="00564B47">
        <w:tab/>
      </w:r>
      <w:r w:rsidR="00564B47">
        <w:tab/>
      </w:r>
      <w:r w:rsidR="00564B47">
        <w:tab/>
      </w:r>
      <w:r w:rsidR="00564B47">
        <w:tab/>
      </w:r>
      <w:r>
        <w:t>证券简称：电科蓝天</w:t>
      </w:r>
    </w:p>
    <w:p w14:paraId="5A2AFE74" w14:textId="77777777" w:rsidR="00053498" w:rsidRDefault="00E27F4F">
      <w:pPr>
        <w:spacing w:before="200" w:after="100"/>
        <w:jc w:val="center"/>
      </w:pPr>
      <w:r>
        <w:rPr>
          <w:rFonts w:eastAsia="黑体"/>
          <w:b/>
          <w:sz w:val="36"/>
        </w:rPr>
        <w:t>中电科蓝天科技股份有限公司</w:t>
      </w:r>
    </w:p>
    <w:p w14:paraId="3E709F80" w14:textId="77777777" w:rsidR="00053498" w:rsidRDefault="00E27F4F">
      <w:pPr>
        <w:spacing w:after="100"/>
        <w:jc w:val="center"/>
      </w:pPr>
      <w:r>
        <w:rPr>
          <w:rFonts w:eastAsia="黑体"/>
          <w:b/>
          <w:sz w:val="36"/>
        </w:rPr>
        <w:t>投资者关系活动记录表</w:t>
      </w:r>
    </w:p>
    <w:p w14:paraId="01A3D8E8" w14:textId="03BD22CA" w:rsidR="00053498" w:rsidRDefault="00E27F4F">
      <w:pPr>
        <w:spacing w:after="200"/>
        <w:jc w:val="right"/>
      </w:pPr>
      <w:r>
        <w:t>编号：</w:t>
      </w:r>
      <w:r>
        <w:t>IR-REC-20260</w:t>
      </w:r>
      <w:r w:rsidR="00931BE4">
        <w:rPr>
          <w:rFonts w:hint="eastAsia"/>
        </w:rPr>
        <w:t>908</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603"/>
        <w:gridCol w:w="7413"/>
      </w:tblGrid>
      <w:tr w:rsidR="00053498" w14:paraId="2B0A5C2D" w14:textId="77777777" w:rsidTr="00582156">
        <w:tc>
          <w:tcPr>
            <w:tcW w:w="1608" w:type="dxa"/>
            <w:vAlign w:val="center"/>
          </w:tcPr>
          <w:p w14:paraId="05C4E2E0" w14:textId="77777777" w:rsidR="00053498" w:rsidRDefault="00E27F4F">
            <w:pPr>
              <w:spacing w:before="60" w:after="60"/>
              <w:jc w:val="center"/>
            </w:pPr>
            <w:r>
              <w:t>投资者关系活</w:t>
            </w:r>
          </w:p>
          <w:p w14:paraId="6D404D64" w14:textId="77777777" w:rsidR="00053498" w:rsidRDefault="00E27F4F">
            <w:pPr>
              <w:spacing w:after="60"/>
              <w:jc w:val="center"/>
            </w:pPr>
            <w:r>
              <w:t>动类别</w:t>
            </w:r>
          </w:p>
        </w:tc>
        <w:tc>
          <w:tcPr>
            <w:tcW w:w="7438" w:type="dxa"/>
            <w:vAlign w:val="center"/>
          </w:tcPr>
          <w:p w14:paraId="56E5EC7F" w14:textId="05B22C77" w:rsidR="00053498" w:rsidRDefault="00482A86">
            <w:pPr>
              <w:tabs>
                <w:tab w:val="left" w:pos="3600"/>
              </w:tabs>
              <w:spacing w:before="40" w:after="40" w:line="320" w:lineRule="auto"/>
            </w:pPr>
            <w:r>
              <w:t>√</w:t>
            </w:r>
            <w:r>
              <w:t>特定对象调研</w:t>
            </w:r>
            <w:r>
              <w:tab/>
              <w:t>□</w:t>
            </w:r>
            <w:r>
              <w:t>分析师会议</w:t>
            </w:r>
          </w:p>
          <w:p w14:paraId="4DAEA5C5" w14:textId="77777777" w:rsidR="00053498" w:rsidRDefault="00E27F4F">
            <w:pPr>
              <w:tabs>
                <w:tab w:val="left" w:pos="3600"/>
              </w:tabs>
              <w:spacing w:before="40" w:after="40" w:line="320" w:lineRule="auto"/>
            </w:pPr>
            <w:r>
              <w:t>□</w:t>
            </w:r>
            <w:r>
              <w:t>媒体采访</w:t>
            </w:r>
            <w:r>
              <w:tab/>
              <w:t>□</w:t>
            </w:r>
            <w:r>
              <w:t>业绩说明会</w:t>
            </w:r>
          </w:p>
          <w:p w14:paraId="401A440B" w14:textId="77777777" w:rsidR="00053498" w:rsidRDefault="00E27F4F">
            <w:pPr>
              <w:tabs>
                <w:tab w:val="left" w:pos="3600"/>
              </w:tabs>
              <w:spacing w:before="40" w:after="40" w:line="320" w:lineRule="auto"/>
            </w:pPr>
            <w:r>
              <w:t>□</w:t>
            </w:r>
            <w:r>
              <w:t>新闻发布会</w:t>
            </w:r>
            <w:r>
              <w:tab/>
              <w:t>□</w:t>
            </w:r>
            <w:r>
              <w:t>路演活动</w:t>
            </w:r>
          </w:p>
          <w:p w14:paraId="4AB12CCB" w14:textId="77777777" w:rsidR="00053498" w:rsidRDefault="00E27F4F">
            <w:pPr>
              <w:tabs>
                <w:tab w:val="left" w:pos="3600"/>
              </w:tabs>
              <w:spacing w:before="40" w:after="40" w:line="320" w:lineRule="auto"/>
            </w:pPr>
            <w:r>
              <w:t>□</w:t>
            </w:r>
            <w:r>
              <w:t>现场参观</w:t>
            </w:r>
            <w:r>
              <w:tab/>
              <w:t>√</w:t>
            </w:r>
            <w:r>
              <w:t>券商策略会</w:t>
            </w:r>
          </w:p>
          <w:p w14:paraId="0A103693" w14:textId="77777777" w:rsidR="00053498" w:rsidRDefault="00E27F4F">
            <w:pPr>
              <w:tabs>
                <w:tab w:val="left" w:pos="3600"/>
              </w:tabs>
              <w:spacing w:before="40" w:after="40" w:line="320" w:lineRule="auto"/>
            </w:pPr>
            <w:r>
              <w:t>□</w:t>
            </w:r>
            <w:r>
              <w:t>其他</w:t>
            </w:r>
          </w:p>
        </w:tc>
      </w:tr>
      <w:tr w:rsidR="00053498" w14:paraId="216188EB" w14:textId="77777777" w:rsidTr="00582156">
        <w:tc>
          <w:tcPr>
            <w:tcW w:w="1608" w:type="dxa"/>
            <w:vAlign w:val="center"/>
          </w:tcPr>
          <w:p w14:paraId="477EFBB8" w14:textId="77777777" w:rsidR="00053498" w:rsidRDefault="00E27F4F">
            <w:pPr>
              <w:spacing w:before="60" w:after="60"/>
              <w:jc w:val="center"/>
            </w:pPr>
            <w:r>
              <w:t>参与单位名称</w:t>
            </w:r>
          </w:p>
        </w:tc>
        <w:tc>
          <w:tcPr>
            <w:tcW w:w="7438" w:type="dxa"/>
            <w:vAlign w:val="center"/>
          </w:tcPr>
          <w:p w14:paraId="6D8BA5B9" w14:textId="20A7A037" w:rsidR="00053498" w:rsidRDefault="00185334">
            <w:pPr>
              <w:spacing w:before="60" w:after="60"/>
            </w:pPr>
            <w:r>
              <w:rPr>
                <w:rFonts w:hint="eastAsia"/>
              </w:rPr>
              <w:t>招商证券</w:t>
            </w:r>
            <w:r w:rsidR="00F44C24">
              <w:rPr>
                <w:rFonts w:hint="eastAsia"/>
              </w:rPr>
              <w:t>、</w:t>
            </w:r>
            <w:r>
              <w:rPr>
                <w:rFonts w:hint="eastAsia"/>
              </w:rPr>
              <w:t>建信</w:t>
            </w:r>
            <w:r w:rsidR="00AC12F4">
              <w:rPr>
                <w:rFonts w:hint="eastAsia"/>
              </w:rPr>
              <w:t>基金</w:t>
            </w:r>
            <w:r w:rsidR="00935E3B">
              <w:rPr>
                <w:rFonts w:hint="eastAsia"/>
              </w:rPr>
              <w:t>、</w:t>
            </w:r>
            <w:r w:rsidR="00220795">
              <w:rPr>
                <w:rFonts w:hint="eastAsia"/>
              </w:rPr>
              <w:t>农银人寿</w:t>
            </w:r>
            <w:r w:rsidR="00D129FD">
              <w:rPr>
                <w:rFonts w:hint="eastAsia"/>
              </w:rPr>
              <w:t>、</w:t>
            </w:r>
            <w:r w:rsidR="008210FA">
              <w:rPr>
                <w:rFonts w:hint="eastAsia"/>
              </w:rPr>
              <w:t>浙商证券、</w:t>
            </w:r>
            <w:r w:rsidR="00F44C24">
              <w:rPr>
                <w:rFonts w:hint="eastAsia"/>
              </w:rPr>
              <w:t>航天投资、</w:t>
            </w:r>
            <w:r w:rsidR="00077040">
              <w:rPr>
                <w:rFonts w:hint="eastAsia"/>
              </w:rPr>
              <w:t>太保资产</w:t>
            </w:r>
            <w:r w:rsidR="00D129FD">
              <w:rPr>
                <w:rFonts w:hint="eastAsia"/>
              </w:rPr>
              <w:t>、</w:t>
            </w:r>
            <w:r w:rsidR="00077040">
              <w:rPr>
                <w:rFonts w:hint="eastAsia"/>
              </w:rPr>
              <w:t>永赢基金</w:t>
            </w:r>
            <w:r w:rsidR="00D129FD">
              <w:rPr>
                <w:rFonts w:hint="eastAsia"/>
              </w:rPr>
              <w:t>、</w:t>
            </w:r>
            <w:r w:rsidR="00077040">
              <w:rPr>
                <w:rFonts w:hint="eastAsia"/>
              </w:rPr>
              <w:t>南方基金</w:t>
            </w:r>
            <w:r w:rsidR="00D129FD">
              <w:rPr>
                <w:rFonts w:hint="eastAsia"/>
              </w:rPr>
              <w:t>、</w:t>
            </w:r>
            <w:r w:rsidR="00077040">
              <w:rPr>
                <w:rFonts w:hint="eastAsia"/>
              </w:rPr>
              <w:t>国投证券</w:t>
            </w:r>
            <w:r w:rsidR="00D129FD">
              <w:rPr>
                <w:rFonts w:hint="eastAsia"/>
              </w:rPr>
              <w:t>、</w:t>
            </w:r>
            <w:r w:rsidR="00077040">
              <w:rPr>
                <w:rFonts w:hint="eastAsia"/>
              </w:rPr>
              <w:t>万家基金</w:t>
            </w:r>
            <w:r w:rsidR="004164B9">
              <w:rPr>
                <w:rFonts w:hint="eastAsia"/>
              </w:rPr>
              <w:t>、</w:t>
            </w:r>
            <w:r w:rsidR="00077040">
              <w:rPr>
                <w:rFonts w:hint="eastAsia"/>
              </w:rPr>
              <w:t>兴业证券</w:t>
            </w:r>
            <w:r w:rsidR="004164B9">
              <w:rPr>
                <w:rFonts w:hint="eastAsia"/>
              </w:rPr>
              <w:t>、</w:t>
            </w:r>
            <w:r w:rsidR="00077040">
              <w:rPr>
                <w:rFonts w:hint="eastAsia"/>
              </w:rPr>
              <w:t>诺安</w:t>
            </w:r>
            <w:r w:rsidR="004164B9">
              <w:rPr>
                <w:rFonts w:hint="eastAsia"/>
              </w:rPr>
              <w:t>基金、</w:t>
            </w:r>
            <w:r w:rsidR="00077040">
              <w:rPr>
                <w:rFonts w:hint="eastAsia"/>
              </w:rPr>
              <w:t>君和资本</w:t>
            </w:r>
            <w:r w:rsidR="004164B9">
              <w:rPr>
                <w:rFonts w:hint="eastAsia"/>
              </w:rPr>
              <w:t>、</w:t>
            </w:r>
            <w:r w:rsidR="00077040">
              <w:rPr>
                <w:rFonts w:hint="eastAsia"/>
              </w:rPr>
              <w:t>国海证券</w:t>
            </w:r>
            <w:r w:rsidR="004164B9">
              <w:rPr>
                <w:rFonts w:hint="eastAsia"/>
              </w:rPr>
              <w:t>、华夏久盈、</w:t>
            </w:r>
            <w:r w:rsidR="00077040">
              <w:rPr>
                <w:rFonts w:hint="eastAsia"/>
              </w:rPr>
              <w:t>阳光</w:t>
            </w:r>
            <w:r w:rsidR="004164B9">
              <w:rPr>
                <w:rFonts w:hint="eastAsia"/>
              </w:rPr>
              <w:t>资</w:t>
            </w:r>
            <w:r w:rsidR="00255222">
              <w:rPr>
                <w:rFonts w:hint="eastAsia"/>
              </w:rPr>
              <w:t>产</w:t>
            </w:r>
            <w:r w:rsidR="004164B9">
              <w:rPr>
                <w:rFonts w:hint="eastAsia"/>
              </w:rPr>
              <w:t>、</w:t>
            </w:r>
            <w:r w:rsidR="00077040">
              <w:rPr>
                <w:rFonts w:hint="eastAsia"/>
              </w:rPr>
              <w:t>东吴证券</w:t>
            </w:r>
            <w:r w:rsidR="00255222">
              <w:rPr>
                <w:rFonts w:hint="eastAsia"/>
              </w:rPr>
              <w:t>等</w:t>
            </w:r>
          </w:p>
        </w:tc>
      </w:tr>
      <w:tr w:rsidR="00053498" w14:paraId="68828D03" w14:textId="77777777" w:rsidTr="00582156">
        <w:tc>
          <w:tcPr>
            <w:tcW w:w="1608" w:type="dxa"/>
            <w:vAlign w:val="center"/>
          </w:tcPr>
          <w:p w14:paraId="35CE69A0" w14:textId="77777777" w:rsidR="00053498" w:rsidRDefault="00E27F4F">
            <w:pPr>
              <w:spacing w:before="60" w:after="60"/>
              <w:jc w:val="center"/>
            </w:pPr>
            <w:r>
              <w:t>时间</w:t>
            </w:r>
          </w:p>
        </w:tc>
        <w:tc>
          <w:tcPr>
            <w:tcW w:w="7438" w:type="dxa"/>
            <w:vAlign w:val="center"/>
          </w:tcPr>
          <w:p w14:paraId="4AB6F930" w14:textId="0E50CE74" w:rsidR="00053498" w:rsidRDefault="00E27F4F">
            <w:pPr>
              <w:spacing w:before="60" w:after="60"/>
            </w:pPr>
            <w:r>
              <w:t>2026</w:t>
            </w:r>
            <w:r>
              <w:t>年</w:t>
            </w:r>
            <w:r w:rsidR="00220795">
              <w:rPr>
                <w:rFonts w:hint="eastAsia"/>
              </w:rPr>
              <w:t>8</w:t>
            </w:r>
            <w:r>
              <w:t>月</w:t>
            </w:r>
            <w:r w:rsidR="00220795">
              <w:rPr>
                <w:rFonts w:hint="eastAsia"/>
              </w:rPr>
              <w:t>28</w:t>
            </w:r>
            <w:r>
              <w:t>日</w:t>
            </w:r>
            <w:r>
              <w:t>-2026</w:t>
            </w:r>
            <w:r>
              <w:t>年</w:t>
            </w:r>
            <w:r w:rsidR="00220795">
              <w:rPr>
                <w:rFonts w:hint="eastAsia"/>
              </w:rPr>
              <w:t>9</w:t>
            </w:r>
            <w:r>
              <w:t>月</w:t>
            </w:r>
            <w:r w:rsidR="00220795">
              <w:rPr>
                <w:rFonts w:hint="eastAsia"/>
              </w:rPr>
              <w:t>4</w:t>
            </w:r>
            <w:r>
              <w:t>日</w:t>
            </w:r>
          </w:p>
        </w:tc>
      </w:tr>
      <w:tr w:rsidR="00582156" w14:paraId="5153F17F" w14:textId="77777777" w:rsidTr="00582156">
        <w:tc>
          <w:tcPr>
            <w:tcW w:w="1608" w:type="dxa"/>
            <w:vAlign w:val="center"/>
          </w:tcPr>
          <w:p w14:paraId="54E51EA8" w14:textId="30DB4BDD" w:rsidR="00582156" w:rsidRDefault="00582156">
            <w:pPr>
              <w:spacing w:before="60" w:after="60"/>
              <w:jc w:val="center"/>
            </w:pPr>
            <w:r>
              <w:rPr>
                <w:rFonts w:hint="eastAsia"/>
              </w:rPr>
              <w:t>地点</w:t>
            </w:r>
          </w:p>
        </w:tc>
        <w:tc>
          <w:tcPr>
            <w:tcW w:w="7438" w:type="dxa"/>
            <w:vAlign w:val="center"/>
          </w:tcPr>
          <w:p w14:paraId="74D60392" w14:textId="50BF858B" w:rsidR="00582156" w:rsidRDefault="00FE462E">
            <w:pPr>
              <w:spacing w:before="60" w:after="60"/>
            </w:pPr>
            <w:r>
              <w:rPr>
                <w:rFonts w:hint="eastAsia"/>
              </w:rPr>
              <w:t>北京国贸大</w:t>
            </w:r>
            <w:r w:rsidR="00935E3B">
              <w:rPr>
                <w:rFonts w:hint="eastAsia"/>
              </w:rPr>
              <w:t>酒店、</w:t>
            </w:r>
            <w:r w:rsidR="00482A86">
              <w:rPr>
                <w:rFonts w:hint="eastAsia"/>
              </w:rPr>
              <w:t>公司会议室、</w:t>
            </w:r>
            <w:r w:rsidR="00935E3B">
              <w:rPr>
                <w:rFonts w:hint="eastAsia"/>
              </w:rPr>
              <w:t>上海</w:t>
            </w:r>
            <w:r>
              <w:rPr>
                <w:rFonts w:hint="eastAsia"/>
              </w:rPr>
              <w:t>锦江汤臣洲际大</w:t>
            </w:r>
            <w:r w:rsidR="00935E3B">
              <w:rPr>
                <w:rFonts w:hint="eastAsia"/>
              </w:rPr>
              <w:t>酒店、上海</w:t>
            </w:r>
            <w:r>
              <w:rPr>
                <w:rFonts w:hint="eastAsia"/>
              </w:rPr>
              <w:t>环球金融中心</w:t>
            </w:r>
            <w:r w:rsidR="00935E3B">
              <w:rPr>
                <w:rFonts w:hint="eastAsia"/>
              </w:rPr>
              <w:t>、上海</w:t>
            </w:r>
            <w:r>
              <w:rPr>
                <w:rFonts w:hint="eastAsia"/>
              </w:rPr>
              <w:t>浦东国际会议中心</w:t>
            </w:r>
          </w:p>
        </w:tc>
      </w:tr>
      <w:tr w:rsidR="00053498" w14:paraId="14237789" w14:textId="77777777" w:rsidTr="00582156">
        <w:tc>
          <w:tcPr>
            <w:tcW w:w="1608" w:type="dxa"/>
            <w:vAlign w:val="center"/>
          </w:tcPr>
          <w:p w14:paraId="73689F7A" w14:textId="77777777" w:rsidR="00053498" w:rsidRDefault="00E27F4F">
            <w:pPr>
              <w:spacing w:before="60" w:after="60"/>
              <w:jc w:val="center"/>
            </w:pPr>
            <w:r>
              <w:t>参与方式</w:t>
            </w:r>
          </w:p>
        </w:tc>
        <w:tc>
          <w:tcPr>
            <w:tcW w:w="7438" w:type="dxa"/>
            <w:vAlign w:val="center"/>
          </w:tcPr>
          <w:p w14:paraId="0FBB0109" w14:textId="77777777" w:rsidR="00053498" w:rsidRDefault="00E27F4F">
            <w:pPr>
              <w:spacing w:before="60" w:after="60"/>
            </w:pPr>
            <w:r>
              <w:t>现场</w:t>
            </w:r>
          </w:p>
        </w:tc>
      </w:tr>
      <w:tr w:rsidR="00053498" w14:paraId="6C1F359D" w14:textId="77777777" w:rsidTr="00582156">
        <w:tc>
          <w:tcPr>
            <w:tcW w:w="1608" w:type="dxa"/>
            <w:vAlign w:val="center"/>
          </w:tcPr>
          <w:p w14:paraId="2FAD7E44" w14:textId="77777777" w:rsidR="00053498" w:rsidRDefault="00E27F4F">
            <w:pPr>
              <w:spacing w:before="60" w:after="60"/>
              <w:jc w:val="center"/>
            </w:pPr>
            <w:r>
              <w:t>上市公司接待</w:t>
            </w:r>
          </w:p>
          <w:p w14:paraId="2DD1B2B9" w14:textId="77777777" w:rsidR="00053498" w:rsidRDefault="00E27F4F">
            <w:pPr>
              <w:spacing w:before="60" w:after="60"/>
              <w:jc w:val="center"/>
            </w:pPr>
            <w:r>
              <w:t>人员姓名</w:t>
            </w:r>
          </w:p>
        </w:tc>
        <w:tc>
          <w:tcPr>
            <w:tcW w:w="7438" w:type="dxa"/>
            <w:vAlign w:val="center"/>
          </w:tcPr>
          <w:p w14:paraId="5F90921B" w14:textId="26B06DD8" w:rsidR="00F44C24" w:rsidRDefault="00F44C24">
            <w:pPr>
              <w:spacing w:before="60" w:after="60"/>
            </w:pPr>
            <w:r>
              <w:rPr>
                <w:rFonts w:hint="eastAsia"/>
              </w:rPr>
              <w:t>证券事务代表</w:t>
            </w:r>
            <w:r>
              <w:rPr>
                <w:rFonts w:hint="eastAsia"/>
              </w:rPr>
              <w:t xml:space="preserve"> </w:t>
            </w:r>
            <w:r>
              <w:rPr>
                <w:rFonts w:hint="eastAsia"/>
              </w:rPr>
              <w:t>石海艳</w:t>
            </w:r>
          </w:p>
          <w:p w14:paraId="13C44888" w14:textId="59BA229D" w:rsidR="00053498" w:rsidRDefault="00E27F4F">
            <w:pPr>
              <w:spacing w:before="60" w:after="60"/>
            </w:pPr>
            <w:r>
              <w:t xml:space="preserve">IR </w:t>
            </w:r>
            <w:r>
              <w:t>刘逸明</w:t>
            </w:r>
          </w:p>
        </w:tc>
      </w:tr>
      <w:tr w:rsidR="00053498" w14:paraId="6B67368F" w14:textId="77777777" w:rsidTr="00582156">
        <w:tc>
          <w:tcPr>
            <w:tcW w:w="1608" w:type="dxa"/>
            <w:vAlign w:val="center"/>
          </w:tcPr>
          <w:p w14:paraId="0458A852" w14:textId="77777777" w:rsidR="00053498" w:rsidRDefault="00E27F4F">
            <w:pPr>
              <w:spacing w:before="60"/>
              <w:jc w:val="center"/>
            </w:pPr>
            <w:r>
              <w:t>投资者关系活</w:t>
            </w:r>
          </w:p>
          <w:p w14:paraId="583E1500" w14:textId="77777777" w:rsidR="00053498" w:rsidRDefault="00E27F4F">
            <w:pPr>
              <w:spacing w:after="60"/>
              <w:jc w:val="center"/>
            </w:pPr>
            <w:r>
              <w:t>动主要内容介</w:t>
            </w:r>
          </w:p>
          <w:p w14:paraId="60B87837" w14:textId="77777777" w:rsidR="00053498" w:rsidRDefault="00E27F4F">
            <w:pPr>
              <w:spacing w:after="60"/>
              <w:jc w:val="center"/>
            </w:pPr>
            <w:r>
              <w:t>绍</w:t>
            </w:r>
          </w:p>
        </w:tc>
        <w:tc>
          <w:tcPr>
            <w:tcW w:w="7438" w:type="dxa"/>
          </w:tcPr>
          <w:p w14:paraId="2372D420" w14:textId="25E9D0DA" w:rsidR="00573617" w:rsidRDefault="00573617" w:rsidP="00573617">
            <w:pPr>
              <w:spacing w:before="80" w:after="40"/>
              <w:ind w:firstLine="480"/>
              <w:jc w:val="both"/>
            </w:pPr>
            <w:r>
              <w:t>Q</w:t>
            </w:r>
            <w:r>
              <w:rPr>
                <w:rFonts w:hint="eastAsia"/>
              </w:rPr>
              <w:t>1</w:t>
            </w:r>
            <w:r>
              <w:t>：</w:t>
            </w:r>
            <w:r>
              <w:rPr>
                <w:rFonts w:hint="eastAsia"/>
              </w:rPr>
              <w:t>传统航天和商业航天的划分界定标准是什么</w:t>
            </w:r>
            <w:r>
              <w:t>？</w:t>
            </w:r>
          </w:p>
          <w:p w14:paraId="0740867A" w14:textId="08F672E0" w:rsidR="00573617" w:rsidRDefault="00573617" w:rsidP="005E402C">
            <w:pPr>
              <w:spacing w:before="80" w:after="40"/>
              <w:ind w:firstLine="480"/>
              <w:jc w:val="both"/>
            </w:pPr>
            <w:r>
              <w:t>A</w:t>
            </w:r>
            <w:r>
              <w:rPr>
                <w:rFonts w:hint="eastAsia"/>
              </w:rPr>
              <w:t>1</w:t>
            </w:r>
            <w:r>
              <w:t>：</w:t>
            </w:r>
            <w:r w:rsidR="00510999">
              <w:t>目前国家层面尚未出台专门法规对传统航天、商业航天作出明确定义。公司在信息披露及业务统计时，参考行业通行做法，结合项目建设运营模式、任务属性进行区分。其中，</w:t>
            </w:r>
            <w:r w:rsidR="00510999" w:rsidRPr="005E402C">
              <w:rPr>
                <w:rFonts w:hint="eastAsia"/>
              </w:rPr>
              <w:t>传统航天主要对应国家重大航天工程任务</w:t>
            </w:r>
            <w:r w:rsidR="00510999">
              <w:t>，例如载人航天、深空探测等国家重点型号任务，以国家任务目标为导向；</w:t>
            </w:r>
            <w:r w:rsidR="00510999" w:rsidRPr="005E402C">
              <w:rPr>
                <w:rFonts w:hint="eastAsia"/>
              </w:rPr>
              <w:t>商业航天主要面向市场化组网、商业化运营的卫星及航天器项目</w:t>
            </w:r>
            <w:r w:rsidR="00510999">
              <w:t>，既包含千帆星座、国网星座等市场化建设</w:t>
            </w:r>
            <w:r w:rsidR="00510999">
              <w:lastRenderedPageBreak/>
              <w:t>的低轨卫星互联网星座，也包含市场化商业主体的卫星项目，更加注重降本增效、批产化能力建设。需要说明，部分国有主体承担的项目，若按照市场化商业星座模式开展建设，公司统计口径归类为商业航天业务；两类业务底层技术同源，实务中个别项目存在边界交叉情形。</w:t>
            </w:r>
          </w:p>
          <w:p w14:paraId="507D2DB6" w14:textId="5F0184D0" w:rsidR="00B321C0" w:rsidRDefault="00B321C0" w:rsidP="00B321C0">
            <w:pPr>
              <w:spacing w:before="80" w:after="40"/>
              <w:ind w:firstLine="480"/>
              <w:jc w:val="both"/>
            </w:pPr>
            <w:r>
              <w:t>Q</w:t>
            </w:r>
            <w:r>
              <w:rPr>
                <w:rFonts w:hint="eastAsia"/>
              </w:rPr>
              <w:t>2</w:t>
            </w:r>
            <w:r>
              <w:t>：</w:t>
            </w:r>
            <w:r w:rsidRPr="00B321C0">
              <w:t>在建工程新增</w:t>
            </w:r>
            <w:r>
              <w:rPr>
                <w:rFonts w:hint="eastAsia"/>
              </w:rPr>
              <w:t>到</w:t>
            </w:r>
            <w:r w:rsidRPr="00B321C0">
              <w:t>2</w:t>
            </w:r>
            <w:r w:rsidRPr="00B321C0">
              <w:t>亿，是募投项目吗？后续是否每季度会</w:t>
            </w:r>
            <w:r>
              <w:rPr>
                <w:rFonts w:hint="eastAsia"/>
              </w:rPr>
              <w:t>继续</w:t>
            </w:r>
            <w:r w:rsidRPr="00B321C0">
              <w:t>增加</w:t>
            </w:r>
            <w:r>
              <w:t>？</w:t>
            </w:r>
          </w:p>
          <w:p w14:paraId="6D4F9175" w14:textId="45606040" w:rsidR="00B321C0" w:rsidRDefault="00B321C0" w:rsidP="00B321C0">
            <w:pPr>
              <w:spacing w:before="40" w:after="80"/>
              <w:ind w:firstLine="480"/>
              <w:jc w:val="both"/>
            </w:pPr>
            <w:r>
              <w:t>A</w:t>
            </w:r>
            <w:r>
              <w:rPr>
                <w:rFonts w:hint="eastAsia"/>
              </w:rPr>
              <w:t>2</w:t>
            </w:r>
            <w:r>
              <w:t>：公司</w:t>
            </w:r>
            <w:r>
              <w:rPr>
                <w:rFonts w:hint="eastAsia"/>
              </w:rPr>
              <w:t>已在</w:t>
            </w:r>
            <w:r w:rsidR="00510999">
              <w:rPr>
                <w:rFonts w:hint="eastAsia"/>
              </w:rPr>
              <w:t>2026</w:t>
            </w:r>
            <w:r w:rsidR="00510999">
              <w:rPr>
                <w:rFonts w:hint="eastAsia"/>
              </w:rPr>
              <w:t>年半年度报告</w:t>
            </w:r>
            <w:r>
              <w:rPr>
                <w:rFonts w:hint="eastAsia"/>
              </w:rPr>
              <w:t>中披露，在建工程增加系募投项目建设所致，该项目目前仍处于持续</w:t>
            </w:r>
            <w:r w:rsidR="00510999">
              <w:rPr>
                <w:rFonts w:hint="eastAsia"/>
              </w:rPr>
              <w:t>建设</w:t>
            </w:r>
            <w:r>
              <w:rPr>
                <w:rFonts w:hint="eastAsia"/>
              </w:rPr>
              <w:t>状态，</w:t>
            </w:r>
            <w:r w:rsidRPr="00B321C0">
              <w:t>后续随着工程进度推进，在建工程余额预计将持续增加</w:t>
            </w:r>
            <w:r>
              <w:rPr>
                <w:rFonts w:hint="eastAsia"/>
              </w:rPr>
              <w:t>，</w:t>
            </w:r>
            <w:r w:rsidR="009C1401">
              <w:rPr>
                <w:rFonts w:hint="eastAsia"/>
              </w:rPr>
              <w:t>但非</w:t>
            </w:r>
            <w:r w:rsidR="009C1401" w:rsidRPr="00FE0E17">
              <w:t>每季度必然增加，</w:t>
            </w:r>
            <w:r w:rsidRPr="00B321C0">
              <w:t>直至项目竣工验收后转入固定资产</w:t>
            </w:r>
            <w:r>
              <w:t>。</w:t>
            </w:r>
            <w:r w:rsidR="009C1401" w:rsidRPr="00FE0E17">
              <w:t>具体以定期报告为准。</w:t>
            </w:r>
          </w:p>
          <w:p w14:paraId="728B897A" w14:textId="079AEFA4" w:rsidR="000F6DD0" w:rsidRDefault="000F6DD0" w:rsidP="000F6DD0">
            <w:pPr>
              <w:spacing w:before="40" w:after="80"/>
              <w:ind w:firstLine="480"/>
              <w:jc w:val="both"/>
            </w:pPr>
            <w:r>
              <w:rPr>
                <w:rFonts w:hint="eastAsia"/>
              </w:rPr>
              <w:t>Q3</w:t>
            </w:r>
            <w:r>
              <w:rPr>
                <w:rFonts w:hint="eastAsia"/>
              </w:rPr>
              <w:t>：公司在星网二代项目中的份额有多少？</w:t>
            </w:r>
          </w:p>
          <w:p w14:paraId="002E13D4" w14:textId="2DAC9D28" w:rsidR="006018A9" w:rsidRDefault="000F6DD0" w:rsidP="004F43A8">
            <w:pPr>
              <w:spacing w:before="80" w:after="40"/>
              <w:ind w:firstLine="480"/>
              <w:jc w:val="both"/>
            </w:pPr>
            <w:r>
              <w:rPr>
                <w:rFonts w:hint="eastAsia"/>
              </w:rPr>
              <w:t>A3</w:t>
            </w:r>
            <w:r>
              <w:rPr>
                <w:rFonts w:hint="eastAsia"/>
              </w:rPr>
              <w:t>：</w:t>
            </w:r>
            <w:r w:rsidR="00510999">
              <w:t>公司为国网星座提供电源系统配套。具体星座项目配套份额占比、产品供货分配情况，涉及商业秘密以及客户保密要求，暂无法对外披露。公司不对项目未来供货情况进行预判，有关公司经营情况，请以</w:t>
            </w:r>
            <w:r w:rsidR="006018A9">
              <w:rPr>
                <w:rFonts w:hint="eastAsia"/>
              </w:rPr>
              <w:t>公司正式</w:t>
            </w:r>
            <w:r w:rsidR="00510999">
              <w:t>公告为准。</w:t>
            </w:r>
          </w:p>
          <w:p w14:paraId="5654D968" w14:textId="57AC1853" w:rsidR="004F43A8" w:rsidRDefault="004F43A8" w:rsidP="004F43A8">
            <w:pPr>
              <w:spacing w:before="80" w:after="40"/>
              <w:ind w:firstLine="480"/>
              <w:jc w:val="both"/>
            </w:pPr>
            <w:r>
              <w:t>Q</w:t>
            </w:r>
            <w:r>
              <w:rPr>
                <w:rFonts w:hint="eastAsia"/>
              </w:rPr>
              <w:t>4</w:t>
            </w:r>
            <w:r>
              <w:rPr>
                <w:rFonts w:hint="eastAsia"/>
              </w:rPr>
              <w:t>：千帆与星网的产品有什么区别</w:t>
            </w:r>
            <w:r>
              <w:t>？</w:t>
            </w:r>
          </w:p>
          <w:p w14:paraId="10255213" w14:textId="0F18B2A2" w:rsidR="004F43A8" w:rsidRDefault="004F43A8" w:rsidP="004F43A8">
            <w:pPr>
              <w:spacing w:before="80" w:after="40"/>
              <w:ind w:firstLine="480"/>
              <w:jc w:val="both"/>
            </w:pPr>
            <w:r>
              <w:t>A</w:t>
            </w:r>
            <w:r>
              <w:rPr>
                <w:rFonts w:hint="eastAsia"/>
              </w:rPr>
              <w:t>4</w:t>
            </w:r>
            <w:r>
              <w:t>：</w:t>
            </w:r>
            <w:r w:rsidR="00510999">
              <w:t>从行业公开信息看，千帆星座、国网星座在建设定位、规划规模上存在差异。两个星座具体卫星平台、电源系统的技术路线、技术指标，属于星座总体单位的内部设计与保密信息，公司作为配套供应商，不便对外解读与披露。公司相关业务经营情况，</w:t>
            </w:r>
            <w:r w:rsidR="006018A9">
              <w:t>请以</w:t>
            </w:r>
            <w:r w:rsidR="006018A9">
              <w:rPr>
                <w:rFonts w:hint="eastAsia"/>
              </w:rPr>
              <w:t>公司正式</w:t>
            </w:r>
            <w:r w:rsidR="006018A9">
              <w:t>公告为准</w:t>
            </w:r>
            <w:r w:rsidR="00510999">
              <w:t>。</w:t>
            </w:r>
          </w:p>
          <w:p w14:paraId="32037CEE" w14:textId="2BB30EF1" w:rsidR="00F678CD" w:rsidRPr="00850544" w:rsidRDefault="00F678CD" w:rsidP="00F678CD">
            <w:pPr>
              <w:spacing w:before="80" w:after="40"/>
              <w:ind w:firstLine="480"/>
              <w:jc w:val="both"/>
            </w:pPr>
            <w:r w:rsidRPr="00850544">
              <w:t>Q5</w:t>
            </w:r>
            <w:r w:rsidRPr="00850544">
              <w:rPr>
                <w:rFonts w:hint="eastAsia"/>
              </w:rPr>
              <w:t>：特种电源业务明显增长的原因？有持续性吗？</w:t>
            </w:r>
          </w:p>
          <w:p w14:paraId="4ADC87C2" w14:textId="6E3B71D3" w:rsidR="00F678CD" w:rsidRPr="00850544" w:rsidRDefault="00F678CD" w:rsidP="00F678CD">
            <w:pPr>
              <w:spacing w:before="40" w:after="80"/>
              <w:ind w:firstLine="480"/>
              <w:jc w:val="both"/>
            </w:pPr>
            <w:r w:rsidRPr="00850544">
              <w:t>A5</w:t>
            </w:r>
            <w:r w:rsidRPr="00850544">
              <w:rPr>
                <w:rFonts w:hint="eastAsia"/>
              </w:rPr>
              <w:t>：公司</w:t>
            </w:r>
            <w:r w:rsidR="0016173F" w:rsidRPr="00850544">
              <w:t>2026</w:t>
            </w:r>
            <w:r w:rsidR="0016173F" w:rsidRPr="00850544">
              <w:rPr>
                <w:rFonts w:hint="eastAsia"/>
              </w:rPr>
              <w:t>年半年度特种电源业务实现营业收入</w:t>
            </w:r>
            <w:r w:rsidR="0016173F" w:rsidRPr="00850544">
              <w:t>3.26</w:t>
            </w:r>
            <w:r w:rsidR="0016173F" w:rsidRPr="00850544">
              <w:rPr>
                <w:rFonts w:hint="eastAsia"/>
              </w:rPr>
              <w:t>亿元</w:t>
            </w:r>
            <w:r w:rsidR="000B0EC5" w:rsidRPr="00850544">
              <w:rPr>
                <w:rFonts w:hint="eastAsia"/>
              </w:rPr>
              <w:t>，</w:t>
            </w:r>
            <w:r w:rsidR="000B0EC5" w:rsidRPr="00850544">
              <w:t>较上年同期及</w:t>
            </w:r>
            <w:r w:rsidR="000B0EC5" w:rsidRPr="00850544">
              <w:t>2025</w:t>
            </w:r>
            <w:r w:rsidR="000B0EC5" w:rsidRPr="00850544">
              <w:t>年全年均实现增长，主要系报告期内特种电源产品交付及收入确认规模扩大所致。</w:t>
            </w:r>
            <w:r w:rsidR="0029221F" w:rsidRPr="00850544">
              <w:rPr>
                <w:rFonts w:hint="eastAsia"/>
              </w:rPr>
              <w:t>从行业趋势看，随着国防现代化建设稳步推进，特种电源需求存在基本面支撑</w:t>
            </w:r>
            <w:r w:rsidR="003C3A19" w:rsidRPr="00850544">
              <w:rPr>
                <w:rFonts w:hint="eastAsia"/>
              </w:rPr>
              <w:t>，</w:t>
            </w:r>
            <w:r w:rsidR="0029221F" w:rsidRPr="00850544">
              <w:rPr>
                <w:rFonts w:hint="eastAsia"/>
              </w:rPr>
              <w:t>但具体到公司层面，业务增长的持续性取决于</w:t>
            </w:r>
            <w:r w:rsidR="003C3A19" w:rsidRPr="00850544">
              <w:rPr>
                <w:rFonts w:hint="eastAsia"/>
              </w:rPr>
              <w:t>多方面因素，公司无法对特种电源业务未来增长的</w:t>
            </w:r>
            <w:r w:rsidR="003C3A19" w:rsidRPr="00850544">
              <w:rPr>
                <w:rFonts w:hint="eastAsia"/>
              </w:rPr>
              <w:lastRenderedPageBreak/>
              <w:t>持续性做出</w:t>
            </w:r>
            <w:r w:rsidR="00723378" w:rsidRPr="00850544">
              <w:rPr>
                <w:rFonts w:hint="eastAsia"/>
              </w:rPr>
              <w:t>承诺或预测</w:t>
            </w:r>
            <w:r w:rsidR="003C3A19" w:rsidRPr="00850544">
              <w:rPr>
                <w:rFonts w:hint="eastAsia"/>
              </w:rPr>
              <w:t>，</w:t>
            </w:r>
            <w:r w:rsidR="008F5919" w:rsidRPr="00FE0E17">
              <w:t>上述比较</w:t>
            </w:r>
            <w:r w:rsidR="008F5919">
              <w:rPr>
                <w:rFonts w:hint="eastAsia"/>
              </w:rPr>
              <w:t>亦</w:t>
            </w:r>
            <w:r w:rsidR="008F5919" w:rsidRPr="00FE0E17">
              <w:t>不构成对全年业绩的预测</w:t>
            </w:r>
            <w:r w:rsidR="008F5919">
              <w:rPr>
                <w:rFonts w:hint="eastAsia"/>
              </w:rPr>
              <w:t>，</w:t>
            </w:r>
            <w:r w:rsidR="003C3A19" w:rsidRPr="00850544">
              <w:rPr>
                <w:rFonts w:hint="eastAsia"/>
              </w:rPr>
              <w:t>相关经营情况请关注公司后续披露的定期报告。</w:t>
            </w:r>
          </w:p>
          <w:p w14:paraId="75C33BE8" w14:textId="1B22D7D8" w:rsidR="00E62EA5" w:rsidRPr="00751DC7" w:rsidRDefault="00E62EA5" w:rsidP="00E62EA5">
            <w:pPr>
              <w:spacing w:before="80" w:after="40"/>
              <w:ind w:firstLine="480"/>
              <w:jc w:val="both"/>
            </w:pPr>
            <w:r w:rsidRPr="00751DC7">
              <w:t>Q6</w:t>
            </w:r>
            <w:r w:rsidRPr="00751DC7">
              <w:rPr>
                <w:rFonts w:hint="eastAsia"/>
              </w:rPr>
              <w:t>：卫星电源的技术路线有发生重大变化吗？</w:t>
            </w:r>
          </w:p>
          <w:p w14:paraId="0B2B9EAC" w14:textId="2A320633" w:rsidR="00573617" w:rsidRPr="00751DC7" w:rsidRDefault="00E62EA5" w:rsidP="00E62EA5">
            <w:pPr>
              <w:spacing w:before="80" w:after="40"/>
              <w:ind w:firstLine="480"/>
              <w:jc w:val="both"/>
            </w:pPr>
            <w:r w:rsidRPr="00751DC7">
              <w:t>A6</w:t>
            </w:r>
            <w:r w:rsidRPr="00751DC7">
              <w:rPr>
                <w:rFonts w:hint="eastAsia"/>
              </w:rPr>
              <w:t>：</w:t>
            </w:r>
            <w:r w:rsidR="00795D9F" w:rsidRPr="00751DC7">
              <w:rPr>
                <w:rFonts w:hint="eastAsia"/>
              </w:rPr>
              <w:t>从行业公开信息来看，卫星电源技术路线正处于渐进式迭代阶段，砷化镓太阳电池</w:t>
            </w:r>
            <w:r w:rsidR="00BA38A7" w:rsidRPr="00BA38A7">
              <w:t>凭借其高转化效率、高可靠性、轻量化、抗辐射、耐极端温度等特点，仍是航天器在轨运行的核心发电装置</w:t>
            </w:r>
            <w:r w:rsidR="00BA38A7">
              <w:rPr>
                <w:rFonts w:hint="eastAsia"/>
              </w:rPr>
              <w:t>；</w:t>
            </w:r>
            <w:r w:rsidR="00BA38A7" w:rsidRPr="00BA38A7">
              <w:t>同时，伴随低轨商业卫星星座规模化组网，太阳电池阵正朝着低成本、柔性化、轻量化方向加速迭代，行业技术迭代与批量交付需求并行，对企业的技术研发能力、型号工程化能力、高可靠一致性制造能力提出了更高的准入门槛。公司将持续关注并跟踪行业技术演进趋势，稳步推进多型柔性薄膜太阳电池核心能力建设，加快新一代低成本太阳电池量产工艺迭代优化，着力提升宇航电源产品在商业航天市场的核心竞争力。公司不对未来技术路线变化作出预测，请投资者注意投资风险。</w:t>
            </w:r>
          </w:p>
          <w:p w14:paraId="10989481" w14:textId="5590A18C" w:rsidR="00053498" w:rsidRPr="00751DC7" w:rsidRDefault="00E27F4F" w:rsidP="00CD6232">
            <w:pPr>
              <w:spacing w:before="80" w:after="40"/>
              <w:ind w:firstLine="480"/>
              <w:jc w:val="both"/>
            </w:pPr>
            <w:r w:rsidRPr="00751DC7">
              <w:t>Q</w:t>
            </w:r>
            <w:r w:rsidR="004F1FCB" w:rsidRPr="00751DC7">
              <w:t>7</w:t>
            </w:r>
            <w:r w:rsidRPr="00751DC7">
              <w:rPr>
                <w:rFonts w:hint="eastAsia"/>
              </w:rPr>
              <w:t>：</w:t>
            </w:r>
            <w:r w:rsidR="00A9514E" w:rsidRPr="00751DC7">
              <w:rPr>
                <w:rFonts w:hint="eastAsia"/>
              </w:rPr>
              <w:t>公司电源系统在</w:t>
            </w:r>
            <w:r w:rsidR="00855473" w:rsidRPr="00751DC7">
              <w:rPr>
                <w:rFonts w:hint="eastAsia"/>
              </w:rPr>
              <w:t>卫星</w:t>
            </w:r>
            <w:r w:rsidR="00A9514E" w:rsidRPr="00751DC7">
              <w:rPr>
                <w:rFonts w:hint="eastAsia"/>
              </w:rPr>
              <w:t>中的</w:t>
            </w:r>
            <w:r w:rsidR="00855473" w:rsidRPr="00751DC7">
              <w:rPr>
                <w:rFonts w:hint="eastAsia"/>
              </w:rPr>
              <w:t>价值量</w:t>
            </w:r>
            <w:r w:rsidRPr="00751DC7">
              <w:rPr>
                <w:rFonts w:hint="eastAsia"/>
              </w:rPr>
              <w:t>？</w:t>
            </w:r>
          </w:p>
          <w:p w14:paraId="4885D8ED" w14:textId="13434FF3" w:rsidR="00053498" w:rsidRPr="00751DC7" w:rsidRDefault="00E27F4F" w:rsidP="00CD6232">
            <w:pPr>
              <w:spacing w:before="40" w:after="80"/>
              <w:ind w:firstLine="480"/>
              <w:jc w:val="both"/>
            </w:pPr>
            <w:r w:rsidRPr="00751DC7">
              <w:t>A</w:t>
            </w:r>
            <w:r w:rsidR="004F1FCB" w:rsidRPr="00751DC7">
              <w:t>7</w:t>
            </w:r>
            <w:r w:rsidRPr="00751DC7">
              <w:rPr>
                <w:rFonts w:hint="eastAsia"/>
              </w:rPr>
              <w:t>：</w:t>
            </w:r>
            <w:r w:rsidR="00A9514E" w:rsidRPr="00751DC7">
              <w:rPr>
                <w:rFonts w:hint="eastAsia"/>
              </w:rPr>
              <w:t>卫星主要由平台和载荷两部分构成，不同卫星因功能不同成本结构差异较大。公司此前已在招股书及问询中披露：根据艾瑞咨询数据，定制卫星的平台成本占比约为</w:t>
            </w:r>
            <w:r w:rsidR="00A9514E" w:rsidRPr="00751DC7">
              <w:t>50%</w:t>
            </w:r>
            <w:r w:rsidR="00A9514E" w:rsidRPr="00751DC7">
              <w:rPr>
                <w:rFonts w:hint="eastAsia"/>
              </w:rPr>
              <w:t>，批量卫星的平台成本占比约为</w:t>
            </w:r>
            <w:r w:rsidR="00A9514E" w:rsidRPr="00751DC7">
              <w:t>30%</w:t>
            </w:r>
            <w:r w:rsidR="00A9514E" w:rsidRPr="00751DC7">
              <w:rPr>
                <w:rFonts w:hint="eastAsia"/>
              </w:rPr>
              <w:t>，姿控系统和电源系统的成本之和约占全卫星平台的</w:t>
            </w:r>
            <w:r w:rsidR="00A9514E" w:rsidRPr="00751DC7">
              <w:t>60%</w:t>
            </w:r>
            <w:r w:rsidR="00A9514E" w:rsidRPr="00751DC7">
              <w:rPr>
                <w:rFonts w:hint="eastAsia"/>
              </w:rPr>
              <w:t>以上</w:t>
            </w:r>
            <w:r w:rsidRPr="00751DC7">
              <w:rPr>
                <w:rFonts w:hint="eastAsia"/>
              </w:rPr>
              <w:t>。</w:t>
            </w:r>
          </w:p>
          <w:p w14:paraId="51DFE18D" w14:textId="0DFF3369" w:rsidR="00053498" w:rsidRPr="00850544" w:rsidRDefault="00E27F4F" w:rsidP="00CD6232">
            <w:pPr>
              <w:spacing w:before="80" w:after="40"/>
              <w:ind w:firstLine="480"/>
              <w:jc w:val="both"/>
            </w:pPr>
            <w:r w:rsidRPr="00850544">
              <w:t>Q</w:t>
            </w:r>
            <w:r w:rsidR="004F1FCB" w:rsidRPr="00850544">
              <w:t>8</w:t>
            </w:r>
            <w:r w:rsidRPr="00850544">
              <w:rPr>
                <w:rFonts w:hint="eastAsia"/>
              </w:rPr>
              <w:t>：</w:t>
            </w:r>
            <w:r w:rsidR="0048348B" w:rsidRPr="00850544">
              <w:rPr>
                <w:rFonts w:hint="eastAsia"/>
              </w:rPr>
              <w:t>公司布局的新方向有哪些</w:t>
            </w:r>
            <w:r w:rsidRPr="00850544">
              <w:rPr>
                <w:rFonts w:hint="eastAsia"/>
              </w:rPr>
              <w:t>？</w:t>
            </w:r>
            <w:r w:rsidR="0048348B" w:rsidRPr="00850544">
              <w:rPr>
                <w:rFonts w:hint="eastAsia"/>
              </w:rPr>
              <w:t>未来增长点如何判断？</w:t>
            </w:r>
          </w:p>
          <w:p w14:paraId="62B478B7" w14:textId="7E9E26E1" w:rsidR="00053498" w:rsidRDefault="00E27F4F" w:rsidP="004F1FCB">
            <w:pPr>
              <w:spacing w:before="40" w:after="80"/>
              <w:ind w:firstLine="480"/>
              <w:jc w:val="both"/>
            </w:pPr>
            <w:r w:rsidRPr="00850544">
              <w:t>A</w:t>
            </w:r>
            <w:r w:rsidR="004F1FCB" w:rsidRPr="00850544">
              <w:t>8</w:t>
            </w:r>
            <w:r w:rsidRPr="00850544">
              <w:rPr>
                <w:rFonts w:hint="eastAsia"/>
              </w:rPr>
              <w:t>：</w:t>
            </w:r>
            <w:r w:rsidR="00CD1D1A" w:rsidRPr="00850544">
              <w:rPr>
                <w:rFonts w:hint="eastAsia"/>
              </w:rPr>
              <w:t>公司坚持以市场需求为牵引，积极拓展商业航天增量，依托标准化、模块化产品矩阵，稳步落实了多批次大型星座组网星及增补星电源系统的批量订单交付，实现在轨大规模供能，规模效应逐步显现；同时积极布局特种装备与新兴产业，并持续推进钠离子电池在新型工业储能等场景的示范与推广；聚焦人工智能、低空经济、深海科技、具身智能等新域新质方向，与多家行业客户开展联合论证与样机联调，为后续深入合作奠定基础</w:t>
            </w:r>
            <w:r w:rsidRPr="00850544">
              <w:rPr>
                <w:rFonts w:hint="eastAsia"/>
              </w:rPr>
              <w:t>。</w:t>
            </w:r>
            <w:r w:rsidR="007C589F" w:rsidRPr="007C589F">
              <w:t>关于未来增长点，公司不对未来业</w:t>
            </w:r>
            <w:r w:rsidR="007C589F" w:rsidRPr="007C589F">
              <w:lastRenderedPageBreak/>
              <w:t>绩作出预测或承诺。公司未来增长受星座组网进度、产能释放节奏、技术迭代、市场需求变化等多方面因素影响，存在不确定性。公司已在</w:t>
            </w:r>
            <w:r w:rsidR="007C589F" w:rsidRPr="007C589F">
              <w:t>2026</w:t>
            </w:r>
            <w:r w:rsidR="007C589F" w:rsidRPr="007C589F">
              <w:t>年半年度报告</w:t>
            </w:r>
            <w:r w:rsidR="007C589F" w:rsidRPr="007C589F">
              <w:t>"</w:t>
            </w:r>
            <w:r w:rsidR="007C589F" w:rsidRPr="007C589F">
              <w:t>第三节</w:t>
            </w:r>
            <w:r w:rsidR="007C589F" w:rsidRPr="007C589F">
              <w:t xml:space="preserve"> </w:t>
            </w:r>
            <w:r w:rsidR="007C589F" w:rsidRPr="007C589F">
              <w:t>管理层讨论与分析</w:t>
            </w:r>
            <w:r w:rsidR="007C589F" w:rsidRPr="007C589F">
              <w:t>"</w:t>
            </w:r>
            <w:r w:rsidR="007C589F" w:rsidRPr="007C589F">
              <w:t>之</w:t>
            </w:r>
            <w:r w:rsidR="007C589F" w:rsidRPr="007C589F">
              <w:t>"</w:t>
            </w:r>
            <w:r w:rsidR="007C589F" w:rsidRPr="007C589F">
              <w:t>四、风险因素</w:t>
            </w:r>
            <w:r w:rsidR="007C589F" w:rsidRPr="007C589F">
              <w:t>"</w:t>
            </w:r>
            <w:r w:rsidR="007C589F" w:rsidRPr="007C589F">
              <w:t>中披露了可能面对的风险，提请投资者注意查阅。相关经营情况请以公司披露的定期报告为准。</w:t>
            </w:r>
          </w:p>
          <w:p w14:paraId="7FA2CA64" w14:textId="7A9BDE5E" w:rsidR="00053498" w:rsidRDefault="00E27F4F" w:rsidP="00CD6232">
            <w:pPr>
              <w:spacing w:before="80" w:after="40"/>
              <w:ind w:firstLine="480"/>
              <w:jc w:val="both"/>
            </w:pPr>
            <w:r>
              <w:t>Q</w:t>
            </w:r>
            <w:r w:rsidR="00AE1387">
              <w:rPr>
                <w:rFonts w:hint="eastAsia"/>
              </w:rPr>
              <w:t>9</w:t>
            </w:r>
            <w:r>
              <w:t>：</w:t>
            </w:r>
            <w:r w:rsidR="0001565D">
              <w:rPr>
                <w:rFonts w:hint="eastAsia"/>
              </w:rPr>
              <w:t>未来有员工持股、股权激励的计划吗</w:t>
            </w:r>
            <w:r>
              <w:t>？</w:t>
            </w:r>
          </w:p>
          <w:p w14:paraId="2B6F644A" w14:textId="4C0937DC" w:rsidR="003C514C" w:rsidRPr="0001565D" w:rsidRDefault="00E27F4F" w:rsidP="0001565D">
            <w:pPr>
              <w:spacing w:before="40" w:after="80"/>
              <w:ind w:firstLine="480"/>
              <w:jc w:val="both"/>
            </w:pPr>
            <w:r>
              <w:t>A</w:t>
            </w:r>
            <w:r w:rsidR="00AE1387">
              <w:rPr>
                <w:rFonts w:hint="eastAsia"/>
              </w:rPr>
              <w:t>9</w:t>
            </w:r>
            <w:r>
              <w:t>：</w:t>
            </w:r>
            <w:r w:rsidR="005A0DA3">
              <w:t>公司</w:t>
            </w:r>
            <w:r w:rsidR="00BB3B88">
              <w:rPr>
                <w:rFonts w:hint="eastAsia"/>
              </w:rPr>
              <w:t>目前</w:t>
            </w:r>
            <w:r w:rsidR="000723A2" w:rsidRPr="000723A2">
              <w:t>无应披露而未披露</w:t>
            </w:r>
            <w:r w:rsidR="000723A2">
              <w:rPr>
                <w:rFonts w:hint="eastAsia"/>
              </w:rPr>
              <w:t>的</w:t>
            </w:r>
            <w:r w:rsidR="005A0DA3">
              <w:t>员工持股计划或股权激励相关方案。未来是否筹划及实施员工持股、股权激励，需结合公司经营发展、人才激励实际需要</w:t>
            </w:r>
            <w:r w:rsidR="00C56901" w:rsidRPr="00C56901">
              <w:t>及监管规则</w:t>
            </w:r>
            <w:r w:rsidR="00C56901">
              <w:rPr>
                <w:rFonts w:hint="eastAsia"/>
              </w:rPr>
              <w:t>，</w:t>
            </w:r>
            <w:r w:rsidR="005A0DA3">
              <w:t>并需要履行内部审议程序，相关事项如达到信息披露标准，公司将及时在</w:t>
            </w:r>
            <w:r w:rsidR="005A0DA3">
              <w:rPr>
                <w:rFonts w:hint="eastAsia"/>
                <w:kern w:val="0"/>
                <w14:ligatures w14:val="none"/>
              </w:rPr>
              <w:t>上海证券交易所网站</w:t>
            </w:r>
            <w:r w:rsidR="005A0DA3">
              <w:t>发布公告。请投资者以公司后续正式公告为准。</w:t>
            </w:r>
          </w:p>
        </w:tc>
      </w:tr>
      <w:tr w:rsidR="00053498" w14:paraId="7E08C4D5" w14:textId="77777777" w:rsidTr="00582156">
        <w:tc>
          <w:tcPr>
            <w:tcW w:w="1608" w:type="dxa"/>
            <w:vAlign w:val="center"/>
          </w:tcPr>
          <w:p w14:paraId="71A4F752" w14:textId="77777777" w:rsidR="00053498" w:rsidRDefault="00E27F4F">
            <w:pPr>
              <w:spacing w:before="60" w:after="60"/>
              <w:jc w:val="center"/>
            </w:pPr>
            <w:r>
              <w:lastRenderedPageBreak/>
              <w:t>附件清单</w:t>
            </w:r>
          </w:p>
        </w:tc>
        <w:tc>
          <w:tcPr>
            <w:tcW w:w="7438" w:type="dxa"/>
            <w:vAlign w:val="center"/>
          </w:tcPr>
          <w:p w14:paraId="60B0E9DE" w14:textId="77777777" w:rsidR="00053498" w:rsidRDefault="00E27F4F">
            <w:pPr>
              <w:spacing w:before="60" w:after="60"/>
            </w:pPr>
            <w:r>
              <w:t>无</w:t>
            </w:r>
          </w:p>
        </w:tc>
      </w:tr>
    </w:tbl>
    <w:p w14:paraId="317421C1" w14:textId="77777777" w:rsidR="00EE52EB" w:rsidRDefault="00EE52EB"/>
    <w:sectPr w:rsidR="00EE52EB">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85B2D" w14:textId="77777777" w:rsidR="009E6AEE" w:rsidRDefault="009E6AEE" w:rsidP="00451D8F">
      <w:pPr>
        <w:spacing w:line="240" w:lineRule="auto"/>
      </w:pPr>
      <w:r>
        <w:separator/>
      </w:r>
    </w:p>
  </w:endnote>
  <w:endnote w:type="continuationSeparator" w:id="0">
    <w:p w14:paraId="27C7921F" w14:textId="77777777" w:rsidR="009E6AEE" w:rsidRDefault="009E6AEE" w:rsidP="00451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B0BD6" w14:textId="77777777" w:rsidR="009E6AEE" w:rsidRDefault="009E6AEE" w:rsidP="00451D8F">
      <w:pPr>
        <w:spacing w:line="240" w:lineRule="auto"/>
      </w:pPr>
      <w:r>
        <w:separator/>
      </w:r>
    </w:p>
  </w:footnote>
  <w:footnote w:type="continuationSeparator" w:id="0">
    <w:p w14:paraId="195603AB" w14:textId="77777777" w:rsidR="009E6AEE" w:rsidRDefault="009E6AEE" w:rsidP="00451D8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498"/>
    <w:rsid w:val="0001565D"/>
    <w:rsid w:val="00040B9D"/>
    <w:rsid w:val="00053498"/>
    <w:rsid w:val="000723A2"/>
    <w:rsid w:val="00077040"/>
    <w:rsid w:val="00081D43"/>
    <w:rsid w:val="00087358"/>
    <w:rsid w:val="000B0EC5"/>
    <w:rsid w:val="000C2757"/>
    <w:rsid w:val="000E2063"/>
    <w:rsid w:val="000F6DD0"/>
    <w:rsid w:val="00127AB3"/>
    <w:rsid w:val="0016173F"/>
    <w:rsid w:val="001846D1"/>
    <w:rsid w:val="00185334"/>
    <w:rsid w:val="00191C37"/>
    <w:rsid w:val="001C1307"/>
    <w:rsid w:val="00220795"/>
    <w:rsid w:val="00255222"/>
    <w:rsid w:val="00257FA2"/>
    <w:rsid w:val="0028533B"/>
    <w:rsid w:val="0029221F"/>
    <w:rsid w:val="002F1A96"/>
    <w:rsid w:val="00340639"/>
    <w:rsid w:val="00347112"/>
    <w:rsid w:val="00357C62"/>
    <w:rsid w:val="003B484A"/>
    <w:rsid w:val="003B52F7"/>
    <w:rsid w:val="003C3A19"/>
    <w:rsid w:val="003C514C"/>
    <w:rsid w:val="003F4E03"/>
    <w:rsid w:val="00406375"/>
    <w:rsid w:val="004164B9"/>
    <w:rsid w:val="004220E9"/>
    <w:rsid w:val="004336D8"/>
    <w:rsid w:val="00451D8F"/>
    <w:rsid w:val="00460990"/>
    <w:rsid w:val="00482A86"/>
    <w:rsid w:val="0048348B"/>
    <w:rsid w:val="00491463"/>
    <w:rsid w:val="004C3BDC"/>
    <w:rsid w:val="004C638C"/>
    <w:rsid w:val="004D36E3"/>
    <w:rsid w:val="004F1FCB"/>
    <w:rsid w:val="004F43A8"/>
    <w:rsid w:val="004F4642"/>
    <w:rsid w:val="00510999"/>
    <w:rsid w:val="00564B47"/>
    <w:rsid w:val="005665BB"/>
    <w:rsid w:val="00573617"/>
    <w:rsid w:val="00582156"/>
    <w:rsid w:val="0059359B"/>
    <w:rsid w:val="00596914"/>
    <w:rsid w:val="005A0DA3"/>
    <w:rsid w:val="005C079B"/>
    <w:rsid w:val="005D3577"/>
    <w:rsid w:val="005E402C"/>
    <w:rsid w:val="005F691A"/>
    <w:rsid w:val="006018A9"/>
    <w:rsid w:val="00625287"/>
    <w:rsid w:val="00656E45"/>
    <w:rsid w:val="006665B4"/>
    <w:rsid w:val="00667F46"/>
    <w:rsid w:val="006A5213"/>
    <w:rsid w:val="006C1628"/>
    <w:rsid w:val="006C56A6"/>
    <w:rsid w:val="00723378"/>
    <w:rsid w:val="007309B2"/>
    <w:rsid w:val="00751027"/>
    <w:rsid w:val="00751DC7"/>
    <w:rsid w:val="00755235"/>
    <w:rsid w:val="00780CD2"/>
    <w:rsid w:val="00783F55"/>
    <w:rsid w:val="00795D9F"/>
    <w:rsid w:val="007C1406"/>
    <w:rsid w:val="007C589F"/>
    <w:rsid w:val="008210FA"/>
    <w:rsid w:val="00850544"/>
    <w:rsid w:val="00855473"/>
    <w:rsid w:val="008843BA"/>
    <w:rsid w:val="0088762B"/>
    <w:rsid w:val="008D1EEB"/>
    <w:rsid w:val="008F5919"/>
    <w:rsid w:val="00931BE4"/>
    <w:rsid w:val="00935E3B"/>
    <w:rsid w:val="00972531"/>
    <w:rsid w:val="0098220D"/>
    <w:rsid w:val="009C1401"/>
    <w:rsid w:val="009E6AEE"/>
    <w:rsid w:val="009F31C0"/>
    <w:rsid w:val="00A56F30"/>
    <w:rsid w:val="00A9514E"/>
    <w:rsid w:val="00AC12F4"/>
    <w:rsid w:val="00AE1387"/>
    <w:rsid w:val="00B321C0"/>
    <w:rsid w:val="00B4359F"/>
    <w:rsid w:val="00B91C1C"/>
    <w:rsid w:val="00BA2D17"/>
    <w:rsid w:val="00BA38A7"/>
    <w:rsid w:val="00BB3B88"/>
    <w:rsid w:val="00BE4314"/>
    <w:rsid w:val="00BF4677"/>
    <w:rsid w:val="00C172D7"/>
    <w:rsid w:val="00C23533"/>
    <w:rsid w:val="00C50F68"/>
    <w:rsid w:val="00C56901"/>
    <w:rsid w:val="00C60959"/>
    <w:rsid w:val="00C91394"/>
    <w:rsid w:val="00CB2EFB"/>
    <w:rsid w:val="00CD1D1A"/>
    <w:rsid w:val="00CD6232"/>
    <w:rsid w:val="00D129FD"/>
    <w:rsid w:val="00D15021"/>
    <w:rsid w:val="00D84D51"/>
    <w:rsid w:val="00DA2B30"/>
    <w:rsid w:val="00DD7109"/>
    <w:rsid w:val="00DD776D"/>
    <w:rsid w:val="00E27F4F"/>
    <w:rsid w:val="00E46C21"/>
    <w:rsid w:val="00E62EA5"/>
    <w:rsid w:val="00E6589E"/>
    <w:rsid w:val="00E71647"/>
    <w:rsid w:val="00E874E7"/>
    <w:rsid w:val="00EE52EB"/>
    <w:rsid w:val="00F0521A"/>
    <w:rsid w:val="00F16BA0"/>
    <w:rsid w:val="00F20C66"/>
    <w:rsid w:val="00F44C24"/>
    <w:rsid w:val="00F654A5"/>
    <w:rsid w:val="00F678CD"/>
    <w:rsid w:val="00F824F2"/>
    <w:rsid w:val="00F84ECC"/>
    <w:rsid w:val="00FA0B95"/>
    <w:rsid w:val="00FC52CD"/>
    <w:rsid w:val="00FE462E"/>
    <w:rsid w:val="00FF0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EFE8E"/>
  <w15:docId w15:val="{164353F5-12D0-4CC3-8A13-3DCE4A159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360" w:lineRule="auto"/>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1D8F"/>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451D8F"/>
    <w:rPr>
      <w:rFonts w:ascii="Times New Roman" w:eastAsia="宋体" w:hAnsi="Times New Roman"/>
      <w:sz w:val="18"/>
      <w:szCs w:val="18"/>
    </w:rPr>
  </w:style>
  <w:style w:type="paragraph" w:styleId="a5">
    <w:name w:val="footer"/>
    <w:basedOn w:val="a"/>
    <w:link w:val="a6"/>
    <w:uiPriority w:val="99"/>
    <w:unhideWhenUsed/>
    <w:rsid w:val="00451D8F"/>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451D8F"/>
    <w:rPr>
      <w:rFonts w:ascii="Times New Roman" w:eastAsia="宋体" w:hAnsi="Times New Roman"/>
      <w:sz w:val="18"/>
      <w:szCs w:val="18"/>
    </w:rPr>
  </w:style>
  <w:style w:type="character" w:styleId="a7">
    <w:name w:val="Strong"/>
    <w:basedOn w:val="a0"/>
    <w:uiPriority w:val="22"/>
    <w:qFormat/>
    <w:rsid w:val="00510999"/>
    <w:rPr>
      <w:b/>
      <w:bCs/>
    </w:rPr>
  </w:style>
  <w:style w:type="paragraph" w:styleId="a8">
    <w:name w:val="Balloon Text"/>
    <w:basedOn w:val="a"/>
    <w:link w:val="a9"/>
    <w:uiPriority w:val="99"/>
    <w:semiHidden/>
    <w:unhideWhenUsed/>
    <w:rsid w:val="00510999"/>
    <w:pPr>
      <w:spacing w:line="240" w:lineRule="auto"/>
    </w:pPr>
    <w:rPr>
      <w:sz w:val="18"/>
      <w:szCs w:val="18"/>
    </w:rPr>
  </w:style>
  <w:style w:type="character" w:customStyle="1" w:styleId="a9">
    <w:name w:val="批注框文本 字符"/>
    <w:basedOn w:val="a0"/>
    <w:link w:val="a8"/>
    <w:uiPriority w:val="99"/>
    <w:semiHidden/>
    <w:rsid w:val="00510999"/>
    <w:rPr>
      <w:rFonts w:ascii="Times New Roman" w:eastAsia="宋体" w:hAnsi="Times New Roman"/>
      <w:sz w:val="18"/>
      <w:szCs w:val="18"/>
    </w:rPr>
  </w:style>
  <w:style w:type="character" w:styleId="aa">
    <w:name w:val="annotation reference"/>
    <w:basedOn w:val="a0"/>
    <w:uiPriority w:val="99"/>
    <w:semiHidden/>
    <w:unhideWhenUsed/>
    <w:rsid w:val="00510999"/>
    <w:rPr>
      <w:sz w:val="21"/>
      <w:szCs w:val="21"/>
    </w:rPr>
  </w:style>
  <w:style w:type="paragraph" w:styleId="ab">
    <w:name w:val="annotation text"/>
    <w:basedOn w:val="a"/>
    <w:link w:val="ac"/>
    <w:uiPriority w:val="99"/>
    <w:semiHidden/>
    <w:unhideWhenUsed/>
    <w:rsid w:val="00510999"/>
  </w:style>
  <w:style w:type="character" w:customStyle="1" w:styleId="ac">
    <w:name w:val="批注文字 字符"/>
    <w:basedOn w:val="a0"/>
    <w:link w:val="ab"/>
    <w:uiPriority w:val="99"/>
    <w:semiHidden/>
    <w:rsid w:val="00510999"/>
    <w:rPr>
      <w:rFonts w:ascii="Times New Roman" w:eastAsia="宋体" w:hAnsi="Times New Roman"/>
      <w:sz w:val="24"/>
    </w:rPr>
  </w:style>
  <w:style w:type="paragraph" w:styleId="ad">
    <w:name w:val="annotation subject"/>
    <w:basedOn w:val="ab"/>
    <w:next w:val="ab"/>
    <w:link w:val="ae"/>
    <w:uiPriority w:val="99"/>
    <w:semiHidden/>
    <w:unhideWhenUsed/>
    <w:rsid w:val="00510999"/>
    <w:rPr>
      <w:b/>
      <w:bCs/>
    </w:rPr>
  </w:style>
  <w:style w:type="character" w:customStyle="1" w:styleId="ae">
    <w:name w:val="批注主题 字符"/>
    <w:basedOn w:val="ac"/>
    <w:link w:val="ad"/>
    <w:uiPriority w:val="99"/>
    <w:semiHidden/>
    <w:rsid w:val="00510999"/>
    <w:rPr>
      <w:rFonts w:ascii="Times New Roman" w:eastAsia="宋体" w:hAnsi="Times New Roman"/>
      <w:b/>
      <w:bCs/>
      <w:sz w:val="24"/>
    </w:rPr>
  </w:style>
  <w:style w:type="paragraph" w:styleId="af">
    <w:name w:val="Revision"/>
    <w:hidden/>
    <w:uiPriority w:val="99"/>
    <w:semiHidden/>
    <w:rsid w:val="004220E9"/>
    <w:pPr>
      <w:spacing w:after="0" w:line="240" w:lineRule="auto"/>
    </w:pPr>
    <w:rPr>
      <w:rFonts w:ascii="Times New Roman" w:eastAsia="宋体"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D6CFC-27B2-4E06-A49C-61EB6430A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HYGON</dc:creator>
  <cp:lastModifiedBy>User7</cp:lastModifiedBy>
  <cp:revision>3</cp:revision>
  <dcterms:created xsi:type="dcterms:W3CDTF">2026-09-14T09:22:00Z</dcterms:created>
  <dcterms:modified xsi:type="dcterms:W3CDTF">2026-09-14T09:23:00Z</dcterms:modified>
</cp:coreProperties>
</file>