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BA50C">
      <w:pPr>
        <w:adjustRightInd w:val="0"/>
        <w:snapToGrid w:val="0"/>
        <w:spacing w:before="156" w:beforeLines="50" w:after="156" w:afterLines="50" w:line="360" w:lineRule="auto"/>
        <w:rPr>
          <w:rFonts w:hint="eastAsia" w:ascii="宋体" w:hAnsi="宋体" w:cs="宋体"/>
          <w:b/>
          <w:bCs/>
          <w:iCs/>
          <w:sz w:val="24"/>
          <w:szCs w:val="24"/>
        </w:rPr>
      </w:pPr>
      <w:r>
        <w:rPr>
          <w:rFonts w:hint="eastAsia" w:ascii="宋体" w:hAnsi="宋体" w:cs="宋体"/>
          <w:b/>
          <w:bCs/>
          <w:iCs/>
          <w:sz w:val="24"/>
          <w:szCs w:val="24"/>
        </w:rPr>
        <w:t>证券代码：688755                                   证券简称：汉邦科技</w:t>
      </w:r>
    </w:p>
    <w:p w14:paraId="660842B5">
      <w:pPr>
        <w:autoSpaceDE w:val="0"/>
        <w:autoSpaceDN w:val="0"/>
        <w:adjustRightInd w:val="0"/>
        <w:snapToGrid w:val="0"/>
        <w:spacing w:before="156" w:beforeLines="50" w:after="156" w:afterLines="50"/>
        <w:ind w:left="141" w:hanging="141" w:hangingChars="50"/>
        <w:jc w:val="center"/>
        <w:rPr>
          <w:rFonts w:hint="eastAsia" w:ascii="黑体" w:hAnsi="黑体" w:eastAsia="黑体" w:cs="黑体"/>
          <w:b/>
          <w:sz w:val="28"/>
          <w:szCs w:val="28"/>
        </w:rPr>
      </w:pPr>
      <w:r>
        <w:rPr>
          <w:rFonts w:hint="eastAsia" w:ascii="黑体" w:hAnsi="黑体" w:eastAsia="黑体" w:cs="黑体"/>
          <w:b/>
          <w:sz w:val="28"/>
          <w:szCs w:val="28"/>
        </w:rPr>
        <w:t>江苏汉邦科技股份有限公司</w:t>
      </w:r>
    </w:p>
    <w:p w14:paraId="4A8777F4">
      <w:pPr>
        <w:autoSpaceDE w:val="0"/>
        <w:autoSpaceDN w:val="0"/>
        <w:adjustRightInd w:val="0"/>
        <w:snapToGrid w:val="0"/>
        <w:spacing w:before="156" w:beforeLines="50" w:after="156" w:afterLines="50"/>
        <w:ind w:left="141" w:hanging="141" w:hangingChars="50"/>
        <w:jc w:val="center"/>
        <w:rPr>
          <w:rFonts w:hint="eastAsia" w:ascii="黑体" w:hAnsi="黑体" w:eastAsia="黑体" w:cs="黑体"/>
          <w:b/>
          <w:sz w:val="28"/>
          <w:szCs w:val="28"/>
        </w:rPr>
      </w:pPr>
      <w:r>
        <w:rPr>
          <w:rFonts w:hint="eastAsia" w:ascii="黑体" w:hAnsi="黑体" w:eastAsia="黑体" w:cs="黑体"/>
          <w:b/>
          <w:sz w:val="28"/>
          <w:szCs w:val="28"/>
        </w:rPr>
        <w:t>投资者关系活动记录表</w:t>
      </w:r>
    </w:p>
    <w:p w14:paraId="4A11A721">
      <w:pPr>
        <w:spacing w:line="400" w:lineRule="exact"/>
        <w:rPr>
          <w:rFonts w:hint="eastAsia" w:ascii="宋体" w:hAnsi="宋体" w:cs="宋体"/>
          <w:bCs/>
          <w:iCs/>
          <w:sz w:val="24"/>
          <w:szCs w:val="24"/>
        </w:rPr>
      </w:pPr>
      <w:r>
        <w:rPr>
          <w:rFonts w:hint="eastAsia" w:ascii="宋体" w:hAnsi="宋体" w:cs="宋体"/>
          <w:bCs/>
          <w:iCs/>
          <w:sz w:val="24"/>
          <w:szCs w:val="24"/>
        </w:rPr>
        <w:t xml:space="preserve">                                                    </w:t>
      </w:r>
      <w:r>
        <w:rPr>
          <w:rFonts w:hint="eastAsia" w:ascii="宋体" w:hAnsi="宋体" w:cs="宋体"/>
          <w:b/>
          <w:iCs/>
          <w:sz w:val="24"/>
          <w:szCs w:val="24"/>
        </w:rPr>
        <w:t xml:space="preserve">   编号</w:t>
      </w:r>
      <w:r>
        <w:rPr>
          <w:rFonts w:hint="eastAsia" w:ascii="宋体" w:hAnsi="宋体" w:cs="宋体"/>
          <w:bCs/>
          <w:iCs/>
          <w:sz w:val="24"/>
          <w:szCs w:val="24"/>
        </w:rPr>
        <w:t>：2026-001</w:t>
      </w:r>
    </w:p>
    <w:tbl>
      <w:tblPr>
        <w:tblStyle w:val="7"/>
        <w:tblW w:w="9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7543"/>
      </w:tblGrid>
      <w:tr w14:paraId="77ED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4" w:hRule="atLeast"/>
          <w:jc w:val="center"/>
        </w:trPr>
        <w:tc>
          <w:tcPr>
            <w:tcW w:w="1989" w:type="dxa"/>
            <w:vAlign w:val="center"/>
          </w:tcPr>
          <w:p w14:paraId="22456E83">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投资者关系</w:t>
            </w:r>
          </w:p>
          <w:p w14:paraId="02BD7378">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活动类别</w:t>
            </w:r>
          </w:p>
        </w:tc>
        <w:tc>
          <w:tcPr>
            <w:tcW w:w="7543" w:type="dxa"/>
            <w:vAlign w:val="center"/>
          </w:tcPr>
          <w:p w14:paraId="3903673C">
            <w:pPr>
              <w:adjustRightInd w:val="0"/>
              <w:snapToGrid w:val="0"/>
              <w:rPr>
                <w:rFonts w:hint="eastAsia" w:ascii="宋体" w:hAnsi="宋体" w:cs="宋体"/>
                <w:bCs/>
                <w:iCs/>
                <w:sz w:val="24"/>
                <w:szCs w:val="24"/>
              </w:rPr>
            </w:pPr>
            <w:r>
              <w:rPr>
                <w:rFonts w:hint="eastAsia" w:ascii="宋体" w:hAnsi="宋体" w:cs="宋体"/>
                <w:bCs/>
                <w:iCs/>
                <w:sz w:val="24"/>
                <w:szCs w:val="24"/>
              </w:rPr>
              <w:t>□</w:t>
            </w:r>
            <w:r>
              <w:rPr>
                <w:rFonts w:hint="eastAsia" w:ascii="宋体" w:hAnsi="宋体" w:cs="宋体"/>
                <w:sz w:val="24"/>
                <w:szCs w:val="24"/>
              </w:rPr>
              <w:t xml:space="preserve">特定对象调研        </w:t>
            </w:r>
            <w:r>
              <w:rPr>
                <w:rFonts w:hint="eastAsia" w:ascii="宋体" w:hAnsi="宋体" w:cs="宋体"/>
                <w:bCs/>
                <w:iCs/>
                <w:sz w:val="24"/>
                <w:szCs w:val="24"/>
              </w:rPr>
              <w:t>□</w:t>
            </w:r>
            <w:r>
              <w:rPr>
                <w:rFonts w:hint="eastAsia" w:ascii="宋体" w:hAnsi="宋体" w:cs="宋体"/>
                <w:sz w:val="24"/>
                <w:szCs w:val="24"/>
              </w:rPr>
              <w:t>分析师会议</w:t>
            </w:r>
          </w:p>
          <w:p w14:paraId="529C3BD2">
            <w:pPr>
              <w:adjustRightInd w:val="0"/>
              <w:snapToGrid w:val="0"/>
              <w:rPr>
                <w:rFonts w:hint="eastAsia" w:ascii="宋体" w:hAnsi="宋体" w:cs="宋体"/>
                <w:bCs/>
                <w:iCs/>
                <w:sz w:val="24"/>
                <w:szCs w:val="24"/>
              </w:rPr>
            </w:pPr>
            <w:r>
              <w:rPr>
                <w:rFonts w:hint="eastAsia" w:ascii="宋体" w:hAnsi="宋体" w:cs="宋体"/>
                <w:bCs/>
                <w:iCs/>
                <w:sz w:val="24"/>
                <w:szCs w:val="24"/>
              </w:rPr>
              <w:t>□</w:t>
            </w:r>
            <w:r>
              <w:rPr>
                <w:rFonts w:hint="eastAsia" w:ascii="宋体" w:hAnsi="宋体" w:cs="宋体"/>
                <w:sz w:val="24"/>
                <w:szCs w:val="24"/>
              </w:rPr>
              <w:t xml:space="preserve">媒体采访            </w:t>
            </w:r>
            <w:r>
              <w:rPr>
                <w:rFonts w:hint="eastAsia" w:ascii="宋体" w:hAnsi="宋体" w:cs="宋体"/>
                <w:bCs/>
                <w:iCs/>
                <w:sz w:val="24"/>
                <w:szCs w:val="24"/>
              </w:rPr>
              <w:t>☑</w:t>
            </w:r>
            <w:r>
              <w:rPr>
                <w:rFonts w:hint="eastAsia" w:ascii="宋体" w:hAnsi="宋体" w:cs="宋体"/>
                <w:sz w:val="24"/>
                <w:szCs w:val="24"/>
              </w:rPr>
              <w:t>业绩说明会</w:t>
            </w:r>
          </w:p>
          <w:p w14:paraId="4EAFBBA8">
            <w:pPr>
              <w:adjustRightInd w:val="0"/>
              <w:snapToGrid w:val="0"/>
              <w:rPr>
                <w:rFonts w:hint="eastAsia" w:ascii="宋体" w:hAnsi="宋体" w:cs="宋体"/>
                <w:bCs/>
                <w:iCs/>
                <w:sz w:val="24"/>
                <w:szCs w:val="24"/>
              </w:rPr>
            </w:pPr>
            <w:r>
              <w:rPr>
                <w:rFonts w:hint="eastAsia" w:ascii="宋体" w:hAnsi="宋体" w:cs="宋体"/>
                <w:bCs/>
                <w:iCs/>
                <w:sz w:val="24"/>
                <w:szCs w:val="24"/>
              </w:rPr>
              <w:t>□</w:t>
            </w:r>
            <w:r>
              <w:rPr>
                <w:rFonts w:hint="eastAsia" w:ascii="宋体" w:hAnsi="宋体" w:cs="宋体"/>
                <w:sz w:val="24"/>
                <w:szCs w:val="24"/>
              </w:rPr>
              <w:t xml:space="preserve">新闻发布会          </w:t>
            </w:r>
            <w:r>
              <w:rPr>
                <w:rFonts w:hint="eastAsia" w:ascii="宋体" w:hAnsi="宋体" w:cs="宋体"/>
                <w:bCs/>
                <w:iCs/>
                <w:sz w:val="24"/>
                <w:szCs w:val="24"/>
              </w:rPr>
              <w:t>□</w:t>
            </w:r>
            <w:r>
              <w:rPr>
                <w:rFonts w:hint="eastAsia" w:ascii="宋体" w:hAnsi="宋体" w:cs="宋体"/>
                <w:sz w:val="24"/>
                <w:szCs w:val="24"/>
              </w:rPr>
              <w:t>路演活动</w:t>
            </w:r>
          </w:p>
          <w:p w14:paraId="46BF0A1A">
            <w:pPr>
              <w:tabs>
                <w:tab w:val="left" w:pos="3045"/>
                <w:tab w:val="center" w:pos="3199"/>
              </w:tabs>
              <w:adjustRightInd w:val="0"/>
              <w:snapToGrid w:val="0"/>
              <w:rPr>
                <w:rFonts w:hint="eastAsia" w:ascii="宋体" w:hAnsi="宋体" w:cs="宋体"/>
                <w:bCs/>
                <w:iCs/>
                <w:sz w:val="24"/>
                <w:szCs w:val="24"/>
              </w:rPr>
            </w:pPr>
            <w:r>
              <w:rPr>
                <w:rFonts w:hint="eastAsia" w:ascii="宋体" w:hAnsi="宋体" w:cs="宋体"/>
                <w:bCs/>
                <w:iCs/>
                <w:sz w:val="24"/>
                <w:szCs w:val="24"/>
              </w:rPr>
              <w:t>□</w:t>
            </w:r>
            <w:r>
              <w:rPr>
                <w:rFonts w:hint="eastAsia" w:ascii="宋体" w:hAnsi="宋体" w:cs="宋体"/>
                <w:sz w:val="24"/>
                <w:szCs w:val="24"/>
              </w:rPr>
              <w:t xml:space="preserve">现场参观            </w:t>
            </w:r>
          </w:p>
          <w:p w14:paraId="29F35AC4">
            <w:pPr>
              <w:tabs>
                <w:tab w:val="center" w:pos="3199"/>
              </w:tabs>
              <w:adjustRightInd w:val="0"/>
              <w:snapToGrid w:val="0"/>
              <w:rPr>
                <w:rFonts w:hint="eastAsia" w:ascii="宋体" w:hAnsi="宋体" w:cs="宋体"/>
                <w:bCs/>
                <w:iCs/>
                <w:sz w:val="24"/>
                <w:szCs w:val="24"/>
              </w:rPr>
            </w:pPr>
            <w:r>
              <w:rPr>
                <w:rFonts w:hint="eastAsia" w:ascii="宋体" w:hAnsi="宋体" w:cs="宋体"/>
                <w:bCs/>
                <w:iCs/>
                <w:sz w:val="24"/>
                <w:szCs w:val="24"/>
              </w:rPr>
              <w:t>□</w:t>
            </w:r>
            <w:r>
              <w:rPr>
                <w:rFonts w:hint="eastAsia" w:ascii="宋体" w:hAnsi="宋体" w:cs="宋体"/>
                <w:sz w:val="24"/>
                <w:szCs w:val="24"/>
              </w:rPr>
              <w:t>其他</w:t>
            </w:r>
            <w:r>
              <w:rPr>
                <w:rFonts w:hint="eastAsia" w:ascii="宋体" w:hAnsi="宋体" w:cs="宋体"/>
                <w:sz w:val="24"/>
                <w:szCs w:val="24"/>
                <w:u w:val="single"/>
              </w:rPr>
              <w:t xml:space="preserve">       </w:t>
            </w:r>
          </w:p>
        </w:tc>
      </w:tr>
      <w:tr w14:paraId="598B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989" w:type="dxa"/>
            <w:vAlign w:val="center"/>
          </w:tcPr>
          <w:p w14:paraId="482AE889">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参与单位名称</w:t>
            </w:r>
          </w:p>
        </w:tc>
        <w:tc>
          <w:tcPr>
            <w:tcW w:w="7543" w:type="dxa"/>
            <w:vAlign w:val="center"/>
          </w:tcPr>
          <w:p w14:paraId="3127A903">
            <w:pPr>
              <w:adjustRightInd w:val="0"/>
              <w:snapToGrid w:val="0"/>
              <w:rPr>
                <w:rFonts w:hint="eastAsia" w:ascii="宋体" w:hAnsi="宋体" w:cs="宋体"/>
                <w:bCs/>
                <w:iCs/>
                <w:sz w:val="24"/>
                <w:szCs w:val="24"/>
              </w:rPr>
            </w:pPr>
            <w:r>
              <w:rPr>
                <w:rFonts w:hint="eastAsia" w:ascii="宋体" w:hAnsi="宋体" w:cs="宋体"/>
                <w:bCs/>
                <w:iCs/>
                <w:sz w:val="24"/>
                <w:szCs w:val="24"/>
              </w:rPr>
              <w:t>线上参与汉邦科技2026年半年度业绩说明会的投资者</w:t>
            </w:r>
          </w:p>
        </w:tc>
      </w:tr>
      <w:tr w14:paraId="236C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89" w:type="dxa"/>
            <w:vAlign w:val="center"/>
          </w:tcPr>
          <w:p w14:paraId="5B61953B">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时间</w:t>
            </w:r>
          </w:p>
        </w:tc>
        <w:tc>
          <w:tcPr>
            <w:tcW w:w="7543" w:type="dxa"/>
            <w:vAlign w:val="center"/>
          </w:tcPr>
          <w:p w14:paraId="49A6EA06">
            <w:pPr>
              <w:adjustRightInd w:val="0"/>
              <w:snapToGrid w:val="0"/>
              <w:rPr>
                <w:rFonts w:hint="eastAsia" w:ascii="宋体" w:hAnsi="宋体" w:cs="宋体"/>
                <w:bCs/>
                <w:iCs/>
                <w:sz w:val="24"/>
                <w:szCs w:val="24"/>
              </w:rPr>
            </w:pPr>
            <w:r>
              <w:rPr>
                <w:rFonts w:hint="eastAsia" w:ascii="宋体" w:hAnsi="宋体" w:cs="宋体"/>
                <w:bCs/>
                <w:iCs/>
                <w:sz w:val="24"/>
                <w:szCs w:val="24"/>
              </w:rPr>
              <w:t>2026年9月15日14:00-15:00</w:t>
            </w:r>
          </w:p>
        </w:tc>
      </w:tr>
      <w:tr w14:paraId="110A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989" w:type="dxa"/>
            <w:vAlign w:val="center"/>
          </w:tcPr>
          <w:p w14:paraId="2078732D">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地点</w:t>
            </w:r>
          </w:p>
        </w:tc>
        <w:tc>
          <w:tcPr>
            <w:tcW w:w="7543" w:type="dxa"/>
            <w:vAlign w:val="center"/>
          </w:tcPr>
          <w:p w14:paraId="47E7573E">
            <w:pPr>
              <w:adjustRightInd w:val="0"/>
              <w:snapToGrid w:val="0"/>
              <w:rPr>
                <w:rFonts w:hint="eastAsia" w:ascii="宋体" w:hAnsi="宋体" w:cs="宋体"/>
                <w:bCs/>
                <w:iCs/>
                <w:sz w:val="24"/>
                <w:szCs w:val="24"/>
              </w:rPr>
            </w:pPr>
            <w:r>
              <w:rPr>
                <w:rFonts w:hint="eastAsia" w:ascii="宋体" w:hAnsi="宋体" w:cs="宋体"/>
                <w:bCs/>
                <w:iCs/>
                <w:sz w:val="24"/>
                <w:szCs w:val="24"/>
              </w:rPr>
              <w:t>上海证券交易所上证路演中心（网址：http://roadshow.sseinfo.com/）</w:t>
            </w:r>
          </w:p>
        </w:tc>
      </w:tr>
      <w:tr w14:paraId="40BE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1989" w:type="dxa"/>
            <w:vAlign w:val="center"/>
          </w:tcPr>
          <w:p w14:paraId="676CE126">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上市公司接待</w:t>
            </w:r>
          </w:p>
          <w:p w14:paraId="5706620B">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人员姓名</w:t>
            </w:r>
          </w:p>
        </w:tc>
        <w:tc>
          <w:tcPr>
            <w:tcW w:w="7543" w:type="dxa"/>
            <w:vAlign w:val="center"/>
          </w:tcPr>
          <w:p w14:paraId="28F6F8FC">
            <w:pPr>
              <w:adjustRightInd w:val="0"/>
              <w:snapToGrid w:val="0"/>
              <w:rPr>
                <w:rFonts w:hint="eastAsia" w:ascii="宋体" w:hAnsi="宋体" w:cs="宋体"/>
                <w:bCs/>
                <w:iCs/>
                <w:sz w:val="24"/>
                <w:szCs w:val="24"/>
              </w:rPr>
            </w:pPr>
            <w:r>
              <w:rPr>
                <w:rFonts w:hint="eastAsia" w:ascii="宋体" w:hAnsi="宋体" w:cs="宋体"/>
                <w:bCs/>
                <w:iCs/>
                <w:sz w:val="24"/>
                <w:szCs w:val="24"/>
              </w:rPr>
              <w:t>董事长、总经理：张大兵</w:t>
            </w:r>
          </w:p>
          <w:p w14:paraId="2A47D600">
            <w:pPr>
              <w:adjustRightInd w:val="0"/>
              <w:snapToGrid w:val="0"/>
              <w:rPr>
                <w:rFonts w:hint="eastAsia" w:ascii="宋体" w:hAnsi="宋体" w:cs="宋体"/>
                <w:bCs/>
                <w:iCs/>
                <w:sz w:val="24"/>
                <w:szCs w:val="24"/>
              </w:rPr>
            </w:pPr>
            <w:r>
              <w:rPr>
                <w:rFonts w:hint="eastAsia" w:ascii="宋体" w:hAnsi="宋体" w:cs="宋体"/>
                <w:bCs/>
                <w:iCs/>
                <w:sz w:val="24"/>
                <w:szCs w:val="24"/>
              </w:rPr>
              <w:t>财务总监：顾彬</w:t>
            </w:r>
          </w:p>
          <w:p w14:paraId="04D9DA64">
            <w:pPr>
              <w:adjustRightInd w:val="0"/>
              <w:snapToGrid w:val="0"/>
              <w:rPr>
                <w:rFonts w:hint="eastAsia" w:ascii="宋体" w:hAnsi="宋体" w:cs="宋体"/>
                <w:bCs/>
                <w:iCs/>
                <w:sz w:val="24"/>
                <w:szCs w:val="24"/>
              </w:rPr>
            </w:pPr>
            <w:r>
              <w:rPr>
                <w:rFonts w:hint="eastAsia" w:ascii="宋体" w:hAnsi="宋体" w:cs="宋体"/>
                <w:bCs/>
                <w:iCs/>
                <w:sz w:val="24"/>
                <w:szCs w:val="24"/>
              </w:rPr>
              <w:t>董事会秘书：谢玉鑫</w:t>
            </w:r>
          </w:p>
          <w:p w14:paraId="17E1ED58">
            <w:pPr>
              <w:adjustRightInd w:val="0"/>
              <w:snapToGrid w:val="0"/>
              <w:rPr>
                <w:rFonts w:hint="eastAsia" w:ascii="宋体" w:hAnsi="宋体" w:cs="宋体"/>
                <w:bCs/>
                <w:iCs/>
                <w:sz w:val="24"/>
                <w:szCs w:val="24"/>
              </w:rPr>
            </w:pPr>
            <w:r>
              <w:rPr>
                <w:rFonts w:hint="eastAsia" w:ascii="宋体" w:hAnsi="宋体" w:cs="宋体"/>
                <w:bCs/>
                <w:iCs/>
                <w:sz w:val="24"/>
                <w:szCs w:val="24"/>
              </w:rPr>
              <w:t>独立董事：钱运华、熊守春、陈晨</w:t>
            </w:r>
          </w:p>
        </w:tc>
      </w:tr>
      <w:tr w14:paraId="481D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9" w:type="dxa"/>
            <w:vAlign w:val="center"/>
          </w:tcPr>
          <w:p w14:paraId="59CD327E">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投资者关系活动主要内容介绍</w:t>
            </w:r>
          </w:p>
        </w:tc>
        <w:tc>
          <w:tcPr>
            <w:tcW w:w="7543" w:type="dxa"/>
            <w:vAlign w:val="center"/>
          </w:tcPr>
          <w:p w14:paraId="4E0C8FBE">
            <w:pPr>
              <w:adjustRightInd w:val="0"/>
              <w:snapToGrid w:val="0"/>
              <w:spacing w:line="360" w:lineRule="auto"/>
              <w:ind w:firstLine="482" w:firstLineChars="200"/>
              <w:rPr>
                <w:rFonts w:hint="eastAsia" w:ascii="宋体" w:hAnsi="宋体" w:cs="宋体"/>
                <w:b/>
                <w:iCs/>
                <w:sz w:val="24"/>
                <w:szCs w:val="24"/>
              </w:rPr>
            </w:pPr>
            <w:r>
              <w:rPr>
                <w:rFonts w:hint="eastAsia" w:ascii="宋体" w:hAnsi="宋体" w:cs="宋体"/>
                <w:b/>
                <w:iCs/>
                <w:sz w:val="24"/>
                <w:szCs w:val="24"/>
              </w:rPr>
              <w:t>问题一：公司的填料业务是否已经走出实验室，进入商业化生产阶段？</w:t>
            </w:r>
          </w:p>
          <w:p w14:paraId="6FBA9F35">
            <w:pPr>
              <w:adjustRightInd w:val="0"/>
              <w:snapToGrid w:val="0"/>
              <w:spacing w:line="360" w:lineRule="auto"/>
              <w:ind w:firstLine="480" w:firstLineChars="200"/>
              <w:rPr>
                <w:rFonts w:ascii="宋体" w:hAnsi="宋体" w:cs="宋体"/>
                <w:bCs/>
                <w:iCs/>
                <w:sz w:val="24"/>
                <w:szCs w:val="24"/>
              </w:rPr>
            </w:pPr>
            <w:r>
              <w:rPr>
                <w:rFonts w:hint="eastAsia" w:ascii="宋体" w:hAnsi="宋体" w:cs="宋体"/>
                <w:bCs/>
                <w:iCs/>
                <w:sz w:val="24"/>
                <w:szCs w:val="24"/>
              </w:rPr>
              <w:t>答：公司在色谱填料的研发创新与产业化落地两方面同步加速推进，持续深化“分离纯化装备+色谱填料+技术服务”一体化布局。在技术研发方面，公司持续加大研发投入，聚焦核心产品迭代与新品攻坚。公司已完成硅胶亲水改性色谱填料、悬浮聚合法制备PS和PM色谱填料、改性琼脂糖层析填料的研发，并持续推进多肽类药物分离纯化用色谱填料等项目，致力于形成覆盖硅胶类、聚合物类、琼脂糖类的完整高性能产品谱系，全面满足下游不同领域客户的差异化需求。</w:t>
            </w:r>
          </w:p>
          <w:p w14:paraId="5453903E">
            <w:pPr>
              <w:adjustRightInd w:val="0"/>
              <w:snapToGrid w:val="0"/>
              <w:spacing w:line="360" w:lineRule="auto"/>
              <w:ind w:firstLine="480" w:firstLineChars="200"/>
              <w:rPr>
                <w:rFonts w:hint="eastAsia" w:ascii="宋体" w:hAnsi="宋体" w:cs="宋体"/>
                <w:bCs/>
                <w:iCs/>
                <w:sz w:val="24"/>
                <w:szCs w:val="24"/>
              </w:rPr>
            </w:pPr>
            <w:r>
              <w:rPr>
                <w:rFonts w:hint="eastAsia" w:ascii="宋体" w:hAnsi="宋体" w:cs="宋体"/>
                <w:bCs/>
                <w:iCs/>
                <w:sz w:val="24"/>
                <w:szCs w:val="24"/>
              </w:rPr>
              <w:t>目前公司自研填料已在多领域实现应用落地与工艺验证：小核酸药物专用层析填料配套公司寡核苷酸整体解决方案同步交付，已进入部分客户中试验证阶段；造影剂、β-乳白蛋白领域专用填料技术成熟稳定，已实现下游客户规模化生产应用，产品分离性能与工艺适配性获得下游客户认可。</w:t>
            </w:r>
          </w:p>
          <w:p w14:paraId="350255DD">
            <w:pPr>
              <w:spacing w:line="360" w:lineRule="auto"/>
              <w:ind w:firstLine="482" w:firstLineChars="200"/>
              <w:rPr>
                <w:rFonts w:hint="eastAsia" w:ascii="宋体" w:hAnsi="宋体" w:cs="宋体"/>
                <w:b/>
                <w:iCs/>
                <w:sz w:val="24"/>
                <w:szCs w:val="24"/>
              </w:rPr>
            </w:pPr>
            <w:r>
              <w:rPr>
                <w:rFonts w:hint="eastAsia" w:ascii="宋体" w:hAnsi="宋体" w:cs="宋体"/>
                <w:b/>
                <w:iCs/>
                <w:sz w:val="24"/>
                <w:szCs w:val="24"/>
              </w:rPr>
              <w:t>问题二：</w:t>
            </w:r>
            <w:r>
              <w:rPr>
                <w:rFonts w:hint="eastAsia" w:ascii="宋体" w:hAnsi="宋体" w:cs="宋体"/>
                <w:b/>
                <w:bCs/>
                <w:sz w:val="24"/>
                <w:szCs w:val="32"/>
              </w:rPr>
              <w:t>公司的新签订单及在手订单情况</w:t>
            </w:r>
          </w:p>
          <w:p w14:paraId="03922B86">
            <w:pPr>
              <w:adjustRightInd w:val="0"/>
              <w:snapToGrid w:val="0"/>
              <w:spacing w:line="360" w:lineRule="auto"/>
              <w:ind w:firstLine="480" w:firstLineChars="200"/>
              <w:rPr>
                <w:rFonts w:hint="eastAsia" w:ascii="宋体" w:hAnsi="宋体" w:cs="宋体"/>
                <w:bCs/>
                <w:iCs/>
                <w:sz w:val="24"/>
                <w:szCs w:val="24"/>
              </w:rPr>
            </w:pPr>
            <w:r>
              <w:rPr>
                <w:rFonts w:hint="eastAsia" w:ascii="宋体" w:hAnsi="宋体" w:cs="宋体"/>
                <w:bCs/>
                <w:iCs/>
                <w:sz w:val="24"/>
                <w:szCs w:val="24"/>
              </w:rPr>
              <w:t>答：公司在巩固多肽优势领域订单的基础上，持续加大寡核苷酸、医美、核药等高增长新兴领域市场开拓力度，大分子业务新签订单同比增长20%以上，其中抗体类增长显著。2026年上半年，公司整体在手订单规模稳步提升，订单结构呈现持续优化的趋势，已从过往以多肽业务为主的单一结构，逐步转向“多肽为支撑，抗体、寡核苷酸、医美等多领域协同发展”的多点覆盖格局。</w:t>
            </w:r>
          </w:p>
          <w:p w14:paraId="1729FCF8">
            <w:pPr>
              <w:adjustRightInd w:val="0"/>
              <w:snapToGrid w:val="0"/>
              <w:spacing w:line="360" w:lineRule="auto"/>
              <w:ind w:firstLine="482" w:firstLineChars="200"/>
              <w:rPr>
                <w:rFonts w:hint="eastAsia" w:ascii="宋体" w:hAnsi="宋体" w:cs="宋体"/>
                <w:b/>
                <w:iCs/>
                <w:sz w:val="24"/>
                <w:szCs w:val="24"/>
              </w:rPr>
            </w:pPr>
            <w:r>
              <w:rPr>
                <w:rFonts w:hint="eastAsia" w:ascii="宋体" w:hAnsi="宋体" w:cs="宋体"/>
                <w:b/>
                <w:iCs/>
                <w:sz w:val="24"/>
                <w:szCs w:val="24"/>
              </w:rPr>
              <w:t>问题三：汉德科技的色谱填料和层析介质技术先进性如何？能在多大程度上进行国产替代？是否与国内的竞争对手处于同一水平？</w:t>
            </w:r>
          </w:p>
          <w:p w14:paraId="2FA9402E">
            <w:pPr>
              <w:adjustRightInd w:val="0"/>
              <w:snapToGrid w:val="0"/>
              <w:spacing w:line="360" w:lineRule="auto"/>
              <w:ind w:firstLine="480" w:firstLineChars="200"/>
              <w:rPr>
                <w:rFonts w:hint="eastAsia" w:ascii="宋体" w:hAnsi="宋体" w:cs="宋体"/>
                <w:bCs/>
                <w:iCs/>
                <w:sz w:val="24"/>
                <w:szCs w:val="24"/>
              </w:rPr>
            </w:pPr>
            <w:r>
              <w:rPr>
                <w:rFonts w:hint="eastAsia" w:ascii="宋体" w:hAnsi="宋体" w:cs="宋体"/>
                <w:bCs/>
                <w:iCs/>
                <w:sz w:val="24"/>
                <w:szCs w:val="24"/>
              </w:rPr>
              <w:t>答：子公司汉德科技为公司色谱填料、层析介质研发与产业化主体，依托公司二十余年色谱装备与工艺技术积淀，实现硅胶基质、改性琼脂糖等系列分离介质自主研发。</w:t>
            </w:r>
          </w:p>
          <w:p w14:paraId="0B0FF410">
            <w:pPr>
              <w:adjustRightInd w:val="0"/>
              <w:snapToGrid w:val="0"/>
              <w:spacing w:line="360" w:lineRule="auto"/>
              <w:ind w:firstLine="480" w:firstLineChars="200"/>
              <w:rPr>
                <w:rFonts w:hint="eastAsia" w:ascii="宋体" w:hAnsi="宋体" w:cs="宋体"/>
                <w:bCs/>
                <w:iCs/>
                <w:sz w:val="24"/>
                <w:szCs w:val="24"/>
              </w:rPr>
            </w:pPr>
            <w:r>
              <w:rPr>
                <w:rFonts w:hint="eastAsia" w:ascii="宋体" w:hAnsi="宋体" w:cs="宋体"/>
                <w:bCs/>
                <w:iCs/>
                <w:sz w:val="24"/>
                <w:szCs w:val="24"/>
              </w:rPr>
              <w:t>技术层面，公司已完成硅胶亲水改性色谱填料、悬浮聚合法PS/PM色谱填料、改性琼脂糖层析填料的研发工作。其中多肽、造影剂、β-乳白蛋白领域专用填料技术成熟稳定，已实现下游客户规模化生产应用；小核酸药物专用层析填料已配套寡核苷酸整体解决方案，进入部分客户中试验证阶段，可满足多肽、胰岛素、抗体、小核酸等生物药的分离纯化需求。</w:t>
            </w:r>
          </w:p>
          <w:p w14:paraId="7E12CAFF">
            <w:pPr>
              <w:adjustRightInd w:val="0"/>
              <w:snapToGrid w:val="0"/>
              <w:spacing w:line="360" w:lineRule="auto"/>
              <w:ind w:firstLine="480" w:firstLineChars="200"/>
              <w:rPr>
                <w:rFonts w:hint="eastAsia" w:ascii="宋体" w:hAnsi="宋体" w:cs="宋体"/>
                <w:bCs/>
                <w:iCs/>
                <w:sz w:val="24"/>
                <w:szCs w:val="24"/>
              </w:rPr>
            </w:pPr>
            <w:r>
              <w:rPr>
                <w:rFonts w:hint="eastAsia" w:ascii="宋体" w:hAnsi="宋体" w:cs="宋体"/>
                <w:bCs/>
                <w:iCs/>
                <w:sz w:val="24"/>
                <w:szCs w:val="24"/>
              </w:rPr>
              <w:t>国产替代方面，在</w:t>
            </w:r>
            <w:bookmarkStart w:id="0" w:name="_GoBack"/>
            <w:r>
              <w:rPr>
                <w:rFonts w:hint="eastAsia" w:ascii="宋体" w:hAnsi="宋体" w:cs="宋体"/>
                <w:bCs/>
                <w:iCs/>
                <w:sz w:val="24"/>
                <w:szCs w:val="24"/>
              </w:rPr>
              <w:t>多肽、</w:t>
            </w:r>
            <w:bookmarkEnd w:id="0"/>
            <w:r>
              <w:rPr>
                <w:rFonts w:hint="eastAsia" w:ascii="宋体" w:hAnsi="宋体" w:cs="宋体"/>
                <w:bCs/>
                <w:iCs/>
                <w:sz w:val="24"/>
                <w:szCs w:val="24"/>
              </w:rPr>
              <w:t>小核酸、部分小分子等细分场景，汉德自研填料已具备工业化工艺替代能力；在重组蛋白等生物制药领域，产品尚处在客户中试、工艺验证阶段，商业化规模化替代仍需持续推进客户验证。</w:t>
            </w:r>
          </w:p>
          <w:p w14:paraId="10CEB321">
            <w:pPr>
              <w:adjustRightInd w:val="0"/>
              <w:snapToGrid w:val="0"/>
              <w:spacing w:line="360" w:lineRule="auto"/>
              <w:ind w:firstLine="480" w:firstLineChars="200"/>
              <w:rPr>
                <w:rFonts w:hint="eastAsia" w:ascii="宋体" w:hAnsi="宋体" w:cs="宋体"/>
                <w:bCs/>
                <w:iCs/>
                <w:sz w:val="24"/>
                <w:szCs w:val="24"/>
              </w:rPr>
            </w:pPr>
            <w:r>
              <w:rPr>
                <w:rFonts w:hint="eastAsia" w:ascii="宋体" w:hAnsi="宋体" w:cs="宋体"/>
                <w:bCs/>
                <w:iCs/>
                <w:sz w:val="24"/>
                <w:szCs w:val="24"/>
              </w:rPr>
              <w:t>竞争格局上，国内色谱填料行业处于快速发展阶段，行业内企业在不同细分领域各有技术积累与客户布局。汉德科技依托公司色谱装备与工艺协同优势，持续推进多肽、小分子、大分子等领域色谱填料及层析介质的产品研发与下游客户工艺验证。色谱填料行业技术壁垒高、客户验证周期长，公司将持续加大研发投入，推进产品迭代与客户验证，不断提升产品竞争力。</w:t>
            </w:r>
          </w:p>
          <w:p w14:paraId="5DD3264C">
            <w:pPr>
              <w:adjustRightInd w:val="0"/>
              <w:snapToGrid w:val="0"/>
              <w:spacing w:line="360" w:lineRule="auto"/>
              <w:ind w:firstLine="482" w:firstLineChars="200"/>
              <w:rPr>
                <w:rFonts w:hint="eastAsia" w:ascii="宋体" w:hAnsi="宋体" w:cs="宋体"/>
                <w:b/>
                <w:sz w:val="24"/>
                <w:szCs w:val="24"/>
              </w:rPr>
            </w:pPr>
            <w:r>
              <w:rPr>
                <w:rFonts w:hint="eastAsia" w:ascii="宋体" w:hAnsi="宋体" w:cs="宋体"/>
                <w:b/>
                <w:iCs/>
                <w:sz w:val="24"/>
                <w:szCs w:val="24"/>
              </w:rPr>
              <w:t>问题四：</w:t>
            </w:r>
            <w:r>
              <w:rPr>
                <w:rFonts w:hint="eastAsia" w:ascii="宋体" w:hAnsi="宋体" w:cs="宋体"/>
                <w:b/>
                <w:sz w:val="24"/>
                <w:szCs w:val="24"/>
              </w:rPr>
              <w:t>在寡核苷酸小核酸药物和核药等领域，公司目前的纯化设备和耗材订单增长趋势如何？</w:t>
            </w:r>
          </w:p>
          <w:p w14:paraId="10C87A98">
            <w:pPr>
              <w:adjustRightInd w:val="0"/>
              <w:snapToGrid w:val="0"/>
              <w:spacing w:line="360" w:lineRule="auto"/>
              <w:ind w:firstLine="480" w:firstLineChars="200"/>
              <w:rPr>
                <w:rFonts w:hint="eastAsia" w:ascii="宋体" w:hAnsi="宋体" w:cs="宋体"/>
                <w:b/>
                <w:bCs/>
                <w:iCs/>
                <w:sz w:val="24"/>
                <w:szCs w:val="24"/>
              </w:rPr>
            </w:pPr>
            <w:r>
              <w:rPr>
                <w:rFonts w:hint="eastAsia" w:ascii="宋体" w:hAnsi="宋体" w:cs="宋体"/>
                <w:bCs/>
                <w:iCs/>
                <w:sz w:val="24"/>
                <w:szCs w:val="24"/>
              </w:rPr>
              <w:t>答：2026年上半年，公司寡核苷酸业务拓展初见成效，上半年寡核苷酸业务新签订单达2,000余万元，同比实现大幅增长，重点开拓了国内多家小核酸创新药企与小核酸CDMO客户，小核酸药物专用层析填料配套公司寡核苷酸整体解决方案同步交付并保持稳步增长。</w:t>
            </w:r>
          </w:p>
          <w:p w14:paraId="7575375D">
            <w:pPr>
              <w:adjustRightInd w:val="0"/>
              <w:snapToGrid w:val="0"/>
              <w:spacing w:line="360" w:lineRule="auto"/>
              <w:ind w:firstLine="482" w:firstLineChars="200"/>
              <w:rPr>
                <w:rFonts w:hint="eastAsia" w:ascii="宋体" w:hAnsi="宋体" w:cs="宋体"/>
                <w:b/>
                <w:iCs/>
                <w:sz w:val="24"/>
                <w:szCs w:val="24"/>
              </w:rPr>
            </w:pPr>
            <w:r>
              <w:rPr>
                <w:rFonts w:hint="eastAsia" w:ascii="宋体" w:hAnsi="宋体" w:cs="宋体"/>
                <w:b/>
                <w:iCs/>
                <w:sz w:val="24"/>
                <w:szCs w:val="24"/>
              </w:rPr>
              <w:t>问题五：在创新药领域，公司与国内外哪些知名药企合作？未来是否会考虑通过投资入股、并购重组等手段介入创新药业务？</w:t>
            </w:r>
          </w:p>
          <w:p w14:paraId="5D1190B2">
            <w:pPr>
              <w:spacing w:after="156" w:afterLines="50" w:line="360" w:lineRule="auto"/>
              <w:ind w:firstLine="480" w:firstLineChars="200"/>
              <w:rPr>
                <w:rFonts w:hint="eastAsia" w:ascii="宋体" w:hAnsi="宋体" w:cs="宋体"/>
                <w:iCs/>
                <w:sz w:val="24"/>
                <w:szCs w:val="32"/>
              </w:rPr>
            </w:pPr>
            <w:r>
              <w:rPr>
                <w:rFonts w:hint="eastAsia" w:ascii="宋体" w:hAnsi="宋体" w:cs="宋体"/>
                <w:bCs/>
                <w:iCs/>
                <w:sz w:val="24"/>
                <w:szCs w:val="24"/>
              </w:rPr>
              <w:t>答：</w:t>
            </w:r>
            <w:r>
              <w:rPr>
                <w:rFonts w:hint="eastAsia" w:ascii="宋体" w:hAnsi="宋体" w:cs="宋体"/>
                <w:sz w:val="24"/>
                <w:szCs w:val="32"/>
              </w:rPr>
              <w:t>公司的分离纯化装备、色谱填料及配套工艺解决方案，服务于国内多家创新药企、CDMO企业，助力客户开展多肽、抗体、小核酸等创新药物的研发与产业化。公司会持续关注生物医药产业链上下游优质机会，围绕主业开展产业协同布局；若后续涉及重大投资、并购事项，公司将严格按照监管规则及时履行信息披露义务。</w:t>
            </w:r>
          </w:p>
          <w:p w14:paraId="25EEEA53">
            <w:pPr>
              <w:adjustRightInd w:val="0"/>
              <w:snapToGrid w:val="0"/>
              <w:spacing w:line="360" w:lineRule="auto"/>
              <w:ind w:firstLine="482" w:firstLineChars="200"/>
              <w:rPr>
                <w:rFonts w:hint="eastAsia" w:ascii="宋体" w:hAnsi="宋体" w:cs="宋体"/>
                <w:b/>
                <w:iCs/>
                <w:sz w:val="24"/>
                <w:szCs w:val="24"/>
              </w:rPr>
            </w:pPr>
            <w:r>
              <w:rPr>
                <w:rFonts w:hint="eastAsia" w:ascii="宋体" w:hAnsi="宋体" w:cs="宋体"/>
                <w:b/>
                <w:iCs/>
                <w:sz w:val="24"/>
                <w:szCs w:val="24"/>
              </w:rPr>
              <w:t>问题六：公司目前的毛利率情况如何？计划如何提升经营业绩及盈利情况？</w:t>
            </w:r>
          </w:p>
          <w:p w14:paraId="7450FFD7">
            <w:pPr>
              <w:adjustRightInd w:val="0"/>
              <w:snapToGrid w:val="0"/>
              <w:spacing w:line="360" w:lineRule="auto"/>
              <w:ind w:firstLine="480" w:firstLineChars="200"/>
              <w:rPr>
                <w:rFonts w:hint="eastAsia" w:ascii="宋体" w:hAnsi="宋体" w:cs="宋体"/>
                <w:iCs/>
                <w:sz w:val="24"/>
                <w:szCs w:val="32"/>
              </w:rPr>
            </w:pPr>
            <w:r>
              <w:rPr>
                <w:rFonts w:hint="eastAsia" w:ascii="宋体" w:hAnsi="宋体" w:cs="宋体"/>
                <w:bCs/>
                <w:iCs/>
                <w:sz w:val="24"/>
                <w:szCs w:val="24"/>
              </w:rPr>
              <w:t>答：</w:t>
            </w:r>
            <w:r>
              <w:rPr>
                <w:rFonts w:hint="eastAsia" w:ascii="宋体" w:hAnsi="宋体" w:cs="宋体"/>
                <w:sz w:val="24"/>
                <w:szCs w:val="32"/>
              </w:rPr>
              <w:t>公司目前的毛利率水平相对稳定，为了提升经营业绩和盈利情况，公司加快推进“分离纯化装备+色谱填料+技术服务”一体化布局，同步推进自动化与智能化业务体系建设，在巩固小分子业务领先地位的同时，大分子、寡核苷酸、自动化数字化整体解决方案等业务加速突破，多元增长格局逐步形成，为公司长期可持续发展奠定坚实基础。同时，逐步加强费用管控，持续释放规模效应，并推进内部精益管理，通过强化全面预算约束、优化组织架构、精简业务流程等多项举措，压降非必要运营支出，多措并举共同助力公司业绩增长。</w:t>
            </w:r>
          </w:p>
          <w:p w14:paraId="57685E63">
            <w:pPr>
              <w:adjustRightInd w:val="0"/>
              <w:snapToGrid w:val="0"/>
              <w:spacing w:line="360" w:lineRule="auto"/>
              <w:ind w:firstLine="482" w:firstLineChars="200"/>
              <w:rPr>
                <w:rFonts w:hint="eastAsia" w:ascii="宋体" w:hAnsi="宋体" w:cs="宋体"/>
                <w:b/>
                <w:iCs/>
                <w:sz w:val="24"/>
                <w:szCs w:val="24"/>
              </w:rPr>
            </w:pPr>
            <w:r>
              <w:rPr>
                <w:rFonts w:hint="eastAsia" w:ascii="宋体" w:hAnsi="宋体" w:cs="宋体"/>
                <w:b/>
                <w:iCs/>
                <w:sz w:val="24"/>
                <w:szCs w:val="24"/>
              </w:rPr>
              <w:t>问题七：公司目前的产能是否能满足订单的需求？</w:t>
            </w:r>
          </w:p>
          <w:p w14:paraId="06BDFAA3">
            <w:pPr>
              <w:adjustRightInd w:val="0"/>
              <w:snapToGrid w:val="0"/>
              <w:spacing w:line="360" w:lineRule="auto"/>
              <w:ind w:firstLine="480" w:firstLineChars="200"/>
              <w:rPr>
                <w:rFonts w:hint="eastAsia" w:ascii="宋体" w:hAnsi="宋体" w:cs="宋体"/>
                <w:bCs/>
                <w:iCs/>
                <w:sz w:val="24"/>
                <w:szCs w:val="24"/>
              </w:rPr>
            </w:pPr>
            <w:r>
              <w:rPr>
                <w:rFonts w:hint="eastAsia" w:ascii="宋体" w:hAnsi="宋体" w:cs="宋体"/>
                <w:bCs/>
                <w:iCs/>
                <w:sz w:val="24"/>
                <w:szCs w:val="24"/>
              </w:rPr>
              <w:t>答：公司目前的产能利用率处于较高水平，公司持续优化生产排产，交付能力持续提升，能够满足当前在手订单交付需求。</w:t>
            </w:r>
          </w:p>
        </w:tc>
      </w:tr>
      <w:tr w14:paraId="04CD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989" w:type="dxa"/>
            <w:vAlign w:val="center"/>
          </w:tcPr>
          <w:p w14:paraId="5E7E9B30">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风险提示及说明</w:t>
            </w:r>
          </w:p>
        </w:tc>
        <w:tc>
          <w:tcPr>
            <w:tcW w:w="7543" w:type="dxa"/>
            <w:vAlign w:val="center"/>
          </w:tcPr>
          <w:p w14:paraId="6E673CE7">
            <w:pPr>
              <w:adjustRightInd w:val="0"/>
              <w:snapToGrid w:val="0"/>
              <w:spacing w:line="360" w:lineRule="auto"/>
              <w:ind w:firstLine="480" w:firstLineChars="200"/>
              <w:rPr>
                <w:rFonts w:hint="eastAsia" w:ascii="宋体" w:hAnsi="宋体" w:cs="宋体"/>
                <w:bCs/>
                <w:iCs/>
                <w:sz w:val="24"/>
                <w:szCs w:val="24"/>
              </w:rPr>
            </w:pPr>
            <w:r>
              <w:rPr>
                <w:rFonts w:hint="eastAsia" w:ascii="宋体" w:hAnsi="宋体" w:cs="宋体"/>
                <w:bCs/>
                <w:iCs/>
                <w:sz w:val="24"/>
                <w:szCs w:val="24"/>
              </w:rPr>
              <w:t>以上如涉及对行业的预测、公司发展规划等相关内容，不代表公司或公司管理层对行业、公司发展或业绩的盈利预测和承诺，不构成公司对投资者的实质性承诺，敬请广大投资者注意投资风险。</w:t>
            </w:r>
          </w:p>
        </w:tc>
      </w:tr>
      <w:tr w14:paraId="6EF50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89" w:type="dxa"/>
            <w:vAlign w:val="center"/>
          </w:tcPr>
          <w:p w14:paraId="3A02919B">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附件清单</w:t>
            </w:r>
          </w:p>
        </w:tc>
        <w:tc>
          <w:tcPr>
            <w:tcW w:w="7543" w:type="dxa"/>
            <w:vAlign w:val="center"/>
          </w:tcPr>
          <w:p w14:paraId="0F98AB6C">
            <w:pPr>
              <w:adjustRightInd w:val="0"/>
              <w:snapToGrid w:val="0"/>
              <w:rPr>
                <w:rFonts w:hint="eastAsia" w:ascii="宋体" w:hAnsi="宋体" w:cs="宋体"/>
                <w:bCs/>
                <w:iCs/>
                <w:sz w:val="24"/>
                <w:szCs w:val="24"/>
              </w:rPr>
            </w:pPr>
            <w:r>
              <w:rPr>
                <w:rFonts w:hint="eastAsia" w:ascii="宋体" w:hAnsi="宋体" w:cs="宋体"/>
                <w:bCs/>
                <w:iCs/>
                <w:sz w:val="24"/>
                <w:szCs w:val="24"/>
              </w:rPr>
              <w:t>无</w:t>
            </w:r>
          </w:p>
        </w:tc>
      </w:tr>
      <w:tr w14:paraId="174F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89" w:type="dxa"/>
            <w:vAlign w:val="center"/>
          </w:tcPr>
          <w:p w14:paraId="48F34D6B">
            <w:pPr>
              <w:adjustRightInd w:val="0"/>
              <w:snapToGrid w:val="0"/>
              <w:jc w:val="center"/>
              <w:rPr>
                <w:rFonts w:hint="eastAsia" w:ascii="宋体" w:hAnsi="宋体" w:cs="宋体"/>
                <w:b/>
                <w:bCs/>
                <w:iCs/>
                <w:sz w:val="24"/>
                <w:szCs w:val="24"/>
              </w:rPr>
            </w:pPr>
            <w:r>
              <w:rPr>
                <w:rFonts w:hint="eastAsia" w:ascii="宋体" w:hAnsi="宋体" w:cs="宋体"/>
                <w:b/>
                <w:bCs/>
                <w:iCs/>
                <w:sz w:val="24"/>
                <w:szCs w:val="24"/>
              </w:rPr>
              <w:t>日期</w:t>
            </w:r>
          </w:p>
        </w:tc>
        <w:tc>
          <w:tcPr>
            <w:tcW w:w="7543" w:type="dxa"/>
            <w:vAlign w:val="center"/>
          </w:tcPr>
          <w:p w14:paraId="38EDD69E">
            <w:pPr>
              <w:adjustRightInd w:val="0"/>
              <w:snapToGrid w:val="0"/>
              <w:rPr>
                <w:rFonts w:hint="eastAsia" w:ascii="宋体" w:hAnsi="宋体" w:cs="宋体"/>
                <w:bCs/>
                <w:iCs/>
                <w:sz w:val="24"/>
                <w:szCs w:val="24"/>
              </w:rPr>
            </w:pPr>
            <w:r>
              <w:rPr>
                <w:rFonts w:hint="eastAsia" w:ascii="宋体" w:hAnsi="宋体" w:cs="宋体"/>
                <w:bCs/>
                <w:iCs/>
                <w:sz w:val="24"/>
                <w:szCs w:val="24"/>
              </w:rPr>
              <w:t>2026年9月16日</w:t>
            </w:r>
          </w:p>
        </w:tc>
      </w:tr>
    </w:tbl>
    <w:p w14:paraId="0535685F">
      <w:pPr>
        <w:rPr>
          <w:rFonts w:eastAsia="楷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E6C"/>
    <w:rsid w:val="00053A1F"/>
    <w:rsid w:val="000A3A0B"/>
    <w:rsid w:val="000C51EE"/>
    <w:rsid w:val="00135B91"/>
    <w:rsid w:val="00154F49"/>
    <w:rsid w:val="001605FD"/>
    <w:rsid w:val="001D4ADB"/>
    <w:rsid w:val="001E42D2"/>
    <w:rsid w:val="002671AA"/>
    <w:rsid w:val="002760B1"/>
    <w:rsid w:val="002834E3"/>
    <w:rsid w:val="002C04D3"/>
    <w:rsid w:val="002C7A08"/>
    <w:rsid w:val="0031219B"/>
    <w:rsid w:val="00314FFE"/>
    <w:rsid w:val="0033673C"/>
    <w:rsid w:val="003726D4"/>
    <w:rsid w:val="00402F61"/>
    <w:rsid w:val="00416229"/>
    <w:rsid w:val="004522B6"/>
    <w:rsid w:val="004B03CA"/>
    <w:rsid w:val="004E2DD3"/>
    <w:rsid w:val="005077FE"/>
    <w:rsid w:val="00530B1D"/>
    <w:rsid w:val="00584B26"/>
    <w:rsid w:val="005B2678"/>
    <w:rsid w:val="006366B3"/>
    <w:rsid w:val="006907FE"/>
    <w:rsid w:val="006B0E6C"/>
    <w:rsid w:val="00775ABC"/>
    <w:rsid w:val="00780B5B"/>
    <w:rsid w:val="00784682"/>
    <w:rsid w:val="007B09CE"/>
    <w:rsid w:val="00821195"/>
    <w:rsid w:val="008920C5"/>
    <w:rsid w:val="00964CFE"/>
    <w:rsid w:val="009F1A93"/>
    <w:rsid w:val="00A11D06"/>
    <w:rsid w:val="00A226D7"/>
    <w:rsid w:val="00A31601"/>
    <w:rsid w:val="00A71ADF"/>
    <w:rsid w:val="00A76937"/>
    <w:rsid w:val="00AD3ED7"/>
    <w:rsid w:val="00B540CC"/>
    <w:rsid w:val="00B56411"/>
    <w:rsid w:val="00BB001F"/>
    <w:rsid w:val="00C00B70"/>
    <w:rsid w:val="00C077CF"/>
    <w:rsid w:val="00C23194"/>
    <w:rsid w:val="00C42A9B"/>
    <w:rsid w:val="00C51687"/>
    <w:rsid w:val="00CC1CBF"/>
    <w:rsid w:val="00D05463"/>
    <w:rsid w:val="00D10C6F"/>
    <w:rsid w:val="00DA382E"/>
    <w:rsid w:val="00DB7523"/>
    <w:rsid w:val="00DC3002"/>
    <w:rsid w:val="00DE19A6"/>
    <w:rsid w:val="00E05A0F"/>
    <w:rsid w:val="00E240CA"/>
    <w:rsid w:val="00E2678F"/>
    <w:rsid w:val="00E30EDD"/>
    <w:rsid w:val="00E60C15"/>
    <w:rsid w:val="00EB0E84"/>
    <w:rsid w:val="00F14FD6"/>
    <w:rsid w:val="00F3077A"/>
    <w:rsid w:val="00FB0A74"/>
    <w:rsid w:val="00FC3A9D"/>
    <w:rsid w:val="00FF0C19"/>
    <w:rsid w:val="01866730"/>
    <w:rsid w:val="040A4AA1"/>
    <w:rsid w:val="09FA4720"/>
    <w:rsid w:val="0A1F3950"/>
    <w:rsid w:val="0A9D62B8"/>
    <w:rsid w:val="0AD24810"/>
    <w:rsid w:val="0BC84BF1"/>
    <w:rsid w:val="0E042496"/>
    <w:rsid w:val="10710B95"/>
    <w:rsid w:val="11A933AE"/>
    <w:rsid w:val="11E94524"/>
    <w:rsid w:val="13BE434A"/>
    <w:rsid w:val="14E559E3"/>
    <w:rsid w:val="15FB6E11"/>
    <w:rsid w:val="167A2D87"/>
    <w:rsid w:val="16D626D4"/>
    <w:rsid w:val="17E51656"/>
    <w:rsid w:val="18616F2E"/>
    <w:rsid w:val="18764630"/>
    <w:rsid w:val="1D220C11"/>
    <w:rsid w:val="1D510BB8"/>
    <w:rsid w:val="1FF0486C"/>
    <w:rsid w:val="1FFE6DBB"/>
    <w:rsid w:val="22926A2A"/>
    <w:rsid w:val="22F3177B"/>
    <w:rsid w:val="23111551"/>
    <w:rsid w:val="23132EE4"/>
    <w:rsid w:val="236F03AA"/>
    <w:rsid w:val="23DE3A3B"/>
    <w:rsid w:val="24A41B3F"/>
    <w:rsid w:val="24E44142"/>
    <w:rsid w:val="257612AA"/>
    <w:rsid w:val="268F1E69"/>
    <w:rsid w:val="26FD77BD"/>
    <w:rsid w:val="29A16615"/>
    <w:rsid w:val="29AB4DDF"/>
    <w:rsid w:val="2C7E555C"/>
    <w:rsid w:val="2D5F77AF"/>
    <w:rsid w:val="2F7C3525"/>
    <w:rsid w:val="2F954E96"/>
    <w:rsid w:val="2FEB200B"/>
    <w:rsid w:val="31707E0F"/>
    <w:rsid w:val="31F6203D"/>
    <w:rsid w:val="33BC1355"/>
    <w:rsid w:val="35E90DEE"/>
    <w:rsid w:val="362C74C4"/>
    <w:rsid w:val="38331E91"/>
    <w:rsid w:val="39282324"/>
    <w:rsid w:val="3B5D05E1"/>
    <w:rsid w:val="3CA61A67"/>
    <w:rsid w:val="3F3302F4"/>
    <w:rsid w:val="40C96B6F"/>
    <w:rsid w:val="41C5543F"/>
    <w:rsid w:val="43C55D14"/>
    <w:rsid w:val="455016D6"/>
    <w:rsid w:val="45DE0D66"/>
    <w:rsid w:val="466F5577"/>
    <w:rsid w:val="47D227AD"/>
    <w:rsid w:val="4B28430A"/>
    <w:rsid w:val="4BA12011"/>
    <w:rsid w:val="4BDC3BFA"/>
    <w:rsid w:val="4C5F3E9D"/>
    <w:rsid w:val="4C670088"/>
    <w:rsid w:val="4D0D79B2"/>
    <w:rsid w:val="4DFA61AA"/>
    <w:rsid w:val="510E0CFA"/>
    <w:rsid w:val="52297EF2"/>
    <w:rsid w:val="52DC6E15"/>
    <w:rsid w:val="52F05F79"/>
    <w:rsid w:val="550F3292"/>
    <w:rsid w:val="5568182A"/>
    <w:rsid w:val="56215E4F"/>
    <w:rsid w:val="57183488"/>
    <w:rsid w:val="577473DD"/>
    <w:rsid w:val="57C31664"/>
    <w:rsid w:val="57D268FD"/>
    <w:rsid w:val="5954043B"/>
    <w:rsid w:val="5C3D69EF"/>
    <w:rsid w:val="5DB47C4D"/>
    <w:rsid w:val="5DDF6040"/>
    <w:rsid w:val="5F3B6E50"/>
    <w:rsid w:val="5F780201"/>
    <w:rsid w:val="60126868"/>
    <w:rsid w:val="6119480C"/>
    <w:rsid w:val="62032538"/>
    <w:rsid w:val="630930CF"/>
    <w:rsid w:val="642509F0"/>
    <w:rsid w:val="64C51278"/>
    <w:rsid w:val="65133287"/>
    <w:rsid w:val="66F145A6"/>
    <w:rsid w:val="684419F9"/>
    <w:rsid w:val="68AB69D7"/>
    <w:rsid w:val="68CA079F"/>
    <w:rsid w:val="698711F2"/>
    <w:rsid w:val="6ACF6001"/>
    <w:rsid w:val="6B383D1A"/>
    <w:rsid w:val="6C792876"/>
    <w:rsid w:val="6CC85FB5"/>
    <w:rsid w:val="6CD105BD"/>
    <w:rsid w:val="6EDA5EEB"/>
    <w:rsid w:val="6F7D5105"/>
    <w:rsid w:val="701666EE"/>
    <w:rsid w:val="702B30AF"/>
    <w:rsid w:val="722200EE"/>
    <w:rsid w:val="73EA0B49"/>
    <w:rsid w:val="75975B9D"/>
    <w:rsid w:val="761B345F"/>
    <w:rsid w:val="76206667"/>
    <w:rsid w:val="7A587133"/>
    <w:rsid w:val="7BA46CD9"/>
    <w:rsid w:val="7CAD3082"/>
    <w:rsid w:val="7F315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0"/>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标题 2 字符"/>
    <w:basedOn w:val="8"/>
    <w:link w:val="2"/>
    <w:qFormat/>
    <w:uiPriority w:val="9"/>
    <w:rPr>
      <w:rFonts w:asciiTheme="majorHAnsi" w:hAnsiTheme="majorHAnsi" w:eastAsiaTheme="majorEastAsia" w:cstheme="majorBidi"/>
      <w:b/>
      <w:bCs/>
      <w:sz w:val="32"/>
      <w:szCs w:val="32"/>
    </w:rPr>
  </w:style>
  <w:style w:type="character" w:customStyle="1" w:styleId="10">
    <w:name w:val="批注框文本 字符"/>
    <w:basedOn w:val="8"/>
    <w:link w:val="4"/>
    <w:semiHidden/>
    <w:qFormat/>
    <w:uiPriority w:val="99"/>
    <w:rPr>
      <w:rFonts w:ascii="Times New Roman" w:hAnsi="Times New Roman" w:eastAsia="宋体" w:cs="Times New Roman"/>
      <w:sz w:val="18"/>
      <w:szCs w:val="18"/>
    </w:rPr>
  </w:style>
  <w:style w:type="character" w:customStyle="1" w:styleId="11">
    <w:name w:val="页眉 字符"/>
    <w:basedOn w:val="8"/>
    <w:link w:val="6"/>
    <w:qFormat/>
    <w:uiPriority w:val="99"/>
    <w:rPr>
      <w:rFonts w:ascii="Times New Roman" w:hAnsi="Times New Roman" w:eastAsia="宋体" w:cs="Times New Roman"/>
      <w:sz w:val="18"/>
      <w:szCs w:val="18"/>
    </w:rPr>
  </w:style>
  <w:style w:type="character" w:customStyle="1" w:styleId="12">
    <w:name w:val="页脚 字符"/>
    <w:basedOn w:val="8"/>
    <w:link w:val="5"/>
    <w:qFormat/>
    <w:uiPriority w:val="99"/>
    <w:rPr>
      <w:rFonts w:ascii="Times New Roman" w:hAnsi="Times New Roman" w:eastAsia="宋体" w:cs="Times New Roman"/>
      <w:sz w:val="18"/>
      <w:szCs w:val="18"/>
    </w:rPr>
  </w:style>
  <w:style w:type="paragraph" w:customStyle="1" w:styleId="13">
    <w:name w:val="修订1"/>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386b71bd-8b5c-4b59-84e5-1e6c7c0d92b8}">
  <ds:schemaRefs/>
</ds:datastoreItem>
</file>

<file path=docProps/app.xml><?xml version="1.0" encoding="utf-8"?>
<Properties xmlns="http://schemas.openxmlformats.org/officeDocument/2006/extended-properties" xmlns:vt="http://schemas.openxmlformats.org/officeDocument/2006/docPropsVTypes">
  <Template>Normal</Template>
  <Pages>4</Pages>
  <Words>2197</Words>
  <Characters>2283</Characters>
  <Lines>17</Lines>
  <Paragraphs>4</Paragraphs>
  <TotalTime>66</TotalTime>
  <ScaleCrop>false</ScaleCrop>
  <LinksUpToDate>false</LinksUpToDate>
  <CharactersWithSpaces>2422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2025-06-18T08:59:00Z</dcterms:created>
  <dc:creator>张园园</dc:creator>
  <cp:lastModifiedBy>xyx</cp:lastModifiedBy>
  <dcterms:modified xsi:type="dcterms:W3CDTF">2026-09-15T08:54:31Z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9C5EAE9B68BE49EDB840F7714D2F10F3_13</vt:lpwstr>
  </property>
  <property fmtid="{D5CDD505-2E9C-101B-9397-08002B2CF9AE}" pid="4" name="KSOTemplateDocerSaveRecord">
    <vt:lpwstr>eyJoZGlkIjoiOTc5NWJmZjJlNzIxY2JiZTEyNTA1ZWJkNWJhMjM2YzEiLCJ1c2VySWQiOiI2MzA4OTU5NTEifQ==</vt:lpwstr>
  </property>
</Properties>
</file>