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D26C2" w14:textId="2653ADFA" w:rsidR="00186984" w:rsidRPr="00186984" w:rsidRDefault="00186984" w:rsidP="00186984">
      <w:pPr>
        <w:spacing w:line="360" w:lineRule="auto"/>
        <w:rPr>
          <w:rFonts w:ascii="宋体" w:hAnsi="宋体" w:cs="Times New Roman" w:hint="eastAsia"/>
          <w:sz w:val="24"/>
          <w:szCs w:val="24"/>
        </w:rPr>
      </w:pPr>
      <w:r w:rsidRPr="00186984">
        <w:rPr>
          <w:rFonts w:ascii="宋体" w:hAnsi="宋体" w:cs="Times New Roman" w:hint="eastAsia"/>
          <w:sz w:val="24"/>
          <w:szCs w:val="24"/>
        </w:rPr>
        <w:t xml:space="preserve">证券代码：688179                      </w:t>
      </w:r>
      <w:r w:rsidR="00057E28">
        <w:rPr>
          <w:rFonts w:ascii="宋体" w:hAnsi="宋体" w:cs="Times New Roman"/>
          <w:sz w:val="24"/>
          <w:szCs w:val="24"/>
        </w:rPr>
        <w:t xml:space="preserve"> </w:t>
      </w:r>
      <w:r w:rsidRPr="00186984">
        <w:rPr>
          <w:rFonts w:ascii="宋体" w:hAnsi="宋体" w:cs="Times New Roman" w:hint="eastAsia"/>
          <w:sz w:val="24"/>
          <w:szCs w:val="24"/>
        </w:rPr>
        <w:t xml:space="preserve">             证券简称：阿拉丁</w:t>
      </w:r>
    </w:p>
    <w:p w14:paraId="7A94F0CB" w14:textId="77777777" w:rsidR="00186984" w:rsidRPr="00186984" w:rsidRDefault="00186984" w:rsidP="00186984">
      <w:pPr>
        <w:spacing w:line="360" w:lineRule="auto"/>
        <w:rPr>
          <w:rFonts w:ascii="宋体" w:hAnsi="宋体" w:cs="Times New Roman" w:hint="eastAsia"/>
          <w:sz w:val="24"/>
          <w:szCs w:val="24"/>
        </w:rPr>
      </w:pPr>
    </w:p>
    <w:p w14:paraId="3EE69DAC" w14:textId="77777777" w:rsidR="00186984" w:rsidRPr="00186984" w:rsidRDefault="00186984" w:rsidP="00186984">
      <w:pPr>
        <w:adjustRightInd w:val="0"/>
        <w:spacing w:line="360" w:lineRule="auto"/>
        <w:jc w:val="center"/>
        <w:rPr>
          <w:rFonts w:ascii="宋体" w:hAnsi="宋体" w:cs="Times New Roman" w:hint="eastAsia"/>
          <w:b/>
          <w:color w:val="FF0000"/>
          <w:sz w:val="36"/>
          <w:szCs w:val="36"/>
        </w:rPr>
      </w:pPr>
      <w:r w:rsidRPr="00186984">
        <w:rPr>
          <w:rFonts w:ascii="宋体" w:hAnsi="宋体" w:cs="Times New Roman" w:hint="eastAsia"/>
          <w:b/>
          <w:color w:val="FF0000"/>
          <w:sz w:val="36"/>
          <w:szCs w:val="36"/>
        </w:rPr>
        <w:t>上海阿拉丁生化科技股份有限公司</w:t>
      </w:r>
    </w:p>
    <w:p w14:paraId="303BA820" w14:textId="2C6D7AB6" w:rsidR="00186984" w:rsidRPr="00186984" w:rsidRDefault="00DB6181" w:rsidP="00186984">
      <w:pPr>
        <w:spacing w:line="360" w:lineRule="auto"/>
        <w:jc w:val="center"/>
        <w:rPr>
          <w:rFonts w:ascii="宋体" w:hAnsi="宋体" w:cs="Times New Roman" w:hint="eastAsia"/>
          <w:b/>
          <w:color w:val="FF0000"/>
          <w:sz w:val="36"/>
          <w:szCs w:val="36"/>
        </w:rPr>
      </w:pPr>
      <w:r w:rsidRPr="00DB6181">
        <w:rPr>
          <w:rFonts w:ascii="宋体" w:hAnsi="宋体" w:cs="Times New Roman"/>
          <w:b/>
          <w:color w:val="FF0000"/>
          <w:sz w:val="36"/>
          <w:szCs w:val="36"/>
        </w:rPr>
        <w:t>接待投资者调研活动暨202</w:t>
      </w:r>
      <w:r>
        <w:rPr>
          <w:rFonts w:ascii="宋体" w:hAnsi="宋体" w:cs="Times New Roman" w:hint="eastAsia"/>
          <w:b/>
          <w:color w:val="FF0000"/>
          <w:sz w:val="36"/>
          <w:szCs w:val="36"/>
        </w:rPr>
        <w:t>6</w:t>
      </w:r>
      <w:r w:rsidRPr="00DB6181">
        <w:rPr>
          <w:rFonts w:ascii="宋体" w:hAnsi="宋体" w:cs="Times New Roman"/>
          <w:b/>
          <w:color w:val="FF0000"/>
          <w:sz w:val="36"/>
          <w:szCs w:val="36"/>
        </w:rPr>
        <w:t>年</w:t>
      </w:r>
      <w:r>
        <w:rPr>
          <w:rFonts w:ascii="宋体" w:hAnsi="宋体" w:cs="Times New Roman" w:hint="eastAsia"/>
          <w:b/>
          <w:color w:val="FF0000"/>
          <w:sz w:val="36"/>
          <w:szCs w:val="36"/>
        </w:rPr>
        <w:t>半年度</w:t>
      </w:r>
      <w:r w:rsidRPr="00DB6181">
        <w:rPr>
          <w:rFonts w:ascii="宋体" w:hAnsi="宋体" w:cs="Times New Roman"/>
          <w:b/>
          <w:color w:val="FF0000"/>
          <w:sz w:val="36"/>
          <w:szCs w:val="36"/>
        </w:rPr>
        <w:t>业绩说明会会议记录</w:t>
      </w:r>
    </w:p>
    <w:p w14:paraId="7BADA8E4" w14:textId="77777777" w:rsidR="00186984" w:rsidRPr="00186984" w:rsidRDefault="00186984" w:rsidP="00186984">
      <w:pPr>
        <w:spacing w:line="360" w:lineRule="auto"/>
        <w:rPr>
          <w:rFonts w:ascii="宋体" w:hAnsi="宋体" w:cs="Times New Roman" w:hint="eastAsia"/>
          <w:b/>
          <w:sz w:val="24"/>
          <w:szCs w:val="24"/>
        </w:rPr>
      </w:pPr>
    </w:p>
    <w:p w14:paraId="503527CA" w14:textId="77777777" w:rsidR="00186984" w:rsidRPr="00186984" w:rsidRDefault="00186984" w:rsidP="00186984">
      <w:pPr>
        <w:spacing w:line="360" w:lineRule="auto"/>
        <w:rPr>
          <w:rFonts w:ascii="宋体" w:hAnsi="宋体" w:cs="Times New Roman" w:hint="eastAsia"/>
          <w:b/>
          <w:sz w:val="24"/>
          <w:szCs w:val="24"/>
        </w:rPr>
      </w:pPr>
      <w:r w:rsidRPr="00186984">
        <w:rPr>
          <w:rFonts w:ascii="宋体" w:hAnsi="宋体" w:cs="Times New Roman"/>
          <w:b/>
          <w:sz w:val="24"/>
          <w:szCs w:val="24"/>
        </w:rPr>
        <w:t>一、机构调研情况</w:t>
      </w:r>
    </w:p>
    <w:p w14:paraId="22445F0E" w14:textId="5A833D63" w:rsidR="00186984" w:rsidRDefault="00186984" w:rsidP="00186984">
      <w:pPr>
        <w:spacing w:line="360" w:lineRule="auto"/>
        <w:rPr>
          <w:rFonts w:ascii="宋体" w:hAnsi="宋体" w:cs="Times New Roman" w:hint="eastAsia"/>
          <w:sz w:val="24"/>
          <w:szCs w:val="24"/>
        </w:rPr>
      </w:pPr>
      <w:r w:rsidRPr="00186984">
        <w:rPr>
          <w:rFonts w:ascii="宋体" w:hAnsi="宋体" w:cs="Times New Roman"/>
          <w:b/>
          <w:sz w:val="24"/>
          <w:szCs w:val="24"/>
        </w:rPr>
        <w:t>调研时间</w:t>
      </w:r>
      <w:r w:rsidRPr="00186984">
        <w:rPr>
          <w:rFonts w:ascii="宋体" w:hAnsi="宋体" w:cs="Times New Roman"/>
          <w:sz w:val="24"/>
          <w:szCs w:val="24"/>
        </w:rPr>
        <w:t>：</w:t>
      </w:r>
      <w:r w:rsidR="00D35A77" w:rsidRPr="00186984">
        <w:rPr>
          <w:rFonts w:ascii="宋体" w:hAnsi="宋体" w:cs="Times New Roman"/>
          <w:sz w:val="24"/>
          <w:szCs w:val="24"/>
        </w:rPr>
        <w:t>20</w:t>
      </w:r>
      <w:r w:rsidR="00D35A77">
        <w:rPr>
          <w:rFonts w:ascii="宋体" w:hAnsi="宋体" w:cs="Times New Roman"/>
          <w:sz w:val="24"/>
          <w:szCs w:val="24"/>
        </w:rPr>
        <w:t>2</w:t>
      </w:r>
      <w:r w:rsidR="008D10C8">
        <w:rPr>
          <w:rFonts w:ascii="宋体" w:hAnsi="宋体" w:cs="Times New Roman"/>
          <w:sz w:val="24"/>
          <w:szCs w:val="24"/>
        </w:rPr>
        <w:t>6</w:t>
      </w:r>
      <w:r w:rsidR="00D35A77" w:rsidRPr="00186984">
        <w:rPr>
          <w:rFonts w:ascii="宋体" w:hAnsi="宋体" w:cs="Times New Roman"/>
          <w:sz w:val="24"/>
          <w:szCs w:val="24"/>
        </w:rPr>
        <w:t>年</w:t>
      </w:r>
      <w:r w:rsidR="00680556">
        <w:rPr>
          <w:rFonts w:ascii="宋体" w:hAnsi="宋体" w:cs="Times New Roman" w:hint="eastAsia"/>
          <w:sz w:val="24"/>
          <w:szCs w:val="24"/>
        </w:rPr>
        <w:t>9</w:t>
      </w:r>
      <w:r w:rsidR="00EA4537">
        <w:rPr>
          <w:rFonts w:ascii="宋体" w:hAnsi="宋体" w:cs="Times New Roman" w:hint="eastAsia"/>
          <w:sz w:val="24"/>
          <w:szCs w:val="24"/>
        </w:rPr>
        <w:t>月</w:t>
      </w:r>
      <w:r w:rsidR="00680556">
        <w:rPr>
          <w:rFonts w:ascii="宋体" w:hAnsi="宋体" w:cs="Times New Roman" w:hint="eastAsia"/>
          <w:sz w:val="24"/>
          <w:szCs w:val="24"/>
        </w:rPr>
        <w:t>9</w:t>
      </w:r>
      <w:r w:rsidR="00562C90">
        <w:rPr>
          <w:rFonts w:ascii="宋体" w:hAnsi="宋体" w:cs="Times New Roman" w:hint="eastAsia"/>
          <w:sz w:val="24"/>
          <w:szCs w:val="24"/>
        </w:rPr>
        <w:t>日</w:t>
      </w:r>
      <w:r w:rsidR="00680556">
        <w:rPr>
          <w:rFonts w:ascii="宋体" w:hAnsi="宋体" w:cs="Times New Roman" w:hint="eastAsia"/>
          <w:sz w:val="24"/>
          <w:szCs w:val="24"/>
        </w:rPr>
        <w:t>、</w:t>
      </w:r>
      <w:r w:rsidR="00CE3A20">
        <w:rPr>
          <w:rFonts w:ascii="宋体" w:hAnsi="宋体" w:cs="Times New Roman" w:hint="eastAsia"/>
          <w:sz w:val="24"/>
          <w:szCs w:val="24"/>
        </w:rPr>
        <w:t>2</w:t>
      </w:r>
      <w:r w:rsidR="00CE3A20">
        <w:rPr>
          <w:rFonts w:ascii="宋体" w:hAnsi="宋体" w:cs="Times New Roman"/>
          <w:sz w:val="24"/>
          <w:szCs w:val="24"/>
        </w:rPr>
        <w:t>026</w:t>
      </w:r>
      <w:r w:rsidR="00CE3A20">
        <w:rPr>
          <w:rFonts w:ascii="宋体" w:hAnsi="宋体" w:cs="Times New Roman" w:hint="eastAsia"/>
          <w:sz w:val="24"/>
          <w:szCs w:val="24"/>
        </w:rPr>
        <w:t>年</w:t>
      </w:r>
      <w:r w:rsidR="00680556">
        <w:rPr>
          <w:rFonts w:ascii="宋体" w:hAnsi="宋体" w:cs="Times New Roman" w:hint="eastAsia"/>
          <w:sz w:val="24"/>
          <w:szCs w:val="24"/>
        </w:rPr>
        <w:t>9</w:t>
      </w:r>
      <w:r w:rsidR="00CE3A20">
        <w:rPr>
          <w:rFonts w:ascii="宋体" w:hAnsi="宋体" w:cs="Times New Roman" w:hint="eastAsia"/>
          <w:sz w:val="24"/>
          <w:szCs w:val="24"/>
        </w:rPr>
        <w:t>月</w:t>
      </w:r>
      <w:r w:rsidR="00DB6181">
        <w:rPr>
          <w:rFonts w:ascii="宋体" w:hAnsi="宋体" w:cs="Times New Roman" w:hint="eastAsia"/>
          <w:sz w:val="24"/>
          <w:szCs w:val="24"/>
        </w:rPr>
        <w:t>15</w:t>
      </w:r>
      <w:r w:rsidR="00CE3A20">
        <w:rPr>
          <w:rFonts w:ascii="宋体" w:hAnsi="宋体" w:cs="Times New Roman" w:hint="eastAsia"/>
          <w:sz w:val="24"/>
          <w:szCs w:val="24"/>
        </w:rPr>
        <w:t>日</w:t>
      </w:r>
    </w:p>
    <w:p w14:paraId="2C3A1C70" w14:textId="3DC37E62" w:rsidR="00A4763C" w:rsidRPr="00A4763C" w:rsidRDefault="00A4763C" w:rsidP="00186984">
      <w:pPr>
        <w:spacing w:line="360" w:lineRule="auto"/>
        <w:rPr>
          <w:rFonts w:ascii="宋体" w:hAnsi="宋体" w:cs="Times New Roman" w:hint="eastAsia"/>
          <w:b/>
          <w:bCs/>
          <w:sz w:val="24"/>
          <w:szCs w:val="24"/>
        </w:rPr>
      </w:pPr>
      <w:r w:rsidRPr="00A4763C">
        <w:rPr>
          <w:rFonts w:ascii="宋体" w:hAnsi="宋体" w:cs="Times New Roman" w:hint="eastAsia"/>
          <w:b/>
          <w:bCs/>
          <w:sz w:val="24"/>
          <w:szCs w:val="24"/>
        </w:rPr>
        <w:t>调研地点：</w:t>
      </w:r>
      <w:r w:rsidR="00C610C5" w:rsidRPr="00C610C5">
        <w:rPr>
          <w:rFonts w:ascii="宋体" w:hAnsi="宋体" w:cs="Times New Roman" w:hint="eastAsia"/>
          <w:sz w:val="24"/>
          <w:szCs w:val="24"/>
        </w:rPr>
        <w:t>上海</w:t>
      </w:r>
      <w:r w:rsidR="00C610C5">
        <w:rPr>
          <w:rFonts w:ascii="宋体" w:hAnsi="宋体" w:cs="Times New Roman" w:hint="eastAsia"/>
          <w:sz w:val="24"/>
          <w:szCs w:val="24"/>
        </w:rPr>
        <w:t>（现场会议）</w:t>
      </w:r>
      <w:r w:rsidR="000C23BF" w:rsidRPr="00C610C5">
        <w:rPr>
          <w:rFonts w:ascii="宋体" w:hAnsi="宋体" w:cs="Times New Roman" w:hint="eastAsia"/>
          <w:sz w:val="24"/>
          <w:szCs w:val="24"/>
        </w:rPr>
        <w:t>、</w:t>
      </w:r>
      <w:r w:rsidR="00155C3B" w:rsidRPr="00C610C5">
        <w:rPr>
          <w:rFonts w:ascii="宋体" w:hAnsi="宋体" w:cs="Times New Roman"/>
          <w:sz w:val="24"/>
          <w:szCs w:val="24"/>
        </w:rPr>
        <w:t>上</w:t>
      </w:r>
      <w:r w:rsidR="00155C3B" w:rsidRPr="00155C3B">
        <w:rPr>
          <w:rFonts w:ascii="宋体" w:hAnsi="宋体" w:cs="Times New Roman"/>
          <w:sz w:val="24"/>
          <w:szCs w:val="24"/>
        </w:rPr>
        <w:t>海证券交易所上证路演中心（网址：http://roadshow.sseinfo.com/）</w:t>
      </w:r>
      <w:r w:rsidR="00C610C5">
        <w:rPr>
          <w:rFonts w:ascii="宋体" w:hAnsi="宋体" w:cs="Times New Roman" w:hint="eastAsia"/>
          <w:sz w:val="24"/>
          <w:szCs w:val="24"/>
        </w:rPr>
        <w:t>（线上会议）</w:t>
      </w:r>
    </w:p>
    <w:p w14:paraId="33FF5A6D" w14:textId="062EA272" w:rsidR="00186984" w:rsidRDefault="00186984" w:rsidP="00186984">
      <w:pPr>
        <w:spacing w:line="360" w:lineRule="auto"/>
        <w:rPr>
          <w:rFonts w:ascii="宋体" w:hAnsi="宋体" w:cs="Times New Roman" w:hint="eastAsia"/>
          <w:sz w:val="24"/>
          <w:szCs w:val="24"/>
        </w:rPr>
      </w:pPr>
      <w:r w:rsidRPr="00186984">
        <w:rPr>
          <w:rFonts w:ascii="宋体" w:hAnsi="宋体" w:cs="Times New Roman"/>
          <w:b/>
          <w:sz w:val="24"/>
          <w:szCs w:val="24"/>
        </w:rPr>
        <w:t>调研形式</w:t>
      </w:r>
      <w:r w:rsidRPr="00186984">
        <w:rPr>
          <w:rFonts w:ascii="宋体" w:hAnsi="宋体" w:cs="Times New Roman"/>
          <w:sz w:val="24"/>
          <w:szCs w:val="24"/>
        </w:rPr>
        <w:t>：</w:t>
      </w:r>
      <w:r w:rsidR="00CE3A20">
        <w:rPr>
          <w:rFonts w:ascii="宋体" w:hAnsi="宋体" w:cs="Times New Roman" w:hint="eastAsia"/>
          <w:sz w:val="24"/>
          <w:szCs w:val="24"/>
        </w:rPr>
        <w:t>现场</w:t>
      </w:r>
      <w:r w:rsidR="00A4763C" w:rsidRPr="00A4763C">
        <w:rPr>
          <w:rFonts w:ascii="宋体" w:hAnsi="宋体" w:cs="Times New Roman" w:hint="eastAsia"/>
          <w:sz w:val="24"/>
          <w:szCs w:val="24"/>
        </w:rPr>
        <w:t>交流</w:t>
      </w:r>
      <w:r w:rsidR="00DB6181">
        <w:rPr>
          <w:rFonts w:ascii="宋体" w:hAnsi="宋体" w:cs="Times New Roman" w:hint="eastAsia"/>
          <w:sz w:val="24"/>
          <w:szCs w:val="24"/>
        </w:rPr>
        <w:t>、</w:t>
      </w:r>
      <w:r w:rsidR="00BC6396">
        <w:rPr>
          <w:rFonts w:ascii="宋体" w:hAnsi="宋体" w:cs="Times New Roman" w:hint="eastAsia"/>
          <w:sz w:val="24"/>
          <w:szCs w:val="24"/>
        </w:rPr>
        <w:t>业绩说明会（</w:t>
      </w:r>
      <w:r w:rsidR="00BC6396" w:rsidRPr="00BC6396">
        <w:rPr>
          <w:rFonts w:ascii="宋体" w:hAnsi="宋体" w:cs="Times New Roman"/>
          <w:sz w:val="24"/>
          <w:szCs w:val="24"/>
        </w:rPr>
        <w:t>科创板2026年半年度生物制品及CXO行业集体业绩说明会</w:t>
      </w:r>
      <w:r w:rsidR="00BC6396">
        <w:rPr>
          <w:rFonts w:ascii="宋体" w:hAnsi="宋体" w:cs="Times New Roman" w:hint="eastAsia"/>
          <w:sz w:val="24"/>
          <w:szCs w:val="24"/>
        </w:rPr>
        <w:t>）</w:t>
      </w:r>
    </w:p>
    <w:p w14:paraId="49845A7C" w14:textId="2818A9D7" w:rsidR="000C23BF" w:rsidRPr="00E111B5" w:rsidRDefault="00186984" w:rsidP="000C23BF">
      <w:pPr>
        <w:spacing w:line="360" w:lineRule="auto"/>
        <w:rPr>
          <w:rFonts w:ascii="宋体" w:hAnsi="宋体" w:cs="宋体" w:hint="eastAsia"/>
          <w:kern w:val="0"/>
          <w:sz w:val="24"/>
          <w:szCs w:val="24"/>
        </w:rPr>
      </w:pPr>
      <w:r w:rsidRPr="00186984">
        <w:rPr>
          <w:rFonts w:ascii="宋体" w:hAnsi="宋体" w:cs="宋体" w:hint="eastAsia"/>
          <w:b/>
          <w:bCs/>
          <w:kern w:val="0"/>
          <w:sz w:val="24"/>
          <w:szCs w:val="24"/>
        </w:rPr>
        <w:t>参与交流来访的机构投资者：</w:t>
      </w:r>
      <w:r w:rsidR="00B0132E" w:rsidRPr="00B0132E">
        <w:rPr>
          <w:rFonts w:ascii="宋体" w:hAnsi="宋体" w:cs="宋体"/>
          <w:kern w:val="0"/>
          <w:sz w:val="24"/>
          <w:szCs w:val="24"/>
        </w:rPr>
        <w:t>国金证券</w:t>
      </w:r>
      <w:r w:rsidR="00B0132E" w:rsidRPr="00B0132E">
        <w:rPr>
          <w:rFonts w:ascii="宋体" w:hAnsi="宋体" w:cs="宋体" w:hint="eastAsia"/>
          <w:kern w:val="0"/>
          <w:sz w:val="24"/>
          <w:szCs w:val="24"/>
        </w:rPr>
        <w:t>、</w:t>
      </w:r>
      <w:r w:rsidR="00B0132E" w:rsidRPr="000C23BF">
        <w:rPr>
          <w:rFonts w:ascii="宋体" w:hAnsi="宋体" w:cs="宋体" w:hint="eastAsia"/>
          <w:kern w:val="0"/>
          <w:sz w:val="24"/>
          <w:szCs w:val="24"/>
        </w:rPr>
        <w:t>国泰海通资管</w:t>
      </w:r>
      <w:r w:rsidR="00B0132E" w:rsidRPr="00B0132E">
        <w:rPr>
          <w:rFonts w:ascii="宋体" w:hAnsi="宋体" w:cs="宋体"/>
          <w:kern w:val="0"/>
          <w:sz w:val="24"/>
          <w:szCs w:val="24"/>
        </w:rPr>
        <w:t>、</w:t>
      </w:r>
      <w:r w:rsidR="00B0132E" w:rsidRPr="000C23BF">
        <w:rPr>
          <w:rFonts w:ascii="宋体" w:hAnsi="宋体" w:cs="宋体" w:hint="eastAsia"/>
          <w:kern w:val="0"/>
          <w:sz w:val="24"/>
          <w:szCs w:val="24"/>
        </w:rPr>
        <w:t>长安基金</w:t>
      </w:r>
      <w:r w:rsidR="00B0132E" w:rsidRPr="00B0132E">
        <w:rPr>
          <w:rFonts w:ascii="宋体" w:hAnsi="宋体" w:cs="宋体"/>
          <w:kern w:val="0"/>
          <w:sz w:val="24"/>
          <w:szCs w:val="24"/>
        </w:rPr>
        <w:t>、</w:t>
      </w:r>
      <w:r w:rsidR="00B0132E" w:rsidRPr="00B0132E">
        <w:rPr>
          <w:rFonts w:ascii="宋体" w:hAnsi="宋体" w:cs="宋体" w:hint="eastAsia"/>
          <w:kern w:val="0"/>
          <w:sz w:val="24"/>
          <w:szCs w:val="24"/>
        </w:rPr>
        <w:t>嘉实基金</w:t>
      </w:r>
      <w:r w:rsidR="00B0132E" w:rsidRPr="00B0132E">
        <w:rPr>
          <w:rFonts w:ascii="宋体" w:hAnsi="宋体" w:cs="宋体"/>
          <w:kern w:val="0"/>
          <w:sz w:val="24"/>
          <w:szCs w:val="24"/>
        </w:rPr>
        <w:t>、</w:t>
      </w:r>
      <w:r w:rsidR="00B0132E" w:rsidRPr="00B0132E">
        <w:rPr>
          <w:rFonts w:ascii="宋体" w:hAnsi="宋体" w:cs="宋体" w:hint="eastAsia"/>
          <w:kern w:val="0"/>
          <w:sz w:val="24"/>
          <w:szCs w:val="24"/>
        </w:rPr>
        <w:t>国寿安保</w:t>
      </w:r>
      <w:r w:rsidR="00B0132E" w:rsidRPr="00B0132E">
        <w:rPr>
          <w:rFonts w:ascii="宋体" w:hAnsi="宋体" w:cs="宋体"/>
          <w:kern w:val="0"/>
          <w:sz w:val="24"/>
          <w:szCs w:val="24"/>
        </w:rPr>
        <w:t>、</w:t>
      </w:r>
      <w:r w:rsidR="00B0132E" w:rsidRPr="000C23BF">
        <w:rPr>
          <w:rFonts w:ascii="宋体" w:hAnsi="宋体" w:cs="宋体" w:hint="eastAsia"/>
          <w:kern w:val="0"/>
          <w:sz w:val="24"/>
          <w:szCs w:val="24"/>
        </w:rPr>
        <w:t>太平养老</w:t>
      </w:r>
      <w:r w:rsidR="00B0132E" w:rsidRPr="00B0132E">
        <w:rPr>
          <w:rFonts w:ascii="宋体" w:hAnsi="宋体" w:cs="宋体"/>
          <w:kern w:val="0"/>
          <w:sz w:val="24"/>
          <w:szCs w:val="24"/>
        </w:rPr>
        <w:t>、</w:t>
      </w:r>
      <w:r w:rsidR="000C23BF" w:rsidRPr="00B0132E">
        <w:rPr>
          <w:rFonts w:ascii="宋体" w:hAnsi="宋体" w:cs="宋体" w:hint="eastAsia"/>
          <w:kern w:val="0"/>
          <w:sz w:val="24"/>
          <w:szCs w:val="24"/>
        </w:rPr>
        <w:t>量雅投资</w:t>
      </w:r>
      <w:r w:rsidR="00B0132E" w:rsidRPr="00B0132E">
        <w:rPr>
          <w:rFonts w:ascii="宋体" w:hAnsi="宋体" w:cs="宋体" w:hint="eastAsia"/>
          <w:kern w:val="0"/>
          <w:sz w:val="24"/>
          <w:szCs w:val="24"/>
        </w:rPr>
        <w:t>、</w:t>
      </w:r>
      <w:r w:rsidR="000C23BF" w:rsidRPr="00B0132E">
        <w:rPr>
          <w:rFonts w:ascii="宋体" w:hAnsi="宋体" w:cs="宋体" w:hint="eastAsia"/>
          <w:kern w:val="0"/>
          <w:sz w:val="24"/>
          <w:szCs w:val="24"/>
        </w:rPr>
        <w:t>中汇金投资</w:t>
      </w:r>
      <w:r w:rsidR="00B0132E" w:rsidRPr="00B0132E">
        <w:rPr>
          <w:rFonts w:ascii="宋体" w:hAnsi="宋体" w:cs="宋体"/>
          <w:kern w:val="0"/>
          <w:sz w:val="24"/>
          <w:szCs w:val="24"/>
        </w:rPr>
        <w:t>、</w:t>
      </w:r>
      <w:r w:rsidR="000C23BF" w:rsidRPr="000C23BF">
        <w:rPr>
          <w:rFonts w:ascii="宋体" w:hAnsi="宋体" w:cs="宋体" w:hint="eastAsia"/>
          <w:kern w:val="0"/>
          <w:sz w:val="24"/>
          <w:szCs w:val="24"/>
        </w:rPr>
        <w:t>偕沣投资</w:t>
      </w:r>
      <w:r w:rsidR="00B0132E" w:rsidRPr="00B0132E">
        <w:rPr>
          <w:rFonts w:ascii="宋体" w:hAnsi="宋体" w:cs="宋体"/>
          <w:kern w:val="0"/>
          <w:sz w:val="24"/>
          <w:szCs w:val="24"/>
        </w:rPr>
        <w:t>、</w:t>
      </w:r>
      <w:r w:rsidR="000C23BF" w:rsidRPr="000C23BF">
        <w:rPr>
          <w:rFonts w:ascii="宋体" w:hAnsi="宋体" w:cs="宋体" w:hint="eastAsia"/>
          <w:kern w:val="0"/>
          <w:sz w:val="24"/>
          <w:szCs w:val="24"/>
        </w:rPr>
        <w:t>金鼎资本</w:t>
      </w:r>
      <w:r w:rsidR="00B0132E" w:rsidRPr="00B0132E">
        <w:rPr>
          <w:rFonts w:ascii="宋体" w:hAnsi="宋体" w:cs="宋体"/>
          <w:kern w:val="0"/>
          <w:sz w:val="24"/>
          <w:szCs w:val="24"/>
        </w:rPr>
        <w:t>、</w:t>
      </w:r>
      <w:r w:rsidR="000C23BF" w:rsidRPr="000C23BF">
        <w:rPr>
          <w:rFonts w:ascii="宋体" w:hAnsi="宋体" w:cs="宋体" w:hint="eastAsia"/>
          <w:kern w:val="0"/>
          <w:sz w:val="24"/>
          <w:szCs w:val="24"/>
        </w:rPr>
        <w:t>英菲尼迪资本</w:t>
      </w:r>
      <w:r w:rsidR="00B0132E" w:rsidRPr="00B0132E">
        <w:rPr>
          <w:rFonts w:ascii="宋体" w:hAnsi="宋体" w:cs="宋体"/>
          <w:kern w:val="0"/>
          <w:sz w:val="24"/>
          <w:szCs w:val="24"/>
        </w:rPr>
        <w:t>、</w:t>
      </w:r>
      <w:r w:rsidR="000C23BF" w:rsidRPr="000C23BF">
        <w:rPr>
          <w:rFonts w:ascii="宋体" w:hAnsi="宋体" w:cs="宋体" w:hint="eastAsia"/>
          <w:kern w:val="0"/>
          <w:sz w:val="24"/>
          <w:szCs w:val="24"/>
        </w:rPr>
        <w:t>甬兴资管</w:t>
      </w:r>
      <w:r w:rsidR="00B0132E" w:rsidRPr="00B0132E">
        <w:rPr>
          <w:rFonts w:ascii="宋体" w:hAnsi="宋体" w:cs="宋体"/>
          <w:kern w:val="0"/>
          <w:sz w:val="24"/>
          <w:szCs w:val="24"/>
        </w:rPr>
        <w:t>、</w:t>
      </w:r>
      <w:r w:rsidR="00BC6396">
        <w:rPr>
          <w:rFonts w:ascii="宋体" w:hAnsi="宋体" w:cs="宋体" w:hint="eastAsia"/>
          <w:kern w:val="0"/>
          <w:sz w:val="24"/>
          <w:szCs w:val="24"/>
        </w:rPr>
        <w:t>参与业绩说明会的投资者</w:t>
      </w:r>
    </w:p>
    <w:p w14:paraId="2BC40909" w14:textId="77777777" w:rsidR="00BC6396" w:rsidRDefault="00186984" w:rsidP="00BC6396">
      <w:pPr>
        <w:spacing w:line="360" w:lineRule="auto"/>
        <w:rPr>
          <w:rFonts w:ascii="宋体" w:hAnsi="宋体" w:cs="宋体"/>
          <w:b/>
          <w:bCs/>
          <w:kern w:val="0"/>
          <w:sz w:val="24"/>
          <w:szCs w:val="24"/>
        </w:rPr>
      </w:pPr>
      <w:r w:rsidRPr="00186984">
        <w:rPr>
          <w:rFonts w:ascii="宋体" w:hAnsi="宋体" w:cs="宋体" w:hint="eastAsia"/>
          <w:b/>
          <w:bCs/>
          <w:kern w:val="0"/>
          <w:sz w:val="24"/>
          <w:szCs w:val="24"/>
        </w:rPr>
        <w:t>接待人员：</w:t>
      </w:r>
    </w:p>
    <w:p w14:paraId="7254698D" w14:textId="6EC236FA" w:rsidR="00BC6396" w:rsidRPr="00BC6396" w:rsidRDefault="00BC6396" w:rsidP="00BC6396">
      <w:pPr>
        <w:spacing w:line="360" w:lineRule="auto"/>
        <w:rPr>
          <w:rFonts w:ascii="宋体" w:hAnsi="宋体" w:cs="宋体"/>
          <w:kern w:val="0"/>
          <w:sz w:val="24"/>
          <w:szCs w:val="24"/>
        </w:rPr>
      </w:pPr>
      <w:r w:rsidRPr="00BC6396">
        <w:rPr>
          <w:rFonts w:ascii="宋体" w:hAnsi="宋体" w:cs="宋体" w:hint="eastAsia"/>
          <w:kern w:val="0"/>
          <w:sz w:val="24"/>
          <w:szCs w:val="24"/>
        </w:rPr>
        <w:t>董事长、总经理徐久振；</w:t>
      </w:r>
    </w:p>
    <w:p w14:paraId="5BF49E2A" w14:textId="08AF827F" w:rsidR="00BC6396" w:rsidRPr="00BC6396" w:rsidRDefault="00BC6396" w:rsidP="00BC6396">
      <w:pPr>
        <w:spacing w:line="360" w:lineRule="auto"/>
        <w:rPr>
          <w:rFonts w:ascii="宋体" w:hAnsi="宋体" w:cs="宋体" w:hint="eastAsia"/>
          <w:kern w:val="0"/>
          <w:sz w:val="24"/>
          <w:szCs w:val="24"/>
        </w:rPr>
      </w:pPr>
      <w:r w:rsidRPr="00BC6396">
        <w:rPr>
          <w:rFonts w:ascii="宋体" w:hAnsi="宋体" w:cs="宋体"/>
          <w:kern w:val="0"/>
          <w:sz w:val="24"/>
          <w:szCs w:val="24"/>
        </w:rPr>
        <w:t>董事会秘书</w:t>
      </w:r>
      <w:r w:rsidRPr="00BC6396">
        <w:rPr>
          <w:rFonts w:ascii="宋体" w:hAnsi="宋体" w:cs="宋体" w:hint="eastAsia"/>
          <w:kern w:val="0"/>
          <w:sz w:val="24"/>
          <w:szCs w:val="24"/>
        </w:rPr>
        <w:t>、副总经理滕晶</w:t>
      </w:r>
      <w:r w:rsidRPr="00BC6396">
        <w:rPr>
          <w:rFonts w:ascii="宋体" w:hAnsi="宋体" w:cs="宋体"/>
          <w:kern w:val="0"/>
          <w:sz w:val="24"/>
          <w:szCs w:val="24"/>
        </w:rPr>
        <w:t>；</w:t>
      </w:r>
    </w:p>
    <w:p w14:paraId="7199B358" w14:textId="77777777" w:rsidR="00BC6396" w:rsidRPr="00BC6396" w:rsidRDefault="00BC6396" w:rsidP="00BC6396">
      <w:pPr>
        <w:spacing w:line="360" w:lineRule="auto"/>
        <w:rPr>
          <w:rFonts w:ascii="宋体" w:hAnsi="宋体" w:cs="宋体" w:hint="eastAsia"/>
          <w:kern w:val="0"/>
          <w:sz w:val="24"/>
          <w:szCs w:val="24"/>
        </w:rPr>
      </w:pPr>
      <w:r w:rsidRPr="00BC6396">
        <w:rPr>
          <w:rFonts w:ascii="宋体" w:hAnsi="宋体" w:cs="宋体" w:hint="eastAsia"/>
          <w:kern w:val="0"/>
          <w:sz w:val="24"/>
          <w:szCs w:val="24"/>
        </w:rPr>
        <w:t>董事、副总经理、财务总监顾玮彧；</w:t>
      </w:r>
    </w:p>
    <w:p w14:paraId="7EEDFA6E" w14:textId="04A63CC6" w:rsidR="00663158" w:rsidRPr="00BC6396" w:rsidRDefault="00BC6396" w:rsidP="00BC6396">
      <w:pPr>
        <w:spacing w:line="360" w:lineRule="auto"/>
        <w:rPr>
          <w:rFonts w:ascii="宋体" w:hAnsi="宋体" w:cs="Times New Roman" w:hint="eastAsia"/>
          <w:sz w:val="24"/>
          <w:szCs w:val="24"/>
        </w:rPr>
      </w:pPr>
      <w:r w:rsidRPr="00BC6396">
        <w:rPr>
          <w:rFonts w:ascii="宋体" w:hAnsi="宋体" w:cs="宋体" w:hint="eastAsia"/>
          <w:kern w:val="0"/>
          <w:sz w:val="24"/>
          <w:szCs w:val="24"/>
        </w:rPr>
        <w:t>独立董事马如适。</w:t>
      </w:r>
    </w:p>
    <w:p w14:paraId="7CF7BAB4" w14:textId="7AB131EB" w:rsidR="00186984" w:rsidRPr="00BB1FC1" w:rsidRDefault="00186984" w:rsidP="00186984">
      <w:pPr>
        <w:widowControl/>
        <w:spacing w:line="480" w:lineRule="auto"/>
        <w:rPr>
          <w:rFonts w:ascii="宋体" w:hAnsi="宋体" w:cs="宋体" w:hint="eastAsia"/>
          <w:b/>
          <w:bCs/>
          <w:kern w:val="0"/>
          <w:sz w:val="24"/>
          <w:szCs w:val="24"/>
        </w:rPr>
      </w:pPr>
      <w:r w:rsidRPr="00186984">
        <w:rPr>
          <w:rFonts w:ascii="宋体" w:hAnsi="宋体" w:cs="宋体" w:hint="eastAsia"/>
          <w:b/>
          <w:bCs/>
          <w:kern w:val="0"/>
          <w:sz w:val="24"/>
          <w:szCs w:val="24"/>
        </w:rPr>
        <w:t>二、调研纪要</w:t>
      </w:r>
    </w:p>
    <w:p w14:paraId="21BE9D8E" w14:textId="58732345" w:rsidR="00D574A9" w:rsidRPr="008C408B" w:rsidRDefault="00D574A9" w:rsidP="00D574A9">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请介绍一下公司上半年业绩情况</w:t>
      </w:r>
      <w:r w:rsidRPr="00A31F39">
        <w:rPr>
          <w:rFonts w:ascii="宋体" w:hAnsi="宋体" w:cs="宋体" w:hint="eastAsia"/>
          <w:b/>
          <w:bCs/>
          <w:kern w:val="0"/>
          <w:sz w:val="24"/>
          <w:szCs w:val="24"/>
        </w:rPr>
        <w:t>？</w:t>
      </w:r>
    </w:p>
    <w:p w14:paraId="28AF1838" w14:textId="346BBD26" w:rsidR="00D574A9" w:rsidRDefault="00D574A9" w:rsidP="00A47AEF">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kern w:val="0"/>
          <w:sz w:val="24"/>
          <w:szCs w:val="24"/>
        </w:rPr>
        <w:t>公司2026年上半年实现营业收入37,113.81万元，同比增长34.80%；公司科研试剂与实验耗材业务实现营业收入3.14亿元，同比增长13.95%。2026年上半年，下游行业需求持续回暖，市场需求提升，行业景气度上行，带动公司主要产品订单规模增长；同时，源叶生物并表已满两年，在生化试剂、小分子抑制剂和标准品等领域的补强效应充分显现，与公司原有产品体系形成持续协同；此外，</w:t>
      </w:r>
      <w:r w:rsidR="00EA4C1E" w:rsidRPr="00EA4C1E">
        <w:rPr>
          <w:rFonts w:ascii="宋体" w:hAnsi="宋体" w:cs="Times New Roman"/>
          <w:kern w:val="0"/>
          <w:sz w:val="24"/>
          <w:szCs w:val="24"/>
        </w:rPr>
        <w:lastRenderedPageBreak/>
        <w:t>喀斯玛控股及其下属公司自2025年9月并表后，2026年上半年贡献收入5,350.29万元</w:t>
      </w:r>
      <w:r w:rsidR="00850823">
        <w:rPr>
          <w:rFonts w:ascii="宋体" w:hAnsi="宋体" w:cs="Times New Roman" w:hint="eastAsia"/>
          <w:kern w:val="0"/>
          <w:sz w:val="24"/>
          <w:szCs w:val="24"/>
        </w:rPr>
        <w:t>。</w:t>
      </w:r>
    </w:p>
    <w:p w14:paraId="5D3F02A2" w14:textId="7BDB681F" w:rsidR="007F7246" w:rsidRPr="008C408B" w:rsidRDefault="007F7246" w:rsidP="007F7246">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后续公司外延并购规划是怎样的</w:t>
      </w:r>
      <w:r w:rsidRPr="00A31F39">
        <w:rPr>
          <w:rFonts w:ascii="宋体" w:hAnsi="宋体" w:cs="宋体" w:hint="eastAsia"/>
          <w:b/>
          <w:bCs/>
          <w:kern w:val="0"/>
          <w:sz w:val="24"/>
          <w:szCs w:val="24"/>
        </w:rPr>
        <w:t>？</w:t>
      </w:r>
    </w:p>
    <w:p w14:paraId="1C692163" w14:textId="77777777" w:rsidR="00EA4C1E" w:rsidRPr="00EA4C1E" w:rsidRDefault="007F7246" w:rsidP="00EA4C1E">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hint="eastAsia"/>
          <w:kern w:val="0"/>
          <w:sz w:val="24"/>
          <w:szCs w:val="24"/>
        </w:rPr>
        <w:t>公司长期坚持“内生研发+外延整合”双轮驱动的发展战略。源叶生物的并入有效补充丰富了公司生化试剂产品线，丰富了自主品牌的产品矩阵；喀斯玛商城作为国内领先的科研电商综合服务平台，保持独立运营并持续为全行业提供公正、透明的采购服务；参股雅酶生物与佑科仪器，则布局了蛋白免疫印迹方向与实验室分析仪器等细分领域，为公司未来品类延伸和业务协同奠定了基础。上述战略布局推动公司逐步成为覆盖全品类科学试剂及实验室仪器、耗材的一站式科研服务综合平台，公司的品类广度、渠道深度与行业综合竞争力均迈上了新台阶。</w:t>
      </w:r>
    </w:p>
    <w:p w14:paraId="1A672846" w14:textId="0832828C" w:rsidR="007F7246" w:rsidRPr="00C3491C" w:rsidRDefault="00EA4C1E" w:rsidP="00EA4C1E">
      <w:pPr>
        <w:widowControl/>
        <w:spacing w:line="360" w:lineRule="auto"/>
        <w:ind w:firstLine="420"/>
        <w:rPr>
          <w:rFonts w:ascii="宋体" w:eastAsia="宋体" w:hAnsi="宋体" w:cs="Segoe UI" w:hint="eastAsia"/>
          <w:color w:val="0F1115"/>
          <w:kern w:val="0"/>
          <w:sz w:val="24"/>
          <w:szCs w:val="24"/>
        </w:rPr>
      </w:pPr>
      <w:r w:rsidRPr="00EA4C1E">
        <w:rPr>
          <w:rFonts w:ascii="宋体" w:hAnsi="宋体" w:cs="Times New Roman" w:hint="eastAsia"/>
          <w:kern w:val="0"/>
          <w:sz w:val="24"/>
          <w:szCs w:val="24"/>
        </w:rPr>
        <w:t>公司持续推进对既有标的的整合与赋能，围绕控股及参股公司进一步强化投后管理，持续完善治理机制、经营协同和资源整合，推动各标的在战略执行、业务拓展、运营提效等方面稳步提升。依托前期并购形成的产业布局，公司不断深化内生增长与外延拓展的协同效应，一方面挖掘现有业务潜力，提升经营质量和发展韧性；另一方面结合行业趋势和战略方向，持续关注并审慎筛选与公司主业具有协同价值的新标的，积极开展调研、论证和储备，为公司未来持续增长奠定基础</w:t>
      </w:r>
      <w:r w:rsidR="00C3491C">
        <w:rPr>
          <w:rFonts w:ascii="宋体" w:hAnsi="宋体" w:cs="Times New Roman" w:hint="eastAsia"/>
          <w:kern w:val="0"/>
          <w:sz w:val="24"/>
          <w:szCs w:val="24"/>
        </w:rPr>
        <w:t>。</w:t>
      </w:r>
    </w:p>
    <w:p w14:paraId="33064144" w14:textId="33D672E3" w:rsidR="008B0A3C" w:rsidRPr="008C408B" w:rsidRDefault="008B0A3C" w:rsidP="008B0A3C">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海外市场可以怎样展望</w:t>
      </w:r>
      <w:r w:rsidRPr="00A31F39">
        <w:rPr>
          <w:rFonts w:ascii="宋体" w:hAnsi="宋体" w:cs="宋体" w:hint="eastAsia"/>
          <w:b/>
          <w:bCs/>
          <w:kern w:val="0"/>
          <w:sz w:val="24"/>
          <w:szCs w:val="24"/>
        </w:rPr>
        <w:t>？</w:t>
      </w:r>
    </w:p>
    <w:p w14:paraId="344D7B8B" w14:textId="0A4BD296" w:rsidR="00030194" w:rsidRPr="00030194" w:rsidRDefault="008B0A3C" w:rsidP="00030194">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kern w:val="0"/>
          <w:sz w:val="24"/>
          <w:szCs w:val="24"/>
        </w:rPr>
        <w:t>在业务布局方面，公司加快海外市场拓展的步伐，推进阿拉丁美国区域常态化运营，加快德国子公司筹备工作，逐步完善全球化布局。公司在北美市场的业务稳步推进。在欧洲市场，公司已初步完成德国仓储与配送节点的前期布局，本地化交付能力初步建立，后续将以此为支点逐步开拓欧洲客户。国际业务虽在整体营收中占比仍较小，但有助于公司品牌溢价的逐步建立，为公司中长期成长打开了可观的增量空间</w:t>
      </w:r>
      <w:r w:rsidR="00030194" w:rsidRPr="00030194">
        <w:rPr>
          <w:rFonts w:ascii="宋体" w:hAnsi="宋体" w:cs="Times New Roman" w:hint="eastAsia"/>
          <w:kern w:val="0"/>
          <w:sz w:val="24"/>
          <w:szCs w:val="24"/>
        </w:rPr>
        <w:t>。</w:t>
      </w:r>
    </w:p>
    <w:p w14:paraId="149C6783" w14:textId="6D894622" w:rsidR="00A4763C" w:rsidRPr="008C408B" w:rsidRDefault="00A4763C" w:rsidP="00A4763C">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上半年在生化试剂、小分子抑制剂等品类上的收入贡献情况如何？</w:t>
      </w:r>
    </w:p>
    <w:p w14:paraId="4F3BD379" w14:textId="61F90537" w:rsidR="00A4763C" w:rsidRDefault="00A4763C" w:rsidP="00CE3A20">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kern w:val="0"/>
          <w:sz w:val="24"/>
          <w:szCs w:val="24"/>
        </w:rPr>
        <w:t>尊敬的投资者：您好！2026年上半年，公司科研试剂与实验耗材业务实现营业收入3.14亿元，同比增长13.95%。公司控股子公司源叶生物的生化试剂、小分子抑制剂产品线，有效丰富了公司整体产品矩阵，提升公司在生命科学、药物研发相关科研试剂领域的供给能力，对公司科研试剂板块收入增长形成有力支撑。</w:t>
      </w:r>
      <w:r w:rsidR="00EA4C1E" w:rsidRPr="00EA4C1E">
        <w:rPr>
          <w:rFonts w:ascii="宋体" w:hAnsi="宋体" w:cs="Times New Roman"/>
          <w:kern w:val="0"/>
          <w:sz w:val="24"/>
          <w:szCs w:val="24"/>
        </w:rPr>
        <w:lastRenderedPageBreak/>
        <w:t>源叶生物上半年实现营业收入8,364.08万元。公司未统计合并口径下生化试剂、小分子抑制剂的销售收入。感谢您对公司的关注。</w:t>
      </w:r>
    </w:p>
    <w:p w14:paraId="452C9C5A" w14:textId="2AD518D0" w:rsidR="00A4763C" w:rsidRPr="008C408B" w:rsidRDefault="00A4763C" w:rsidP="00A4763C">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目前与阿拉丁自营电商平台的协同具体体现在哪些方面？</w:t>
      </w:r>
    </w:p>
    <w:p w14:paraId="5B7708E7" w14:textId="5E219096" w:rsidR="00A4763C" w:rsidRPr="00C3491C" w:rsidRDefault="00A4763C" w:rsidP="00CE3A20">
      <w:pPr>
        <w:widowControl/>
        <w:spacing w:line="360" w:lineRule="auto"/>
        <w:rPr>
          <w:rFonts w:ascii="宋体" w:eastAsia="宋体" w:hAnsi="宋体" w:cs="Segoe UI" w:hint="eastAsia"/>
          <w:color w:val="0F1115"/>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kern w:val="0"/>
          <w:sz w:val="24"/>
          <w:szCs w:val="24"/>
        </w:rPr>
        <w:t>尊敬的投资者：您好！公司自建电商平台与喀斯玛商城构成了“自有品牌直销+第三方平台服务”的双平台协同格局。自建平台聚焦自主品牌产品的线上直销，是公司产品竞争力与客户服务能力的直接载体；喀斯玛商城作为独立运营的第三方科研采购平台，为行业提供公开透明的交易服务。双平台定位互补，使公司在品类规划、客户触达及市场趋势判断上兼具“品牌商”的专业深度与“平台商”的渠道广度，形成了行业内独特的竞争优势。同时，公司控股子公司源叶生物并表已满两年，其在生化试剂、小分子抑制剂和标准品等领域的成熟产品线，与公司原有产品体系形成深度互补，相关品类的补强效应充分显现。感谢您对公司的关注。</w:t>
      </w:r>
    </w:p>
    <w:p w14:paraId="009D6874" w14:textId="78CF06F2" w:rsidR="00A4763C" w:rsidRPr="008C408B" w:rsidRDefault="00A4763C" w:rsidP="00A4763C">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欧洲市场预计何时能开始贡献规模化收入？</w:t>
      </w:r>
    </w:p>
    <w:p w14:paraId="31BCD826" w14:textId="6C1E63E8" w:rsidR="00A4763C" w:rsidRDefault="00A4763C" w:rsidP="00A4763C">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kern w:val="0"/>
          <w:sz w:val="24"/>
          <w:szCs w:val="24"/>
        </w:rPr>
        <w:t>尊敬的投资者：您好！在欧洲市场，公司已初步完成德国仓储与配送节点的前期布局，本地化交付能力初步建立。科研试剂海外市场拓展受客户认证、品类适配、市场推广、供应链建设等多重因素影响，规模化收入释放需要一定周期。公司将以德国仓储节点为支点持续开拓欧洲客户，逐步提升欧洲市场销售规模。现阶段海外业务整体收入占公司营收比重仍然较低，请投资者理性看待海外拓展节奏，相关进展请以公司后续公开披露信息为准。谢谢！</w:t>
      </w:r>
    </w:p>
    <w:p w14:paraId="4F490A86" w14:textId="4B8C0198" w:rsidR="00A4763C" w:rsidRPr="008C408B" w:rsidRDefault="00A4763C" w:rsidP="00A4763C">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你好，请问年初的小额快速通道定增目前进度进展如何？</w:t>
      </w:r>
    </w:p>
    <w:p w14:paraId="40258C06" w14:textId="685EFBF0" w:rsidR="00A4763C" w:rsidRDefault="00A4763C" w:rsidP="00CE3A20">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kern w:val="0"/>
          <w:sz w:val="24"/>
          <w:szCs w:val="24"/>
        </w:rPr>
        <w:t>尊敬的投资者：您好！公司简易程序向特定对象发行股票事项，已由2025年年度股东会审议通过，授权有效期至2026年年度股东会召开之日。截至目前，公司尚未启动本次简易程序的申报、发行工作。后续如有相关进展，公司将严格按照监管要求及时履行信息披露义务，请投资者以公司发布的公告为准。感谢您对公司的关注。</w:t>
      </w:r>
    </w:p>
    <w:p w14:paraId="038D2A1C" w14:textId="0547C983" w:rsidR="00A4763C" w:rsidRPr="008C408B" w:rsidRDefault="00A4763C" w:rsidP="00A4763C">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董秘你好，作为阿拉丁曾经的保荐人想必你对阿拉丁非常熟悉和了解，请问阿拉丁未来几年市场占有率如何？整个试剂行业市场容量如何？</w:t>
      </w:r>
    </w:p>
    <w:p w14:paraId="36C9BADA" w14:textId="263226AB" w:rsidR="00EA4C1E" w:rsidRPr="00EA4C1E" w:rsidRDefault="00A4763C" w:rsidP="00EA4C1E">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hint="eastAsia"/>
          <w:kern w:val="0"/>
          <w:sz w:val="24"/>
          <w:szCs w:val="24"/>
        </w:rPr>
        <w:t>尊敬的投资者：您好，国内科研试剂行业格局正由外资企业绝对垄断向相对垄断过渡，国产替代持续推进。近几年国内研发经费投入保持稳健增长，基础研</w:t>
      </w:r>
      <w:r w:rsidR="00EA4C1E" w:rsidRPr="00EA4C1E">
        <w:rPr>
          <w:rFonts w:ascii="宋体" w:hAnsi="宋体" w:cs="Times New Roman" w:hint="eastAsia"/>
          <w:kern w:val="0"/>
          <w:sz w:val="24"/>
          <w:szCs w:val="24"/>
        </w:rPr>
        <w:lastRenderedPageBreak/>
        <w:t>究投入持续提升。随着产品性能不断优化，公司在产品一致性、稳定性等方面持续提升，不断缩小与国际巨头的竞争差异，同时公司通过收购源叶生物、喀斯玛等公司，行业地位稳步提升。但目前公司市场占有率依然偏低，未来公司将依托丰富的产品矩阵、优秀的产品质量及品牌优势，持续把握国产替代机遇，争取提升市场份额。</w:t>
      </w:r>
    </w:p>
    <w:p w14:paraId="59953403" w14:textId="49358B69" w:rsidR="00A4763C"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关于试剂行业市场容量，根据上海市科委《上海市促进科学仪器和科研试剂创新发展行动方案（2025-2027年）》，到2027年上海地区科学仪器、科研试剂产业产值预计450亿元左右；全国范围内科研试剂相关产业规模超过千亿元，此外，海外市场的开拓将进一步打开国产科研试剂的市场空间。科研试剂作为科技创新的基础支撑，行业长期成长空间良好。谢谢！</w:t>
      </w:r>
    </w:p>
    <w:p w14:paraId="2B022843" w14:textId="152A9F5A" w:rsidR="0093066F" w:rsidRPr="008C408B" w:rsidRDefault="0093066F" w:rsidP="0093066F">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请问今年以来，尤其是下半年和未来两年科研单位，高校的资本开支情况如何？对我们主营业务需求量有没有明显的增加？</w:t>
      </w:r>
    </w:p>
    <w:p w14:paraId="0E619322" w14:textId="477BFBD8" w:rsidR="00EA4C1E" w:rsidRPr="00EA4C1E" w:rsidRDefault="0093066F" w:rsidP="00EA4C1E">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hint="eastAsia"/>
          <w:kern w:val="0"/>
          <w:sz w:val="24"/>
          <w:szCs w:val="24"/>
        </w:rPr>
        <w:t>尊敬的投资者：您好！近年来，我国研究与试验发展（R&amp;D）经费投入保持稳健增长，投入强度较快提升，基础研究投入取得新突破，国家财政科技支出稳步增加。基础研究、应用研究及试验发展的强劲需求为科研服务行业的健康发展提供了有力的支撑。</w:t>
      </w:r>
    </w:p>
    <w:p w14:paraId="50564B41" w14:textId="77777777" w:rsidR="00EA4C1E" w:rsidRP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从宏观层面看，国家持续推动科技自立自强，基础研究投入稳步提升。国家层面持续加大对基础研究的支持力度，未来两年科研投入具备长期支撑。高校研究生规模持续扩张，也会持续带动基础科研需求。</w:t>
      </w:r>
    </w:p>
    <w:p w14:paraId="1991D688" w14:textId="77777777" w:rsidR="00EA4C1E" w:rsidRP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从公司经营层面看，高校、科研院所是公司核心客户群体之一，这类客户的采购一般存在季节性特征，第四季度为传统旺季。随着国产替代持续推进，公司产品矩阵不断丰富，叠加喀斯玛平台覆盖科研院所的采购场景，有利于公司持续挖掘高校与科研院所客户需求。感谢您对公司的关注。</w:t>
      </w:r>
    </w:p>
    <w:p w14:paraId="52A85690" w14:textId="565612C5" w:rsidR="0093066F" w:rsidRPr="008C408B" w:rsidRDefault="0093066F" w:rsidP="0093066F">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请问阿拉丁在主营业务稳定基本盘的同时有没有第二业绩增长曲线？</w:t>
      </w:r>
    </w:p>
    <w:p w14:paraId="3D044D40" w14:textId="7D5931E1" w:rsidR="00EA4C1E" w:rsidRPr="00EA4C1E" w:rsidRDefault="0093066F" w:rsidP="00EA4C1E">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hint="eastAsia"/>
          <w:kern w:val="0"/>
          <w:sz w:val="24"/>
          <w:szCs w:val="24"/>
        </w:rPr>
        <w:t>尊敬的投资者：您好！公司将自主品牌科研试剂业务作为基本盘，除化学试剂外，生物试剂品类日益齐备，持续夯实内生增长能力，同时坚持“内生研发+外延整合”双轮驱动战略，打造新的增长来源。</w:t>
      </w:r>
    </w:p>
    <w:p w14:paraId="6914710E" w14:textId="77777777" w:rsidR="00EA4C1E" w:rsidRP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在生物试剂</w:t>
      </w:r>
      <w:proofErr w:type="gramStart"/>
      <w:r w:rsidRPr="00EA4C1E">
        <w:rPr>
          <w:rFonts w:ascii="宋体" w:hAnsi="宋体" w:cs="Times New Roman" w:hint="eastAsia"/>
          <w:kern w:val="0"/>
          <w:sz w:val="24"/>
          <w:szCs w:val="24"/>
        </w:rPr>
        <w:t>方面,</w:t>
      </w:r>
      <w:proofErr w:type="gramEnd"/>
      <w:r w:rsidRPr="00EA4C1E">
        <w:rPr>
          <w:rFonts w:ascii="宋体" w:hAnsi="宋体" w:cs="Times New Roman" w:hint="eastAsia"/>
          <w:kern w:val="0"/>
          <w:sz w:val="24"/>
          <w:szCs w:val="24"/>
        </w:rPr>
        <w:t>公司的产品聚焦于细胞培养与分析检测、蛋白纯化与分析、分子生物学、重组蛋白、天然蛋白、抗体及药靶配体等领域。截至目前，公司抗</w:t>
      </w:r>
      <w:r w:rsidRPr="00EA4C1E">
        <w:rPr>
          <w:rFonts w:ascii="宋体" w:hAnsi="宋体" w:cs="Times New Roman" w:hint="eastAsia"/>
          <w:kern w:val="0"/>
          <w:sz w:val="24"/>
          <w:szCs w:val="24"/>
        </w:rPr>
        <w:lastRenderedPageBreak/>
        <w:t>体、蛋白、试剂盒等生物试剂产品种类丰富，总数已达2万余种。公司控股子公司源叶生物则聚焦小分子化合物，包括信号通路抑制剂、天然产物、FDA获批药物库、片段库等化合物库及高通量筛选耗材。两家公司的产品矩阵几乎覆盖并贯穿湿实验全流程所需的所有品类——从蛋白表达纯化与分析、细胞培养与功能分析，到小分子高通量筛选验证，再到DNA与RNA分析测试，提供从分子到蛋白再到细胞的全方位配套试剂与解决方案。</w:t>
      </w:r>
    </w:p>
    <w:p w14:paraId="4E0DC1BA" w14:textId="0E2368E9" w:rsidR="00585C26"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海外市场方面，美国业务已经实现常态化运营，德国仓储节点持续推进本地化交付，海外业务也是公司重点拓展的增长方向。此外，公司参股雅酶生物、佑科仪器，布局蛋白免疫印迹产品与实验室分析仪器领域，为品类延伸打下基础。谢谢！</w:t>
      </w:r>
    </w:p>
    <w:p w14:paraId="35285995" w14:textId="21095ED3" w:rsidR="0093066F" w:rsidRPr="008C408B" w:rsidRDefault="0093066F" w:rsidP="0093066F">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00EA4C1E" w:rsidRPr="00EA4C1E">
        <w:rPr>
          <w:rFonts w:ascii="宋体" w:hAnsi="宋体" w:cs="宋体"/>
          <w:b/>
          <w:bCs/>
          <w:kern w:val="0"/>
          <w:sz w:val="24"/>
          <w:szCs w:val="24"/>
        </w:rPr>
        <w:t>请问阿拉丁在国内有没有锚定的对标公司？在国际上有没有锚定的对标公司？跟国内和国际上相比，我们的差距有多大？主要差距在哪里？</w:t>
      </w:r>
    </w:p>
    <w:p w14:paraId="5A31516D" w14:textId="79B637C0" w:rsidR="00EA4C1E" w:rsidRPr="00EA4C1E" w:rsidRDefault="0093066F" w:rsidP="00EA4C1E">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00EA4C1E" w:rsidRPr="00EA4C1E">
        <w:rPr>
          <w:rFonts w:ascii="宋体" w:hAnsi="宋体" w:cs="Times New Roman" w:hint="eastAsia"/>
          <w:kern w:val="0"/>
          <w:sz w:val="24"/>
          <w:szCs w:val="24"/>
        </w:rPr>
        <w:t>尊敬的投资者：您好！公司没有设定单一锚定对标企业。在国内，行业可比公司包括泰坦科技、百普赛斯、毕得医药、诺唯赞等，但各家的商业模式、产品结构存在差异。</w:t>
      </w:r>
    </w:p>
    <w:p w14:paraId="310DAEB8" w14:textId="77777777" w:rsidR="00EA4C1E" w:rsidRP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国际层面，行业内的国际龙头主要为德国默克、丹纳赫、赛默飞等企业。公司质量控制体系对标国际先进标准。和国际龙头相比，差距并不主要体现在单一产品性能上，更多体现在国外庞大产品矩阵、强大的品牌影响力和全球化布局等方面。国际巨头，经过数十年并购整合，形成了覆盖“试剂+耗材+仪器+服务”的全品类一站式能力，是国际化的平台型综合服务商。</w:t>
      </w:r>
    </w:p>
    <w:p w14:paraId="74F4A6CD" w14:textId="77777777" w:rsidR="00EA4C1E" w:rsidRP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近年来，公司通过控股并购源叶生物与喀斯玛、战略参股雅酶生物与佑科仪器等公司，系统性推进“内生研发+外延整合”的双轮驱动战略。上述战略布局推动公司逐步成为覆盖全品类科学试剂及实验室仪器、耗材的一站式科研服务综合平台，公司的品类广度、渠道深度迈上了新台阶。</w:t>
      </w:r>
    </w:p>
    <w:p w14:paraId="6801830A" w14:textId="3DB23C0B" w:rsidR="0093066F" w:rsidRDefault="00EA4C1E" w:rsidP="0008059C">
      <w:pPr>
        <w:widowControl/>
        <w:spacing w:line="360" w:lineRule="auto"/>
        <w:ind w:left="420" w:firstLine="420"/>
        <w:rPr>
          <w:rFonts w:ascii="宋体" w:hAnsi="宋体" w:cs="Times New Roman"/>
          <w:kern w:val="0"/>
          <w:sz w:val="24"/>
          <w:szCs w:val="24"/>
        </w:rPr>
      </w:pPr>
      <w:r w:rsidRPr="00EA4C1E">
        <w:rPr>
          <w:rFonts w:ascii="宋体" w:hAnsi="宋体" w:cs="Times New Roman" w:hint="eastAsia"/>
          <w:kern w:val="0"/>
          <w:sz w:val="24"/>
          <w:szCs w:val="24"/>
        </w:rPr>
        <w:t>未来，公司将通过持续研发投入、工艺优化和品类拓展、海外市场的开拓，逐步缩小与国际龙头之间的差距，持续提升综合竞争力。谢谢！</w:t>
      </w:r>
    </w:p>
    <w:p w14:paraId="02679DD3" w14:textId="50C8761B" w:rsidR="00EA4C1E" w:rsidRPr="008C408B" w:rsidRDefault="00EA4C1E" w:rsidP="00EA4C1E">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Pr="00EA4C1E">
        <w:rPr>
          <w:rFonts w:ascii="宋体" w:hAnsi="宋体" w:cs="宋体"/>
          <w:b/>
          <w:bCs/>
          <w:kern w:val="0"/>
          <w:sz w:val="24"/>
          <w:szCs w:val="24"/>
        </w:rPr>
        <w:t>请问阿拉丁的主营业务中哪一块收入占比最大，哪一块业绩弹性最大？</w:t>
      </w:r>
    </w:p>
    <w:p w14:paraId="5C1E5582" w14:textId="55F9BD2B" w:rsidR="00EA4C1E" w:rsidRPr="00C3491C" w:rsidRDefault="00EA4C1E" w:rsidP="00EA4C1E">
      <w:pPr>
        <w:widowControl/>
        <w:spacing w:line="360" w:lineRule="auto"/>
        <w:rPr>
          <w:rFonts w:ascii="宋体" w:eastAsia="宋体" w:hAnsi="宋体" w:cs="Segoe UI" w:hint="eastAsia"/>
          <w:color w:val="0F1115"/>
          <w:kern w:val="0"/>
          <w:sz w:val="24"/>
          <w:szCs w:val="24"/>
        </w:rPr>
      </w:pPr>
      <w:r w:rsidRPr="008C408B">
        <w:rPr>
          <w:rFonts w:ascii="宋体" w:hAnsi="宋体" w:cs="Times New Roman" w:hint="eastAsia"/>
          <w:kern w:val="0"/>
          <w:sz w:val="24"/>
          <w:szCs w:val="24"/>
        </w:rPr>
        <w:t>A：</w:t>
      </w:r>
      <w:r w:rsidRPr="00EA4C1E">
        <w:rPr>
          <w:rFonts w:ascii="宋体" w:hAnsi="宋体" w:cs="Times New Roman"/>
          <w:kern w:val="0"/>
          <w:sz w:val="24"/>
          <w:szCs w:val="24"/>
        </w:rPr>
        <w:t>尊敬的投资者：您好！从收入结构来看，科研试剂与实验耗材业务是公司收入占比最大的板块，是公司主营业务的基本盘。从业务属性来看，生命科学相关</w:t>
      </w:r>
      <w:r w:rsidRPr="00EA4C1E">
        <w:rPr>
          <w:rFonts w:ascii="宋体" w:hAnsi="宋体" w:cs="Times New Roman"/>
          <w:kern w:val="0"/>
          <w:sz w:val="24"/>
          <w:szCs w:val="24"/>
        </w:rPr>
        <w:lastRenderedPageBreak/>
        <w:t>试剂、高附加值新品以及海外市场业务具备较大的成长空间，随着国产替代持续推进、海外本地化仓储和客户认证逐步落地，有望带来业绩增量。感谢您对公司的关注。</w:t>
      </w:r>
    </w:p>
    <w:p w14:paraId="12C33C5D" w14:textId="52EA6276" w:rsidR="00EA4C1E" w:rsidRPr="008C408B" w:rsidRDefault="00EA4C1E" w:rsidP="00EA4C1E">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Pr="00EA4C1E">
        <w:rPr>
          <w:rFonts w:ascii="宋体" w:hAnsi="宋体" w:cs="宋体"/>
          <w:b/>
          <w:bCs/>
          <w:kern w:val="0"/>
          <w:sz w:val="24"/>
          <w:szCs w:val="24"/>
        </w:rPr>
        <w:t>请问关于国产替代这一块有没有国家层面的替代时间表，各行业对国产替代是怎么一个看法？替代的空间有多大？替换的难度有多大？未来三年我们有没有预计替代的一个比例？</w:t>
      </w:r>
    </w:p>
    <w:p w14:paraId="70F95189" w14:textId="317686DA" w:rsidR="00EA4C1E" w:rsidRPr="00EA4C1E" w:rsidRDefault="00EA4C1E" w:rsidP="00EA4C1E">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Pr="00EA4C1E">
        <w:rPr>
          <w:rFonts w:ascii="宋体" w:hAnsi="宋体" w:cs="Times New Roman" w:hint="eastAsia"/>
          <w:kern w:val="0"/>
          <w:sz w:val="24"/>
          <w:szCs w:val="24"/>
        </w:rPr>
        <w:t>尊敬的投资者：您好！现阶段，国家持续出台政策鼓励科研试剂、科学仪器领域自主创新，推动产业高质量发展，相关政策更多是营造产业生态、支持企业技术攻关。</w:t>
      </w:r>
    </w:p>
    <w:p w14:paraId="27B9F4AD" w14:textId="77777777" w:rsidR="00EA4C1E" w:rsidRP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从下游各行业的看法来看，高校、科研院所、企业端的研发客户，一方面重视产品质量、批次稳定性与实验重现性；另一方面也越来越重视供应链安全，愿意逐步引入国产试剂开展验证，国产替代由低端品类逐步向高端试剂品类突破。</w:t>
      </w:r>
    </w:p>
    <w:p w14:paraId="23EC46B9" w14:textId="77777777" w:rsidR="00EA4C1E" w:rsidRP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关于替代空间，科研试剂整体市场空间广阔，目前高端科研试剂仍以进口品牌为主，国产替代空间较大。在政策支持、本土产品品质持续提升以及客户供应链多元化诉求三重因素驱动下，高端试剂领域外资份额有望逐步下降，行业也将加速整合。</w:t>
      </w:r>
    </w:p>
    <w:p w14:paraId="3A61F1B0" w14:textId="77777777" w:rsidR="00EA4C1E" w:rsidRP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替换难度方面，科研试剂行业客户黏性较强，科研人员一旦建立成熟实验方案，更换试剂品牌需要重新开展方法学验证，替换成本较高。同时，和国际龙头相比，国内企业的差距并不单纯是单一产品性能，更多体现国外庞大产品矩阵、强大的品牌影响力和全球化布局等方面，这些能力需要长期持续投入和时间沉淀。</w:t>
      </w:r>
    </w:p>
    <w:p w14:paraId="66EF87FC" w14:textId="53B06744" w:rsidR="00EA4C1E" w:rsidRDefault="00EA4C1E" w:rsidP="0008059C">
      <w:pPr>
        <w:widowControl/>
        <w:spacing w:line="360" w:lineRule="auto"/>
        <w:ind w:firstLine="420"/>
        <w:rPr>
          <w:rFonts w:ascii="宋体" w:hAnsi="宋体" w:cs="Times New Roman" w:hint="eastAsia"/>
          <w:kern w:val="0"/>
          <w:sz w:val="24"/>
          <w:szCs w:val="24"/>
        </w:rPr>
      </w:pPr>
      <w:r w:rsidRPr="00EA4C1E">
        <w:rPr>
          <w:rFonts w:ascii="宋体" w:hAnsi="宋体" w:cs="Times New Roman" w:hint="eastAsia"/>
          <w:kern w:val="0"/>
          <w:sz w:val="24"/>
          <w:szCs w:val="24"/>
        </w:rPr>
        <w:t>对于未来三年国产替代比例，公司无法给出量化预测。国产替代推进节奏受下游客户验证进度、产品技术攻关、市场竞争等多重因素影响，存在不确定性。公司将持续加大研发投入，丰富产品矩阵，优化质控体系，把握国产替代带来的行业机遇。谢谢！</w:t>
      </w:r>
    </w:p>
    <w:p w14:paraId="0E40C456" w14:textId="001D5310" w:rsidR="00EA4C1E" w:rsidRPr="008C408B" w:rsidRDefault="00EA4C1E" w:rsidP="00EA4C1E">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Pr="00EA4C1E">
        <w:rPr>
          <w:rFonts w:ascii="宋体" w:hAnsi="宋体" w:cs="宋体"/>
          <w:b/>
          <w:bCs/>
          <w:kern w:val="0"/>
          <w:sz w:val="24"/>
          <w:szCs w:val="24"/>
        </w:rPr>
        <w:t>我看公司每年在研发投入上占比都保持两位数增长。请问目前我们的研发费用是费用化还是资本化？</w:t>
      </w:r>
    </w:p>
    <w:p w14:paraId="65B8DF65" w14:textId="494FCE20" w:rsidR="00EA4C1E" w:rsidRDefault="00EA4C1E" w:rsidP="00EA4C1E">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Pr="00EA4C1E">
        <w:rPr>
          <w:rFonts w:ascii="宋体" w:hAnsi="宋体" w:cs="Times New Roman"/>
          <w:kern w:val="0"/>
          <w:sz w:val="24"/>
          <w:szCs w:val="24"/>
        </w:rPr>
        <w:t>尊敬的投资者：您好！公司研发支出在发生时全部进行费用化处理，不存在研发支出资本化的情形。公司持续保持较高的研发投入，不断扩充产品品类、优</w:t>
      </w:r>
      <w:r w:rsidRPr="00EA4C1E">
        <w:rPr>
          <w:rFonts w:ascii="宋体" w:hAnsi="宋体" w:cs="Times New Roman"/>
          <w:kern w:val="0"/>
          <w:sz w:val="24"/>
          <w:szCs w:val="24"/>
        </w:rPr>
        <w:lastRenderedPageBreak/>
        <w:t>化产品质量与批次稳定性，持续丰富产品矩阵，夯实自主品牌科研试剂的核心竞争力。谢谢！</w:t>
      </w:r>
    </w:p>
    <w:p w14:paraId="005F22D3" w14:textId="093D9AC3" w:rsidR="00EA4C1E" w:rsidRPr="008C408B" w:rsidRDefault="00EA4C1E" w:rsidP="00EA4C1E">
      <w:pPr>
        <w:widowControl/>
        <w:spacing w:line="360" w:lineRule="auto"/>
        <w:outlineLvl w:val="0"/>
        <w:rPr>
          <w:rFonts w:ascii="宋体" w:hAnsi="宋体" w:cs="宋体" w:hint="eastAsia"/>
          <w:b/>
          <w:bCs/>
          <w:kern w:val="0"/>
          <w:sz w:val="24"/>
          <w:szCs w:val="24"/>
        </w:rPr>
      </w:pPr>
      <w:r w:rsidRPr="008C408B">
        <w:rPr>
          <w:rFonts w:ascii="宋体" w:hAnsi="宋体" w:cs="宋体" w:hint="eastAsia"/>
          <w:b/>
          <w:bCs/>
          <w:kern w:val="0"/>
          <w:sz w:val="24"/>
          <w:szCs w:val="24"/>
        </w:rPr>
        <w:t>Q：</w:t>
      </w:r>
      <w:r w:rsidRPr="00EA4C1E">
        <w:rPr>
          <w:rFonts w:ascii="宋体" w:hAnsi="宋体" w:cs="宋体"/>
          <w:b/>
          <w:bCs/>
          <w:kern w:val="0"/>
          <w:sz w:val="24"/>
          <w:szCs w:val="24"/>
        </w:rPr>
        <w:t>近两年监管层面不断强化重申上市公司加强市值管理，加强股东回报。请问贵公司有没有相关的举措和安排</w:t>
      </w:r>
      <w:r w:rsidRPr="00A31F39">
        <w:rPr>
          <w:rFonts w:ascii="宋体" w:hAnsi="宋体" w:cs="宋体" w:hint="eastAsia"/>
          <w:b/>
          <w:bCs/>
          <w:kern w:val="0"/>
          <w:sz w:val="24"/>
          <w:szCs w:val="24"/>
        </w:rPr>
        <w:t>？</w:t>
      </w:r>
    </w:p>
    <w:p w14:paraId="5CC7B92A" w14:textId="628446AB" w:rsidR="00EA4C1E" w:rsidRDefault="00EA4C1E" w:rsidP="00EA4C1E">
      <w:pPr>
        <w:widowControl/>
        <w:spacing w:line="360" w:lineRule="auto"/>
        <w:rPr>
          <w:rFonts w:ascii="宋体" w:hAnsi="宋体" w:cs="Times New Roman" w:hint="eastAsia"/>
          <w:kern w:val="0"/>
          <w:sz w:val="24"/>
          <w:szCs w:val="24"/>
        </w:rPr>
      </w:pPr>
      <w:r w:rsidRPr="008C408B">
        <w:rPr>
          <w:rFonts w:ascii="宋体" w:hAnsi="宋体" w:cs="Times New Roman" w:hint="eastAsia"/>
          <w:kern w:val="0"/>
          <w:sz w:val="24"/>
          <w:szCs w:val="24"/>
        </w:rPr>
        <w:t>A：</w:t>
      </w:r>
      <w:r w:rsidRPr="00EA4C1E">
        <w:rPr>
          <w:rFonts w:ascii="宋体" w:hAnsi="宋体" w:cs="Times New Roman"/>
          <w:kern w:val="0"/>
          <w:sz w:val="24"/>
          <w:szCs w:val="24"/>
        </w:rPr>
        <w:t>尊敬的投资者：您好！公司积极响应监管层关于上市公司提质增效、市值管理与强化股东回报的相关要求，已制定并披露2026年度“提质增效重回报”行动方案及相关半年度评估报告。公司理解，做好市值管理的根本是扎实经营主业，持续提升内在价值，在此基础上完善股东回报机制、做好投资者沟通。后续公司将持续统筹业务发展、资金规划与股东回报之间的平衡，在符合法律法规、公司章程以及公司经营现金流允许的前提下，持续完善股东回报安排。相关方案和实施进展，请各位投资者以上交所网站披露的公告为准。谢谢！</w:t>
      </w:r>
    </w:p>
    <w:p w14:paraId="3F5044C5" w14:textId="77777777" w:rsidR="00BF1529" w:rsidRPr="00D562F9" w:rsidRDefault="00BF1529" w:rsidP="00B305A9">
      <w:pPr>
        <w:widowControl/>
        <w:spacing w:line="480" w:lineRule="auto"/>
        <w:rPr>
          <w:rFonts w:ascii="宋体" w:hAnsi="宋体" w:cs="宋体" w:hint="eastAsia"/>
          <w:kern w:val="0"/>
          <w:sz w:val="24"/>
          <w:szCs w:val="24"/>
        </w:rPr>
      </w:pPr>
      <w:r w:rsidRPr="00D562F9">
        <w:rPr>
          <w:rFonts w:ascii="宋体" w:hAnsi="宋体" w:cs="宋体" w:hint="eastAsia"/>
          <w:b/>
          <w:bCs/>
          <w:kern w:val="0"/>
          <w:sz w:val="24"/>
          <w:szCs w:val="24"/>
        </w:rPr>
        <w:t>三、关于本次活动是否涉及应当披露重大信息的说明</w:t>
      </w:r>
    </w:p>
    <w:p w14:paraId="7BD5B39C" w14:textId="7DBE7D1C" w:rsidR="00BF1529" w:rsidRPr="00BF1529" w:rsidRDefault="00BF1529" w:rsidP="00B305A9">
      <w:pPr>
        <w:widowControl/>
        <w:spacing w:line="360" w:lineRule="auto"/>
        <w:rPr>
          <w:rFonts w:ascii="宋体" w:hAnsi="宋体" w:cs="Times New Roman" w:hint="eastAsia"/>
          <w:kern w:val="0"/>
          <w:sz w:val="24"/>
          <w:szCs w:val="24"/>
        </w:rPr>
      </w:pPr>
      <w:r w:rsidRPr="00B0592B">
        <w:rPr>
          <w:rFonts w:ascii="宋体" w:hAnsi="宋体" w:cs="Times New Roman" w:hint="eastAsia"/>
          <w:sz w:val="24"/>
          <w:szCs w:val="24"/>
        </w:rPr>
        <w:t>本次活动不涉及应当披露的重大信息。</w:t>
      </w:r>
    </w:p>
    <w:sectPr w:rsidR="00BF1529" w:rsidRPr="00BF1529" w:rsidSect="000B24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6FD52" w14:textId="77777777" w:rsidR="00D157B7" w:rsidRDefault="00D157B7" w:rsidP="00186984">
      <w:r>
        <w:separator/>
      </w:r>
    </w:p>
  </w:endnote>
  <w:endnote w:type="continuationSeparator" w:id="0">
    <w:p w14:paraId="133C6D34" w14:textId="77777777" w:rsidR="00D157B7" w:rsidRDefault="00D157B7" w:rsidP="0018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16570" w14:textId="77777777" w:rsidR="00D157B7" w:rsidRDefault="00D157B7" w:rsidP="00186984">
      <w:r>
        <w:separator/>
      </w:r>
    </w:p>
  </w:footnote>
  <w:footnote w:type="continuationSeparator" w:id="0">
    <w:p w14:paraId="0374EA35" w14:textId="77777777" w:rsidR="00D157B7" w:rsidRDefault="00D157B7" w:rsidP="001869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26B"/>
    <w:rsid w:val="00005D7B"/>
    <w:rsid w:val="00012A49"/>
    <w:rsid w:val="00012F02"/>
    <w:rsid w:val="00014832"/>
    <w:rsid w:val="00017C9D"/>
    <w:rsid w:val="000230B6"/>
    <w:rsid w:val="00030194"/>
    <w:rsid w:val="00031D8B"/>
    <w:rsid w:val="00037B3E"/>
    <w:rsid w:val="000407CB"/>
    <w:rsid w:val="000423E5"/>
    <w:rsid w:val="00042D26"/>
    <w:rsid w:val="00044999"/>
    <w:rsid w:val="00057E28"/>
    <w:rsid w:val="00064E02"/>
    <w:rsid w:val="0007021C"/>
    <w:rsid w:val="00071991"/>
    <w:rsid w:val="00074C36"/>
    <w:rsid w:val="000775FD"/>
    <w:rsid w:val="0008059C"/>
    <w:rsid w:val="000808C6"/>
    <w:rsid w:val="00082E5D"/>
    <w:rsid w:val="00085C23"/>
    <w:rsid w:val="00085EFA"/>
    <w:rsid w:val="00087318"/>
    <w:rsid w:val="0009169C"/>
    <w:rsid w:val="0009572A"/>
    <w:rsid w:val="000965F2"/>
    <w:rsid w:val="00097528"/>
    <w:rsid w:val="000A3559"/>
    <w:rsid w:val="000B2223"/>
    <w:rsid w:val="000B2424"/>
    <w:rsid w:val="000B4B05"/>
    <w:rsid w:val="000B4F60"/>
    <w:rsid w:val="000B596D"/>
    <w:rsid w:val="000B5D33"/>
    <w:rsid w:val="000B724B"/>
    <w:rsid w:val="000B7B33"/>
    <w:rsid w:val="000C1BBD"/>
    <w:rsid w:val="000C23BF"/>
    <w:rsid w:val="000C479B"/>
    <w:rsid w:val="000D6D4C"/>
    <w:rsid w:val="000D703C"/>
    <w:rsid w:val="000D7537"/>
    <w:rsid w:val="000D772E"/>
    <w:rsid w:val="000E0087"/>
    <w:rsid w:val="000E0FA0"/>
    <w:rsid w:val="000E4506"/>
    <w:rsid w:val="000E6FAC"/>
    <w:rsid w:val="000E6FED"/>
    <w:rsid w:val="000F2176"/>
    <w:rsid w:val="000F2731"/>
    <w:rsid w:val="000F3FD7"/>
    <w:rsid w:val="000F71F1"/>
    <w:rsid w:val="00100AD4"/>
    <w:rsid w:val="00110A62"/>
    <w:rsid w:val="001137DE"/>
    <w:rsid w:val="00115679"/>
    <w:rsid w:val="00124217"/>
    <w:rsid w:val="001348C4"/>
    <w:rsid w:val="00134B8B"/>
    <w:rsid w:val="00137A98"/>
    <w:rsid w:val="00140189"/>
    <w:rsid w:val="001414FD"/>
    <w:rsid w:val="00145B59"/>
    <w:rsid w:val="00150604"/>
    <w:rsid w:val="00152E98"/>
    <w:rsid w:val="00155C3B"/>
    <w:rsid w:val="001627E5"/>
    <w:rsid w:val="00162AC0"/>
    <w:rsid w:val="00162B96"/>
    <w:rsid w:val="00163FAF"/>
    <w:rsid w:val="0017198A"/>
    <w:rsid w:val="00176645"/>
    <w:rsid w:val="00180E2C"/>
    <w:rsid w:val="00183B97"/>
    <w:rsid w:val="00185FD8"/>
    <w:rsid w:val="00186984"/>
    <w:rsid w:val="00191899"/>
    <w:rsid w:val="001B325B"/>
    <w:rsid w:val="001B47A4"/>
    <w:rsid w:val="001B75A7"/>
    <w:rsid w:val="001B787C"/>
    <w:rsid w:val="001C6229"/>
    <w:rsid w:val="001C7769"/>
    <w:rsid w:val="001D10FC"/>
    <w:rsid w:val="001D2652"/>
    <w:rsid w:val="001E3AE8"/>
    <w:rsid w:val="001F2D49"/>
    <w:rsid w:val="001F3306"/>
    <w:rsid w:val="001F4C1C"/>
    <w:rsid w:val="0021114E"/>
    <w:rsid w:val="00212EB7"/>
    <w:rsid w:val="0021448E"/>
    <w:rsid w:val="00214FAA"/>
    <w:rsid w:val="00215D47"/>
    <w:rsid w:val="002161D1"/>
    <w:rsid w:val="00221F65"/>
    <w:rsid w:val="00224F01"/>
    <w:rsid w:val="0023626C"/>
    <w:rsid w:val="00244482"/>
    <w:rsid w:val="00245AD2"/>
    <w:rsid w:val="00251D52"/>
    <w:rsid w:val="0025363E"/>
    <w:rsid w:val="00253675"/>
    <w:rsid w:val="00255362"/>
    <w:rsid w:val="00255F22"/>
    <w:rsid w:val="00260813"/>
    <w:rsid w:val="0026505F"/>
    <w:rsid w:val="0026541C"/>
    <w:rsid w:val="00265807"/>
    <w:rsid w:val="00266BFB"/>
    <w:rsid w:val="00273C3A"/>
    <w:rsid w:val="002748FD"/>
    <w:rsid w:val="00277264"/>
    <w:rsid w:val="0028107B"/>
    <w:rsid w:val="002816A4"/>
    <w:rsid w:val="00281AFC"/>
    <w:rsid w:val="002833F9"/>
    <w:rsid w:val="0028520D"/>
    <w:rsid w:val="002933A9"/>
    <w:rsid w:val="002943B0"/>
    <w:rsid w:val="0029585B"/>
    <w:rsid w:val="00296344"/>
    <w:rsid w:val="002A27E0"/>
    <w:rsid w:val="002A404A"/>
    <w:rsid w:val="002B2389"/>
    <w:rsid w:val="002B4235"/>
    <w:rsid w:val="002B660E"/>
    <w:rsid w:val="002B75BC"/>
    <w:rsid w:val="002C1C30"/>
    <w:rsid w:val="002C463C"/>
    <w:rsid w:val="002C5114"/>
    <w:rsid w:val="002C518E"/>
    <w:rsid w:val="002D71DA"/>
    <w:rsid w:val="002D79E1"/>
    <w:rsid w:val="002E10ED"/>
    <w:rsid w:val="002F2DAD"/>
    <w:rsid w:val="002F4C02"/>
    <w:rsid w:val="002F4E27"/>
    <w:rsid w:val="00302929"/>
    <w:rsid w:val="00315FAD"/>
    <w:rsid w:val="003417A6"/>
    <w:rsid w:val="0034381B"/>
    <w:rsid w:val="00345429"/>
    <w:rsid w:val="00347479"/>
    <w:rsid w:val="00350E07"/>
    <w:rsid w:val="00350E90"/>
    <w:rsid w:val="00351F04"/>
    <w:rsid w:val="003572AF"/>
    <w:rsid w:val="00357BA5"/>
    <w:rsid w:val="00357C98"/>
    <w:rsid w:val="00361416"/>
    <w:rsid w:val="00361A13"/>
    <w:rsid w:val="00362ADE"/>
    <w:rsid w:val="00362F95"/>
    <w:rsid w:val="00372974"/>
    <w:rsid w:val="00376316"/>
    <w:rsid w:val="00383523"/>
    <w:rsid w:val="00384E1C"/>
    <w:rsid w:val="003901A1"/>
    <w:rsid w:val="00390774"/>
    <w:rsid w:val="00394681"/>
    <w:rsid w:val="003A1266"/>
    <w:rsid w:val="003A6182"/>
    <w:rsid w:val="003A7A82"/>
    <w:rsid w:val="003B248F"/>
    <w:rsid w:val="003B2508"/>
    <w:rsid w:val="003B2967"/>
    <w:rsid w:val="003B3143"/>
    <w:rsid w:val="003B4043"/>
    <w:rsid w:val="003B6EC0"/>
    <w:rsid w:val="003C192D"/>
    <w:rsid w:val="003C3B4E"/>
    <w:rsid w:val="003C600F"/>
    <w:rsid w:val="003C7E2E"/>
    <w:rsid w:val="003D50D7"/>
    <w:rsid w:val="003E09EC"/>
    <w:rsid w:val="003E32E5"/>
    <w:rsid w:val="003F1E0F"/>
    <w:rsid w:val="003F77E4"/>
    <w:rsid w:val="003F79B7"/>
    <w:rsid w:val="00400F5B"/>
    <w:rsid w:val="00402623"/>
    <w:rsid w:val="0041718A"/>
    <w:rsid w:val="004224F5"/>
    <w:rsid w:val="00423458"/>
    <w:rsid w:val="00423881"/>
    <w:rsid w:val="00424C77"/>
    <w:rsid w:val="00425A98"/>
    <w:rsid w:val="00425BF1"/>
    <w:rsid w:val="00432872"/>
    <w:rsid w:val="00432AB8"/>
    <w:rsid w:val="0043315A"/>
    <w:rsid w:val="0044123E"/>
    <w:rsid w:val="0045033F"/>
    <w:rsid w:val="004549F2"/>
    <w:rsid w:val="00457C62"/>
    <w:rsid w:val="00462DDD"/>
    <w:rsid w:val="00475494"/>
    <w:rsid w:val="00483A63"/>
    <w:rsid w:val="00483E8C"/>
    <w:rsid w:val="004845FD"/>
    <w:rsid w:val="00490C47"/>
    <w:rsid w:val="00493343"/>
    <w:rsid w:val="0049387F"/>
    <w:rsid w:val="004960F1"/>
    <w:rsid w:val="004A5CBE"/>
    <w:rsid w:val="004A734A"/>
    <w:rsid w:val="004B08E2"/>
    <w:rsid w:val="004B1645"/>
    <w:rsid w:val="004C033D"/>
    <w:rsid w:val="004C16AB"/>
    <w:rsid w:val="004C73E0"/>
    <w:rsid w:val="004D0E4D"/>
    <w:rsid w:val="004D777D"/>
    <w:rsid w:val="004E1DBD"/>
    <w:rsid w:val="004E2FF9"/>
    <w:rsid w:val="004F312F"/>
    <w:rsid w:val="004F321D"/>
    <w:rsid w:val="004F74FA"/>
    <w:rsid w:val="00500C28"/>
    <w:rsid w:val="00510EAD"/>
    <w:rsid w:val="00512A0E"/>
    <w:rsid w:val="00513FBF"/>
    <w:rsid w:val="00514C0D"/>
    <w:rsid w:val="00520C30"/>
    <w:rsid w:val="00522C56"/>
    <w:rsid w:val="005331F7"/>
    <w:rsid w:val="0053322C"/>
    <w:rsid w:val="00535B5A"/>
    <w:rsid w:val="005370B5"/>
    <w:rsid w:val="00546575"/>
    <w:rsid w:val="0055609E"/>
    <w:rsid w:val="005625B7"/>
    <w:rsid w:val="00562C90"/>
    <w:rsid w:val="00564B65"/>
    <w:rsid w:val="00565262"/>
    <w:rsid w:val="00565C03"/>
    <w:rsid w:val="0056719B"/>
    <w:rsid w:val="00574DF6"/>
    <w:rsid w:val="005754B4"/>
    <w:rsid w:val="00585B58"/>
    <w:rsid w:val="00585C26"/>
    <w:rsid w:val="0059250E"/>
    <w:rsid w:val="00595B67"/>
    <w:rsid w:val="005A0BA9"/>
    <w:rsid w:val="005B240C"/>
    <w:rsid w:val="005B251C"/>
    <w:rsid w:val="005B5BDA"/>
    <w:rsid w:val="005D4BC0"/>
    <w:rsid w:val="005D7657"/>
    <w:rsid w:val="005E0832"/>
    <w:rsid w:val="005E0EEB"/>
    <w:rsid w:val="005E5259"/>
    <w:rsid w:val="005F1519"/>
    <w:rsid w:val="005F276C"/>
    <w:rsid w:val="005F655E"/>
    <w:rsid w:val="0060191E"/>
    <w:rsid w:val="00603B54"/>
    <w:rsid w:val="006069C8"/>
    <w:rsid w:val="00607867"/>
    <w:rsid w:val="006108AC"/>
    <w:rsid w:val="00610B5B"/>
    <w:rsid w:val="00613A48"/>
    <w:rsid w:val="00613C55"/>
    <w:rsid w:val="00613C97"/>
    <w:rsid w:val="00622E67"/>
    <w:rsid w:val="006243F6"/>
    <w:rsid w:val="00627874"/>
    <w:rsid w:val="006374B0"/>
    <w:rsid w:val="00651B35"/>
    <w:rsid w:val="00652F22"/>
    <w:rsid w:val="0065651A"/>
    <w:rsid w:val="006605AA"/>
    <w:rsid w:val="00663158"/>
    <w:rsid w:val="006650AB"/>
    <w:rsid w:val="00667E72"/>
    <w:rsid w:val="00670CC1"/>
    <w:rsid w:val="00670CD7"/>
    <w:rsid w:val="00672AE0"/>
    <w:rsid w:val="00673E9F"/>
    <w:rsid w:val="00680556"/>
    <w:rsid w:val="006825A5"/>
    <w:rsid w:val="006829B7"/>
    <w:rsid w:val="00683C75"/>
    <w:rsid w:val="00685EEC"/>
    <w:rsid w:val="00687645"/>
    <w:rsid w:val="00694E6B"/>
    <w:rsid w:val="00696E1B"/>
    <w:rsid w:val="006A0FD5"/>
    <w:rsid w:val="006A3BAD"/>
    <w:rsid w:val="006B09AE"/>
    <w:rsid w:val="006B5719"/>
    <w:rsid w:val="006C2F4E"/>
    <w:rsid w:val="006C38AA"/>
    <w:rsid w:val="006C5827"/>
    <w:rsid w:val="006D1F87"/>
    <w:rsid w:val="006D7796"/>
    <w:rsid w:val="006E1CE9"/>
    <w:rsid w:val="006E47B0"/>
    <w:rsid w:val="006E534C"/>
    <w:rsid w:val="006E5A19"/>
    <w:rsid w:val="006E7E79"/>
    <w:rsid w:val="006F66F9"/>
    <w:rsid w:val="00703280"/>
    <w:rsid w:val="007078B9"/>
    <w:rsid w:val="00710378"/>
    <w:rsid w:val="00721E4F"/>
    <w:rsid w:val="00723096"/>
    <w:rsid w:val="00723E02"/>
    <w:rsid w:val="00724344"/>
    <w:rsid w:val="00734820"/>
    <w:rsid w:val="00734CD9"/>
    <w:rsid w:val="00735A83"/>
    <w:rsid w:val="00737005"/>
    <w:rsid w:val="0073775C"/>
    <w:rsid w:val="00743CBB"/>
    <w:rsid w:val="00745EE5"/>
    <w:rsid w:val="007463DD"/>
    <w:rsid w:val="0076256D"/>
    <w:rsid w:val="00773867"/>
    <w:rsid w:val="007768CB"/>
    <w:rsid w:val="00776EFF"/>
    <w:rsid w:val="00777EFE"/>
    <w:rsid w:val="00780D13"/>
    <w:rsid w:val="007844D4"/>
    <w:rsid w:val="00785295"/>
    <w:rsid w:val="0078549D"/>
    <w:rsid w:val="007A13B3"/>
    <w:rsid w:val="007A4B2E"/>
    <w:rsid w:val="007B05DF"/>
    <w:rsid w:val="007B1C9B"/>
    <w:rsid w:val="007B21C0"/>
    <w:rsid w:val="007B3F9A"/>
    <w:rsid w:val="007C35EF"/>
    <w:rsid w:val="007C53C5"/>
    <w:rsid w:val="007C61C7"/>
    <w:rsid w:val="007D3C24"/>
    <w:rsid w:val="007F496E"/>
    <w:rsid w:val="007F5E1A"/>
    <w:rsid w:val="007F7246"/>
    <w:rsid w:val="008057AF"/>
    <w:rsid w:val="00807293"/>
    <w:rsid w:val="00807DB2"/>
    <w:rsid w:val="008107CA"/>
    <w:rsid w:val="00814254"/>
    <w:rsid w:val="00822A57"/>
    <w:rsid w:val="00827275"/>
    <w:rsid w:val="0082730E"/>
    <w:rsid w:val="008307EA"/>
    <w:rsid w:val="00831E2C"/>
    <w:rsid w:val="00831FF6"/>
    <w:rsid w:val="00832139"/>
    <w:rsid w:val="00850645"/>
    <w:rsid w:val="00850823"/>
    <w:rsid w:val="0085494A"/>
    <w:rsid w:val="00854A0F"/>
    <w:rsid w:val="008551BC"/>
    <w:rsid w:val="0085700E"/>
    <w:rsid w:val="0085706A"/>
    <w:rsid w:val="00857B52"/>
    <w:rsid w:val="00861E23"/>
    <w:rsid w:val="0087143C"/>
    <w:rsid w:val="00880A43"/>
    <w:rsid w:val="008A6F44"/>
    <w:rsid w:val="008B0A3C"/>
    <w:rsid w:val="008B419A"/>
    <w:rsid w:val="008B4248"/>
    <w:rsid w:val="008B59F9"/>
    <w:rsid w:val="008C408B"/>
    <w:rsid w:val="008C658A"/>
    <w:rsid w:val="008D10C8"/>
    <w:rsid w:val="008D1113"/>
    <w:rsid w:val="008D26D4"/>
    <w:rsid w:val="008D405A"/>
    <w:rsid w:val="008D435B"/>
    <w:rsid w:val="008E2600"/>
    <w:rsid w:val="008E51CD"/>
    <w:rsid w:val="008E5AF9"/>
    <w:rsid w:val="008E7880"/>
    <w:rsid w:val="008F158A"/>
    <w:rsid w:val="008F28FD"/>
    <w:rsid w:val="008F3EAF"/>
    <w:rsid w:val="008F6273"/>
    <w:rsid w:val="0090209B"/>
    <w:rsid w:val="00905BCF"/>
    <w:rsid w:val="0091040E"/>
    <w:rsid w:val="0091791E"/>
    <w:rsid w:val="00922ED1"/>
    <w:rsid w:val="009230E3"/>
    <w:rsid w:val="0093066F"/>
    <w:rsid w:val="009322E9"/>
    <w:rsid w:val="00935B07"/>
    <w:rsid w:val="009360DC"/>
    <w:rsid w:val="0094322D"/>
    <w:rsid w:val="0094406C"/>
    <w:rsid w:val="00944911"/>
    <w:rsid w:val="009468D3"/>
    <w:rsid w:val="00951BD1"/>
    <w:rsid w:val="009674FB"/>
    <w:rsid w:val="009727F5"/>
    <w:rsid w:val="009815F2"/>
    <w:rsid w:val="0098407B"/>
    <w:rsid w:val="0098746D"/>
    <w:rsid w:val="00987847"/>
    <w:rsid w:val="009915BD"/>
    <w:rsid w:val="00996F5B"/>
    <w:rsid w:val="00997004"/>
    <w:rsid w:val="009977F2"/>
    <w:rsid w:val="009A09EF"/>
    <w:rsid w:val="009A1F9D"/>
    <w:rsid w:val="009A2F74"/>
    <w:rsid w:val="009A59E2"/>
    <w:rsid w:val="009B7B73"/>
    <w:rsid w:val="009C42F5"/>
    <w:rsid w:val="009C4361"/>
    <w:rsid w:val="009D02D9"/>
    <w:rsid w:val="009D6B81"/>
    <w:rsid w:val="009E1ABD"/>
    <w:rsid w:val="009E692D"/>
    <w:rsid w:val="009F03B6"/>
    <w:rsid w:val="009F1725"/>
    <w:rsid w:val="009F4899"/>
    <w:rsid w:val="009F68FC"/>
    <w:rsid w:val="009F79CE"/>
    <w:rsid w:val="00A10911"/>
    <w:rsid w:val="00A11F4A"/>
    <w:rsid w:val="00A17D4A"/>
    <w:rsid w:val="00A30C2E"/>
    <w:rsid w:val="00A31F39"/>
    <w:rsid w:val="00A35634"/>
    <w:rsid w:val="00A36D2A"/>
    <w:rsid w:val="00A46B21"/>
    <w:rsid w:val="00A4763C"/>
    <w:rsid w:val="00A47AEF"/>
    <w:rsid w:val="00A47D0E"/>
    <w:rsid w:val="00A5298D"/>
    <w:rsid w:val="00A5482B"/>
    <w:rsid w:val="00A57E69"/>
    <w:rsid w:val="00A6159B"/>
    <w:rsid w:val="00A659AF"/>
    <w:rsid w:val="00A65ABD"/>
    <w:rsid w:val="00A65ACD"/>
    <w:rsid w:val="00A6714C"/>
    <w:rsid w:val="00A95966"/>
    <w:rsid w:val="00A97070"/>
    <w:rsid w:val="00AA193F"/>
    <w:rsid w:val="00AA1E82"/>
    <w:rsid w:val="00AA5458"/>
    <w:rsid w:val="00AA70DE"/>
    <w:rsid w:val="00AA7E8D"/>
    <w:rsid w:val="00AB3FA9"/>
    <w:rsid w:val="00AB4C9F"/>
    <w:rsid w:val="00AB6D88"/>
    <w:rsid w:val="00AB79BD"/>
    <w:rsid w:val="00AC0AC3"/>
    <w:rsid w:val="00AC1A53"/>
    <w:rsid w:val="00AC39BC"/>
    <w:rsid w:val="00AC557D"/>
    <w:rsid w:val="00AD284B"/>
    <w:rsid w:val="00AD4D46"/>
    <w:rsid w:val="00AE10C9"/>
    <w:rsid w:val="00AE3165"/>
    <w:rsid w:val="00AE630F"/>
    <w:rsid w:val="00AF3343"/>
    <w:rsid w:val="00AF3662"/>
    <w:rsid w:val="00AF74F0"/>
    <w:rsid w:val="00AF7D29"/>
    <w:rsid w:val="00B0132E"/>
    <w:rsid w:val="00B0592B"/>
    <w:rsid w:val="00B137E3"/>
    <w:rsid w:val="00B138EA"/>
    <w:rsid w:val="00B16239"/>
    <w:rsid w:val="00B22193"/>
    <w:rsid w:val="00B22CAD"/>
    <w:rsid w:val="00B26007"/>
    <w:rsid w:val="00B277B1"/>
    <w:rsid w:val="00B305A9"/>
    <w:rsid w:val="00B340F5"/>
    <w:rsid w:val="00B46484"/>
    <w:rsid w:val="00B55CA0"/>
    <w:rsid w:val="00B560B4"/>
    <w:rsid w:val="00B574C7"/>
    <w:rsid w:val="00B579FA"/>
    <w:rsid w:val="00B60169"/>
    <w:rsid w:val="00B666B9"/>
    <w:rsid w:val="00B72071"/>
    <w:rsid w:val="00B7245B"/>
    <w:rsid w:val="00B72A3B"/>
    <w:rsid w:val="00B74547"/>
    <w:rsid w:val="00B7543D"/>
    <w:rsid w:val="00B84AED"/>
    <w:rsid w:val="00B84C26"/>
    <w:rsid w:val="00B857E7"/>
    <w:rsid w:val="00B91864"/>
    <w:rsid w:val="00B937F0"/>
    <w:rsid w:val="00B94FE4"/>
    <w:rsid w:val="00BB1FC1"/>
    <w:rsid w:val="00BC1B51"/>
    <w:rsid w:val="00BC409D"/>
    <w:rsid w:val="00BC6396"/>
    <w:rsid w:val="00BC723F"/>
    <w:rsid w:val="00BD2EB8"/>
    <w:rsid w:val="00BD5AB0"/>
    <w:rsid w:val="00BD6D7E"/>
    <w:rsid w:val="00BD7E89"/>
    <w:rsid w:val="00BE1093"/>
    <w:rsid w:val="00BE1813"/>
    <w:rsid w:val="00BE19E8"/>
    <w:rsid w:val="00BE7355"/>
    <w:rsid w:val="00BF1529"/>
    <w:rsid w:val="00C01007"/>
    <w:rsid w:val="00C02B67"/>
    <w:rsid w:val="00C07965"/>
    <w:rsid w:val="00C17A03"/>
    <w:rsid w:val="00C23CD7"/>
    <w:rsid w:val="00C25749"/>
    <w:rsid w:val="00C26D4F"/>
    <w:rsid w:val="00C26FAB"/>
    <w:rsid w:val="00C27A69"/>
    <w:rsid w:val="00C31CFA"/>
    <w:rsid w:val="00C33131"/>
    <w:rsid w:val="00C3491C"/>
    <w:rsid w:val="00C3637D"/>
    <w:rsid w:val="00C422FF"/>
    <w:rsid w:val="00C429E4"/>
    <w:rsid w:val="00C44A1C"/>
    <w:rsid w:val="00C55C89"/>
    <w:rsid w:val="00C5733A"/>
    <w:rsid w:val="00C610C5"/>
    <w:rsid w:val="00C62CB4"/>
    <w:rsid w:val="00C65259"/>
    <w:rsid w:val="00C660E6"/>
    <w:rsid w:val="00C70BA6"/>
    <w:rsid w:val="00C70E32"/>
    <w:rsid w:val="00C713D9"/>
    <w:rsid w:val="00C80199"/>
    <w:rsid w:val="00C83257"/>
    <w:rsid w:val="00C87306"/>
    <w:rsid w:val="00C95FFF"/>
    <w:rsid w:val="00C97B9B"/>
    <w:rsid w:val="00CA08CE"/>
    <w:rsid w:val="00CB672B"/>
    <w:rsid w:val="00CB766A"/>
    <w:rsid w:val="00CB7FCB"/>
    <w:rsid w:val="00CC06E6"/>
    <w:rsid w:val="00CD193F"/>
    <w:rsid w:val="00CD2EF3"/>
    <w:rsid w:val="00CE1D99"/>
    <w:rsid w:val="00CE3A20"/>
    <w:rsid w:val="00CF116B"/>
    <w:rsid w:val="00D00492"/>
    <w:rsid w:val="00D00ECB"/>
    <w:rsid w:val="00D0386E"/>
    <w:rsid w:val="00D03F97"/>
    <w:rsid w:val="00D03FC4"/>
    <w:rsid w:val="00D052EB"/>
    <w:rsid w:val="00D10804"/>
    <w:rsid w:val="00D13900"/>
    <w:rsid w:val="00D157B7"/>
    <w:rsid w:val="00D30E67"/>
    <w:rsid w:val="00D35A77"/>
    <w:rsid w:val="00D373F2"/>
    <w:rsid w:val="00D50518"/>
    <w:rsid w:val="00D511B5"/>
    <w:rsid w:val="00D51232"/>
    <w:rsid w:val="00D539DE"/>
    <w:rsid w:val="00D549CC"/>
    <w:rsid w:val="00D556D6"/>
    <w:rsid w:val="00D55CFB"/>
    <w:rsid w:val="00D562F9"/>
    <w:rsid w:val="00D574A9"/>
    <w:rsid w:val="00D6060E"/>
    <w:rsid w:val="00D62D3F"/>
    <w:rsid w:val="00D62FFE"/>
    <w:rsid w:val="00D76268"/>
    <w:rsid w:val="00D76700"/>
    <w:rsid w:val="00D77076"/>
    <w:rsid w:val="00D807F7"/>
    <w:rsid w:val="00D81D9E"/>
    <w:rsid w:val="00D82B12"/>
    <w:rsid w:val="00D82E23"/>
    <w:rsid w:val="00D83BFC"/>
    <w:rsid w:val="00D83E75"/>
    <w:rsid w:val="00D8426B"/>
    <w:rsid w:val="00D84D28"/>
    <w:rsid w:val="00D854F6"/>
    <w:rsid w:val="00D863F4"/>
    <w:rsid w:val="00D9013B"/>
    <w:rsid w:val="00D95744"/>
    <w:rsid w:val="00DA11B9"/>
    <w:rsid w:val="00DA3153"/>
    <w:rsid w:val="00DA67AD"/>
    <w:rsid w:val="00DA7C37"/>
    <w:rsid w:val="00DB111C"/>
    <w:rsid w:val="00DB5B7B"/>
    <w:rsid w:val="00DB6181"/>
    <w:rsid w:val="00DC57C9"/>
    <w:rsid w:val="00DC70B7"/>
    <w:rsid w:val="00DE4ECC"/>
    <w:rsid w:val="00DE5B93"/>
    <w:rsid w:val="00DE6660"/>
    <w:rsid w:val="00DE693C"/>
    <w:rsid w:val="00DF4BB8"/>
    <w:rsid w:val="00DF6935"/>
    <w:rsid w:val="00DF6A31"/>
    <w:rsid w:val="00DF7FD0"/>
    <w:rsid w:val="00E01027"/>
    <w:rsid w:val="00E0765E"/>
    <w:rsid w:val="00E111B5"/>
    <w:rsid w:val="00E13F7B"/>
    <w:rsid w:val="00E14119"/>
    <w:rsid w:val="00E232EF"/>
    <w:rsid w:val="00E23C2E"/>
    <w:rsid w:val="00E26E7E"/>
    <w:rsid w:val="00E30C19"/>
    <w:rsid w:val="00E37272"/>
    <w:rsid w:val="00E37772"/>
    <w:rsid w:val="00E37AAD"/>
    <w:rsid w:val="00E4003F"/>
    <w:rsid w:val="00E4473A"/>
    <w:rsid w:val="00E45F06"/>
    <w:rsid w:val="00E50A91"/>
    <w:rsid w:val="00E51E69"/>
    <w:rsid w:val="00E52C0D"/>
    <w:rsid w:val="00E53D91"/>
    <w:rsid w:val="00E546E9"/>
    <w:rsid w:val="00E574EA"/>
    <w:rsid w:val="00E72822"/>
    <w:rsid w:val="00E739A6"/>
    <w:rsid w:val="00E7491E"/>
    <w:rsid w:val="00E845B3"/>
    <w:rsid w:val="00E877E9"/>
    <w:rsid w:val="00E916B5"/>
    <w:rsid w:val="00E92392"/>
    <w:rsid w:val="00E96373"/>
    <w:rsid w:val="00EA4537"/>
    <w:rsid w:val="00EA4C1E"/>
    <w:rsid w:val="00EA7430"/>
    <w:rsid w:val="00EB1C1B"/>
    <w:rsid w:val="00EB30CD"/>
    <w:rsid w:val="00EB5B50"/>
    <w:rsid w:val="00EB70A3"/>
    <w:rsid w:val="00EB70F8"/>
    <w:rsid w:val="00EC124D"/>
    <w:rsid w:val="00EC3074"/>
    <w:rsid w:val="00EC5F90"/>
    <w:rsid w:val="00EE1195"/>
    <w:rsid w:val="00EF12C0"/>
    <w:rsid w:val="00EF2D9A"/>
    <w:rsid w:val="00EF368B"/>
    <w:rsid w:val="00EF3FBC"/>
    <w:rsid w:val="00EF4EB4"/>
    <w:rsid w:val="00EF5F53"/>
    <w:rsid w:val="00EF668D"/>
    <w:rsid w:val="00EF743A"/>
    <w:rsid w:val="00F002FD"/>
    <w:rsid w:val="00F01DC1"/>
    <w:rsid w:val="00F02E43"/>
    <w:rsid w:val="00F053AB"/>
    <w:rsid w:val="00F07EFA"/>
    <w:rsid w:val="00F16C42"/>
    <w:rsid w:val="00F20712"/>
    <w:rsid w:val="00F24F70"/>
    <w:rsid w:val="00F27462"/>
    <w:rsid w:val="00F30B4F"/>
    <w:rsid w:val="00F31230"/>
    <w:rsid w:val="00F32A44"/>
    <w:rsid w:val="00F34FDD"/>
    <w:rsid w:val="00F37806"/>
    <w:rsid w:val="00F42886"/>
    <w:rsid w:val="00F50920"/>
    <w:rsid w:val="00F55190"/>
    <w:rsid w:val="00F55B56"/>
    <w:rsid w:val="00F65821"/>
    <w:rsid w:val="00F67B8B"/>
    <w:rsid w:val="00F72704"/>
    <w:rsid w:val="00F736BC"/>
    <w:rsid w:val="00F75284"/>
    <w:rsid w:val="00F77F57"/>
    <w:rsid w:val="00F81186"/>
    <w:rsid w:val="00F8406A"/>
    <w:rsid w:val="00F86220"/>
    <w:rsid w:val="00F865AF"/>
    <w:rsid w:val="00F87C26"/>
    <w:rsid w:val="00F97FED"/>
    <w:rsid w:val="00FA1A14"/>
    <w:rsid w:val="00FA5E8E"/>
    <w:rsid w:val="00FB10FC"/>
    <w:rsid w:val="00FB245D"/>
    <w:rsid w:val="00FB76F8"/>
    <w:rsid w:val="00FC093E"/>
    <w:rsid w:val="00FC12FC"/>
    <w:rsid w:val="00FC2E16"/>
    <w:rsid w:val="00FD2B8E"/>
    <w:rsid w:val="00FD5750"/>
    <w:rsid w:val="00FF0CFB"/>
    <w:rsid w:val="00FF0F1F"/>
    <w:rsid w:val="00FF2B5D"/>
    <w:rsid w:val="00FF5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0706FE"/>
  <w15:chartTrackingRefBased/>
  <w15:docId w15:val="{5DDD6326-2DD2-4260-AC0E-7EAB6358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C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69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6984"/>
    <w:rPr>
      <w:sz w:val="18"/>
      <w:szCs w:val="18"/>
    </w:rPr>
  </w:style>
  <w:style w:type="paragraph" w:styleId="a5">
    <w:name w:val="footer"/>
    <w:basedOn w:val="a"/>
    <w:link w:val="a6"/>
    <w:uiPriority w:val="99"/>
    <w:unhideWhenUsed/>
    <w:rsid w:val="00186984"/>
    <w:pPr>
      <w:tabs>
        <w:tab w:val="center" w:pos="4153"/>
        <w:tab w:val="right" w:pos="8306"/>
      </w:tabs>
      <w:snapToGrid w:val="0"/>
      <w:jc w:val="left"/>
    </w:pPr>
    <w:rPr>
      <w:sz w:val="18"/>
      <w:szCs w:val="18"/>
    </w:rPr>
  </w:style>
  <w:style w:type="character" w:customStyle="1" w:styleId="a6">
    <w:name w:val="页脚 字符"/>
    <w:basedOn w:val="a0"/>
    <w:link w:val="a5"/>
    <w:uiPriority w:val="99"/>
    <w:rsid w:val="00186984"/>
    <w:rPr>
      <w:sz w:val="18"/>
      <w:szCs w:val="18"/>
    </w:rPr>
  </w:style>
  <w:style w:type="paragraph" w:styleId="a7">
    <w:name w:val="Revision"/>
    <w:hidden/>
    <w:uiPriority w:val="99"/>
    <w:semiHidden/>
    <w:rsid w:val="00A6714C"/>
  </w:style>
  <w:style w:type="table" w:styleId="a8">
    <w:name w:val="Table Grid"/>
    <w:basedOn w:val="a1"/>
    <w:uiPriority w:val="39"/>
    <w:rsid w:val="00C8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5929">
      <w:bodyDiv w:val="1"/>
      <w:marLeft w:val="0"/>
      <w:marRight w:val="0"/>
      <w:marTop w:val="0"/>
      <w:marBottom w:val="0"/>
      <w:divBdr>
        <w:top w:val="none" w:sz="0" w:space="0" w:color="auto"/>
        <w:left w:val="none" w:sz="0" w:space="0" w:color="auto"/>
        <w:bottom w:val="none" w:sz="0" w:space="0" w:color="auto"/>
        <w:right w:val="none" w:sz="0" w:space="0" w:color="auto"/>
      </w:divBdr>
      <w:divsChild>
        <w:div w:id="157427680">
          <w:marLeft w:val="0"/>
          <w:marRight w:val="0"/>
          <w:marTop w:val="75"/>
          <w:marBottom w:val="75"/>
          <w:divBdr>
            <w:top w:val="none" w:sz="0" w:space="0" w:color="auto"/>
            <w:left w:val="none" w:sz="0" w:space="0" w:color="auto"/>
            <w:bottom w:val="none" w:sz="0" w:space="0" w:color="auto"/>
            <w:right w:val="none" w:sz="0" w:space="0" w:color="auto"/>
          </w:divBdr>
          <w:divsChild>
            <w:div w:id="13466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9958">
      <w:bodyDiv w:val="1"/>
      <w:marLeft w:val="0"/>
      <w:marRight w:val="0"/>
      <w:marTop w:val="0"/>
      <w:marBottom w:val="0"/>
      <w:divBdr>
        <w:top w:val="none" w:sz="0" w:space="0" w:color="auto"/>
        <w:left w:val="none" w:sz="0" w:space="0" w:color="auto"/>
        <w:bottom w:val="none" w:sz="0" w:space="0" w:color="auto"/>
        <w:right w:val="none" w:sz="0" w:space="0" w:color="auto"/>
      </w:divBdr>
    </w:div>
    <w:div w:id="139420099">
      <w:bodyDiv w:val="1"/>
      <w:marLeft w:val="0"/>
      <w:marRight w:val="0"/>
      <w:marTop w:val="0"/>
      <w:marBottom w:val="0"/>
      <w:divBdr>
        <w:top w:val="none" w:sz="0" w:space="0" w:color="auto"/>
        <w:left w:val="none" w:sz="0" w:space="0" w:color="auto"/>
        <w:bottom w:val="none" w:sz="0" w:space="0" w:color="auto"/>
        <w:right w:val="none" w:sz="0" w:space="0" w:color="auto"/>
      </w:divBdr>
    </w:div>
    <w:div w:id="141243470">
      <w:bodyDiv w:val="1"/>
      <w:marLeft w:val="0"/>
      <w:marRight w:val="0"/>
      <w:marTop w:val="0"/>
      <w:marBottom w:val="0"/>
      <w:divBdr>
        <w:top w:val="none" w:sz="0" w:space="0" w:color="auto"/>
        <w:left w:val="none" w:sz="0" w:space="0" w:color="auto"/>
        <w:bottom w:val="none" w:sz="0" w:space="0" w:color="auto"/>
        <w:right w:val="none" w:sz="0" w:space="0" w:color="auto"/>
      </w:divBdr>
    </w:div>
    <w:div w:id="177352984">
      <w:bodyDiv w:val="1"/>
      <w:marLeft w:val="0"/>
      <w:marRight w:val="0"/>
      <w:marTop w:val="0"/>
      <w:marBottom w:val="0"/>
      <w:divBdr>
        <w:top w:val="none" w:sz="0" w:space="0" w:color="auto"/>
        <w:left w:val="none" w:sz="0" w:space="0" w:color="auto"/>
        <w:bottom w:val="none" w:sz="0" w:space="0" w:color="auto"/>
        <w:right w:val="none" w:sz="0" w:space="0" w:color="auto"/>
      </w:divBdr>
    </w:div>
    <w:div w:id="232206860">
      <w:bodyDiv w:val="1"/>
      <w:marLeft w:val="0"/>
      <w:marRight w:val="0"/>
      <w:marTop w:val="0"/>
      <w:marBottom w:val="0"/>
      <w:divBdr>
        <w:top w:val="none" w:sz="0" w:space="0" w:color="auto"/>
        <w:left w:val="none" w:sz="0" w:space="0" w:color="auto"/>
        <w:bottom w:val="none" w:sz="0" w:space="0" w:color="auto"/>
        <w:right w:val="none" w:sz="0" w:space="0" w:color="auto"/>
      </w:divBdr>
    </w:div>
    <w:div w:id="335348173">
      <w:bodyDiv w:val="1"/>
      <w:marLeft w:val="0"/>
      <w:marRight w:val="0"/>
      <w:marTop w:val="0"/>
      <w:marBottom w:val="0"/>
      <w:divBdr>
        <w:top w:val="none" w:sz="0" w:space="0" w:color="auto"/>
        <w:left w:val="none" w:sz="0" w:space="0" w:color="auto"/>
        <w:bottom w:val="none" w:sz="0" w:space="0" w:color="auto"/>
        <w:right w:val="none" w:sz="0" w:space="0" w:color="auto"/>
      </w:divBdr>
    </w:div>
    <w:div w:id="431366557">
      <w:bodyDiv w:val="1"/>
      <w:marLeft w:val="0"/>
      <w:marRight w:val="0"/>
      <w:marTop w:val="0"/>
      <w:marBottom w:val="0"/>
      <w:divBdr>
        <w:top w:val="none" w:sz="0" w:space="0" w:color="auto"/>
        <w:left w:val="none" w:sz="0" w:space="0" w:color="auto"/>
        <w:bottom w:val="none" w:sz="0" w:space="0" w:color="auto"/>
        <w:right w:val="none" w:sz="0" w:space="0" w:color="auto"/>
      </w:divBdr>
    </w:div>
    <w:div w:id="503012135">
      <w:bodyDiv w:val="1"/>
      <w:marLeft w:val="0"/>
      <w:marRight w:val="0"/>
      <w:marTop w:val="0"/>
      <w:marBottom w:val="0"/>
      <w:divBdr>
        <w:top w:val="none" w:sz="0" w:space="0" w:color="auto"/>
        <w:left w:val="none" w:sz="0" w:space="0" w:color="auto"/>
        <w:bottom w:val="none" w:sz="0" w:space="0" w:color="auto"/>
        <w:right w:val="none" w:sz="0" w:space="0" w:color="auto"/>
      </w:divBdr>
    </w:div>
    <w:div w:id="537551852">
      <w:bodyDiv w:val="1"/>
      <w:marLeft w:val="0"/>
      <w:marRight w:val="0"/>
      <w:marTop w:val="0"/>
      <w:marBottom w:val="0"/>
      <w:divBdr>
        <w:top w:val="none" w:sz="0" w:space="0" w:color="auto"/>
        <w:left w:val="none" w:sz="0" w:space="0" w:color="auto"/>
        <w:bottom w:val="none" w:sz="0" w:space="0" w:color="auto"/>
        <w:right w:val="none" w:sz="0" w:space="0" w:color="auto"/>
      </w:divBdr>
    </w:div>
    <w:div w:id="645595308">
      <w:bodyDiv w:val="1"/>
      <w:marLeft w:val="0"/>
      <w:marRight w:val="0"/>
      <w:marTop w:val="0"/>
      <w:marBottom w:val="0"/>
      <w:divBdr>
        <w:top w:val="none" w:sz="0" w:space="0" w:color="auto"/>
        <w:left w:val="none" w:sz="0" w:space="0" w:color="auto"/>
        <w:bottom w:val="none" w:sz="0" w:space="0" w:color="auto"/>
        <w:right w:val="none" w:sz="0" w:space="0" w:color="auto"/>
      </w:divBdr>
    </w:div>
    <w:div w:id="751319299">
      <w:bodyDiv w:val="1"/>
      <w:marLeft w:val="0"/>
      <w:marRight w:val="0"/>
      <w:marTop w:val="0"/>
      <w:marBottom w:val="0"/>
      <w:divBdr>
        <w:top w:val="none" w:sz="0" w:space="0" w:color="auto"/>
        <w:left w:val="none" w:sz="0" w:space="0" w:color="auto"/>
        <w:bottom w:val="none" w:sz="0" w:space="0" w:color="auto"/>
        <w:right w:val="none" w:sz="0" w:space="0" w:color="auto"/>
      </w:divBdr>
    </w:div>
    <w:div w:id="794640096">
      <w:bodyDiv w:val="1"/>
      <w:marLeft w:val="0"/>
      <w:marRight w:val="0"/>
      <w:marTop w:val="0"/>
      <w:marBottom w:val="0"/>
      <w:divBdr>
        <w:top w:val="none" w:sz="0" w:space="0" w:color="auto"/>
        <w:left w:val="none" w:sz="0" w:space="0" w:color="auto"/>
        <w:bottom w:val="none" w:sz="0" w:space="0" w:color="auto"/>
        <w:right w:val="none" w:sz="0" w:space="0" w:color="auto"/>
      </w:divBdr>
    </w:div>
    <w:div w:id="891236944">
      <w:bodyDiv w:val="1"/>
      <w:marLeft w:val="0"/>
      <w:marRight w:val="0"/>
      <w:marTop w:val="0"/>
      <w:marBottom w:val="0"/>
      <w:divBdr>
        <w:top w:val="none" w:sz="0" w:space="0" w:color="auto"/>
        <w:left w:val="none" w:sz="0" w:space="0" w:color="auto"/>
        <w:bottom w:val="none" w:sz="0" w:space="0" w:color="auto"/>
        <w:right w:val="none" w:sz="0" w:space="0" w:color="auto"/>
      </w:divBdr>
    </w:div>
    <w:div w:id="963578175">
      <w:bodyDiv w:val="1"/>
      <w:marLeft w:val="0"/>
      <w:marRight w:val="0"/>
      <w:marTop w:val="0"/>
      <w:marBottom w:val="0"/>
      <w:divBdr>
        <w:top w:val="none" w:sz="0" w:space="0" w:color="auto"/>
        <w:left w:val="none" w:sz="0" w:space="0" w:color="auto"/>
        <w:bottom w:val="none" w:sz="0" w:space="0" w:color="auto"/>
        <w:right w:val="none" w:sz="0" w:space="0" w:color="auto"/>
      </w:divBdr>
    </w:div>
    <w:div w:id="994913082">
      <w:bodyDiv w:val="1"/>
      <w:marLeft w:val="0"/>
      <w:marRight w:val="0"/>
      <w:marTop w:val="0"/>
      <w:marBottom w:val="0"/>
      <w:divBdr>
        <w:top w:val="none" w:sz="0" w:space="0" w:color="auto"/>
        <w:left w:val="none" w:sz="0" w:space="0" w:color="auto"/>
        <w:bottom w:val="none" w:sz="0" w:space="0" w:color="auto"/>
        <w:right w:val="none" w:sz="0" w:space="0" w:color="auto"/>
      </w:divBdr>
    </w:div>
    <w:div w:id="1017124403">
      <w:bodyDiv w:val="1"/>
      <w:marLeft w:val="0"/>
      <w:marRight w:val="0"/>
      <w:marTop w:val="0"/>
      <w:marBottom w:val="0"/>
      <w:divBdr>
        <w:top w:val="none" w:sz="0" w:space="0" w:color="auto"/>
        <w:left w:val="none" w:sz="0" w:space="0" w:color="auto"/>
        <w:bottom w:val="none" w:sz="0" w:space="0" w:color="auto"/>
        <w:right w:val="none" w:sz="0" w:space="0" w:color="auto"/>
      </w:divBdr>
    </w:div>
    <w:div w:id="1037050808">
      <w:bodyDiv w:val="1"/>
      <w:marLeft w:val="0"/>
      <w:marRight w:val="0"/>
      <w:marTop w:val="0"/>
      <w:marBottom w:val="0"/>
      <w:divBdr>
        <w:top w:val="none" w:sz="0" w:space="0" w:color="auto"/>
        <w:left w:val="none" w:sz="0" w:space="0" w:color="auto"/>
        <w:bottom w:val="none" w:sz="0" w:space="0" w:color="auto"/>
        <w:right w:val="none" w:sz="0" w:space="0" w:color="auto"/>
      </w:divBdr>
    </w:div>
    <w:div w:id="1116749263">
      <w:bodyDiv w:val="1"/>
      <w:marLeft w:val="0"/>
      <w:marRight w:val="0"/>
      <w:marTop w:val="0"/>
      <w:marBottom w:val="0"/>
      <w:divBdr>
        <w:top w:val="none" w:sz="0" w:space="0" w:color="auto"/>
        <w:left w:val="none" w:sz="0" w:space="0" w:color="auto"/>
        <w:bottom w:val="none" w:sz="0" w:space="0" w:color="auto"/>
        <w:right w:val="none" w:sz="0" w:space="0" w:color="auto"/>
      </w:divBdr>
    </w:div>
    <w:div w:id="1179004761">
      <w:bodyDiv w:val="1"/>
      <w:marLeft w:val="0"/>
      <w:marRight w:val="0"/>
      <w:marTop w:val="0"/>
      <w:marBottom w:val="0"/>
      <w:divBdr>
        <w:top w:val="none" w:sz="0" w:space="0" w:color="auto"/>
        <w:left w:val="none" w:sz="0" w:space="0" w:color="auto"/>
        <w:bottom w:val="none" w:sz="0" w:space="0" w:color="auto"/>
        <w:right w:val="none" w:sz="0" w:space="0" w:color="auto"/>
      </w:divBdr>
    </w:div>
    <w:div w:id="1320617539">
      <w:bodyDiv w:val="1"/>
      <w:marLeft w:val="0"/>
      <w:marRight w:val="0"/>
      <w:marTop w:val="0"/>
      <w:marBottom w:val="0"/>
      <w:divBdr>
        <w:top w:val="none" w:sz="0" w:space="0" w:color="auto"/>
        <w:left w:val="none" w:sz="0" w:space="0" w:color="auto"/>
        <w:bottom w:val="none" w:sz="0" w:space="0" w:color="auto"/>
        <w:right w:val="none" w:sz="0" w:space="0" w:color="auto"/>
      </w:divBdr>
    </w:div>
    <w:div w:id="1357542537">
      <w:bodyDiv w:val="1"/>
      <w:marLeft w:val="0"/>
      <w:marRight w:val="0"/>
      <w:marTop w:val="0"/>
      <w:marBottom w:val="0"/>
      <w:divBdr>
        <w:top w:val="none" w:sz="0" w:space="0" w:color="auto"/>
        <w:left w:val="none" w:sz="0" w:space="0" w:color="auto"/>
        <w:bottom w:val="none" w:sz="0" w:space="0" w:color="auto"/>
        <w:right w:val="none" w:sz="0" w:space="0" w:color="auto"/>
      </w:divBdr>
    </w:div>
    <w:div w:id="1549299600">
      <w:bodyDiv w:val="1"/>
      <w:marLeft w:val="0"/>
      <w:marRight w:val="0"/>
      <w:marTop w:val="0"/>
      <w:marBottom w:val="0"/>
      <w:divBdr>
        <w:top w:val="none" w:sz="0" w:space="0" w:color="auto"/>
        <w:left w:val="none" w:sz="0" w:space="0" w:color="auto"/>
        <w:bottom w:val="none" w:sz="0" w:space="0" w:color="auto"/>
        <w:right w:val="none" w:sz="0" w:space="0" w:color="auto"/>
      </w:divBdr>
    </w:div>
    <w:div w:id="1572885038">
      <w:bodyDiv w:val="1"/>
      <w:marLeft w:val="0"/>
      <w:marRight w:val="0"/>
      <w:marTop w:val="0"/>
      <w:marBottom w:val="0"/>
      <w:divBdr>
        <w:top w:val="none" w:sz="0" w:space="0" w:color="auto"/>
        <w:left w:val="none" w:sz="0" w:space="0" w:color="auto"/>
        <w:bottom w:val="none" w:sz="0" w:space="0" w:color="auto"/>
        <w:right w:val="none" w:sz="0" w:space="0" w:color="auto"/>
      </w:divBdr>
    </w:div>
    <w:div w:id="1608388579">
      <w:bodyDiv w:val="1"/>
      <w:marLeft w:val="0"/>
      <w:marRight w:val="0"/>
      <w:marTop w:val="0"/>
      <w:marBottom w:val="0"/>
      <w:divBdr>
        <w:top w:val="none" w:sz="0" w:space="0" w:color="auto"/>
        <w:left w:val="none" w:sz="0" w:space="0" w:color="auto"/>
        <w:bottom w:val="none" w:sz="0" w:space="0" w:color="auto"/>
        <w:right w:val="none" w:sz="0" w:space="0" w:color="auto"/>
      </w:divBdr>
    </w:div>
    <w:div w:id="1655455036">
      <w:bodyDiv w:val="1"/>
      <w:marLeft w:val="0"/>
      <w:marRight w:val="0"/>
      <w:marTop w:val="0"/>
      <w:marBottom w:val="0"/>
      <w:divBdr>
        <w:top w:val="none" w:sz="0" w:space="0" w:color="auto"/>
        <w:left w:val="none" w:sz="0" w:space="0" w:color="auto"/>
        <w:bottom w:val="none" w:sz="0" w:space="0" w:color="auto"/>
        <w:right w:val="none" w:sz="0" w:space="0" w:color="auto"/>
      </w:divBdr>
    </w:div>
    <w:div w:id="1707287663">
      <w:bodyDiv w:val="1"/>
      <w:marLeft w:val="0"/>
      <w:marRight w:val="0"/>
      <w:marTop w:val="0"/>
      <w:marBottom w:val="0"/>
      <w:divBdr>
        <w:top w:val="none" w:sz="0" w:space="0" w:color="auto"/>
        <w:left w:val="none" w:sz="0" w:space="0" w:color="auto"/>
        <w:bottom w:val="none" w:sz="0" w:space="0" w:color="auto"/>
        <w:right w:val="none" w:sz="0" w:space="0" w:color="auto"/>
      </w:divBdr>
    </w:div>
    <w:div w:id="1764455637">
      <w:bodyDiv w:val="1"/>
      <w:marLeft w:val="0"/>
      <w:marRight w:val="0"/>
      <w:marTop w:val="0"/>
      <w:marBottom w:val="0"/>
      <w:divBdr>
        <w:top w:val="none" w:sz="0" w:space="0" w:color="auto"/>
        <w:left w:val="none" w:sz="0" w:space="0" w:color="auto"/>
        <w:bottom w:val="none" w:sz="0" w:space="0" w:color="auto"/>
        <w:right w:val="none" w:sz="0" w:space="0" w:color="auto"/>
      </w:divBdr>
    </w:div>
    <w:div w:id="1802306543">
      <w:bodyDiv w:val="1"/>
      <w:marLeft w:val="0"/>
      <w:marRight w:val="0"/>
      <w:marTop w:val="0"/>
      <w:marBottom w:val="0"/>
      <w:divBdr>
        <w:top w:val="none" w:sz="0" w:space="0" w:color="auto"/>
        <w:left w:val="none" w:sz="0" w:space="0" w:color="auto"/>
        <w:bottom w:val="none" w:sz="0" w:space="0" w:color="auto"/>
        <w:right w:val="none" w:sz="0" w:space="0" w:color="auto"/>
      </w:divBdr>
    </w:div>
    <w:div w:id="1805391071">
      <w:bodyDiv w:val="1"/>
      <w:marLeft w:val="0"/>
      <w:marRight w:val="0"/>
      <w:marTop w:val="0"/>
      <w:marBottom w:val="0"/>
      <w:divBdr>
        <w:top w:val="none" w:sz="0" w:space="0" w:color="auto"/>
        <w:left w:val="none" w:sz="0" w:space="0" w:color="auto"/>
        <w:bottom w:val="none" w:sz="0" w:space="0" w:color="auto"/>
        <w:right w:val="none" w:sz="0" w:space="0" w:color="auto"/>
      </w:divBdr>
    </w:div>
    <w:div w:id="1861429238">
      <w:bodyDiv w:val="1"/>
      <w:marLeft w:val="0"/>
      <w:marRight w:val="0"/>
      <w:marTop w:val="0"/>
      <w:marBottom w:val="0"/>
      <w:divBdr>
        <w:top w:val="none" w:sz="0" w:space="0" w:color="auto"/>
        <w:left w:val="none" w:sz="0" w:space="0" w:color="auto"/>
        <w:bottom w:val="none" w:sz="0" w:space="0" w:color="auto"/>
        <w:right w:val="none" w:sz="0" w:space="0" w:color="auto"/>
      </w:divBdr>
    </w:div>
    <w:div w:id="1873374149">
      <w:bodyDiv w:val="1"/>
      <w:marLeft w:val="0"/>
      <w:marRight w:val="0"/>
      <w:marTop w:val="0"/>
      <w:marBottom w:val="0"/>
      <w:divBdr>
        <w:top w:val="none" w:sz="0" w:space="0" w:color="auto"/>
        <w:left w:val="none" w:sz="0" w:space="0" w:color="auto"/>
        <w:bottom w:val="none" w:sz="0" w:space="0" w:color="auto"/>
        <w:right w:val="none" w:sz="0" w:space="0" w:color="auto"/>
      </w:divBdr>
    </w:div>
    <w:div w:id="1935239253">
      <w:bodyDiv w:val="1"/>
      <w:marLeft w:val="0"/>
      <w:marRight w:val="0"/>
      <w:marTop w:val="0"/>
      <w:marBottom w:val="0"/>
      <w:divBdr>
        <w:top w:val="none" w:sz="0" w:space="0" w:color="auto"/>
        <w:left w:val="none" w:sz="0" w:space="0" w:color="auto"/>
        <w:bottom w:val="none" w:sz="0" w:space="0" w:color="auto"/>
        <w:right w:val="none" w:sz="0" w:space="0" w:color="auto"/>
      </w:divBdr>
    </w:div>
    <w:div w:id="1973555160">
      <w:bodyDiv w:val="1"/>
      <w:marLeft w:val="0"/>
      <w:marRight w:val="0"/>
      <w:marTop w:val="0"/>
      <w:marBottom w:val="0"/>
      <w:divBdr>
        <w:top w:val="none" w:sz="0" w:space="0" w:color="auto"/>
        <w:left w:val="none" w:sz="0" w:space="0" w:color="auto"/>
        <w:bottom w:val="none" w:sz="0" w:space="0" w:color="auto"/>
        <w:right w:val="none" w:sz="0" w:space="0" w:color="auto"/>
      </w:divBdr>
    </w:div>
    <w:div w:id="1974478203">
      <w:bodyDiv w:val="1"/>
      <w:marLeft w:val="0"/>
      <w:marRight w:val="0"/>
      <w:marTop w:val="0"/>
      <w:marBottom w:val="0"/>
      <w:divBdr>
        <w:top w:val="none" w:sz="0" w:space="0" w:color="auto"/>
        <w:left w:val="none" w:sz="0" w:space="0" w:color="auto"/>
        <w:bottom w:val="none" w:sz="0" w:space="0" w:color="auto"/>
        <w:right w:val="none" w:sz="0" w:space="0" w:color="auto"/>
      </w:divBdr>
    </w:div>
    <w:div w:id="1991208325">
      <w:bodyDiv w:val="1"/>
      <w:marLeft w:val="0"/>
      <w:marRight w:val="0"/>
      <w:marTop w:val="0"/>
      <w:marBottom w:val="0"/>
      <w:divBdr>
        <w:top w:val="none" w:sz="0" w:space="0" w:color="auto"/>
        <w:left w:val="none" w:sz="0" w:space="0" w:color="auto"/>
        <w:bottom w:val="none" w:sz="0" w:space="0" w:color="auto"/>
        <w:right w:val="none" w:sz="0" w:space="0" w:color="auto"/>
      </w:divBdr>
    </w:div>
    <w:div w:id="2052339757">
      <w:bodyDiv w:val="1"/>
      <w:marLeft w:val="0"/>
      <w:marRight w:val="0"/>
      <w:marTop w:val="0"/>
      <w:marBottom w:val="0"/>
      <w:divBdr>
        <w:top w:val="none" w:sz="0" w:space="0" w:color="auto"/>
        <w:left w:val="none" w:sz="0" w:space="0" w:color="auto"/>
        <w:bottom w:val="none" w:sz="0" w:space="0" w:color="auto"/>
        <w:right w:val="none" w:sz="0" w:space="0" w:color="auto"/>
      </w:divBdr>
    </w:div>
    <w:div w:id="209534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6872B-B45A-40E6-B339-4085519EC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Pages>
  <Words>808</Words>
  <Characters>4612</Characters>
  <Application>Microsoft Office Word</Application>
  <DocSecurity>0</DocSecurity>
  <Lines>38</Lines>
  <Paragraphs>10</Paragraphs>
  <ScaleCrop>false</ScaleCrop>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EVEN</cp:lastModifiedBy>
  <cp:revision>68</cp:revision>
  <dcterms:created xsi:type="dcterms:W3CDTF">2026-01-20T07:08:00Z</dcterms:created>
  <dcterms:modified xsi:type="dcterms:W3CDTF">2026-09-15T09:25:00Z</dcterms:modified>
</cp:coreProperties>
</file>