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601A1">
      <w:pPr>
        <w:spacing w:before="31" w:beforeLines="10" w:line="360" w:lineRule="auto"/>
        <w:rPr>
          <w:rFonts w:ascii="楷体" w:hAnsi="楷体" w:eastAsia="楷体"/>
          <w:b/>
          <w:w w:val="95"/>
          <w:sz w:val="24"/>
        </w:rPr>
      </w:pPr>
      <w:r>
        <w:rPr>
          <w:rFonts w:hint="eastAsia" w:ascii="楷体" w:hAnsi="楷体" w:eastAsia="楷体" w:cs="宋体"/>
          <w:b/>
          <w:w w:val="95"/>
          <w:sz w:val="24"/>
        </w:rPr>
        <w:t xml:space="preserve">证券简称：华盛锂电 </w:t>
      </w:r>
      <w:r>
        <w:rPr>
          <w:rFonts w:ascii="楷体" w:hAnsi="楷体" w:eastAsia="楷体" w:cs="宋体"/>
          <w:b/>
          <w:w w:val="95"/>
          <w:sz w:val="24"/>
        </w:rPr>
        <w:t xml:space="preserve">                                         </w:t>
      </w:r>
      <w:r>
        <w:rPr>
          <w:rFonts w:hint="eastAsia" w:ascii="楷体" w:hAnsi="楷体" w:eastAsia="楷体" w:cs="宋体"/>
          <w:b/>
          <w:w w:val="95"/>
          <w:sz w:val="24"/>
        </w:rPr>
        <w:t>证券代码</w:t>
      </w:r>
      <w:r>
        <w:rPr>
          <w:rFonts w:ascii="楷体" w:hAnsi="楷体" w:eastAsia="楷体"/>
          <w:b/>
          <w:w w:val="95"/>
          <w:sz w:val="24"/>
        </w:rPr>
        <w:t>：</w:t>
      </w:r>
      <w:r>
        <w:rPr>
          <w:rFonts w:ascii="Times New Roman" w:hAnsi="Times New Roman" w:eastAsia="楷体"/>
          <w:b/>
          <w:w w:val="95"/>
          <w:sz w:val="24"/>
        </w:rPr>
        <w:t>688353</w:t>
      </w:r>
    </w:p>
    <w:p w14:paraId="0B0F5447">
      <w:pPr>
        <w:spacing w:before="31" w:beforeLines="10" w:line="360" w:lineRule="auto"/>
        <w:jc w:val="center"/>
        <w:rPr>
          <w:rFonts w:ascii="宋体" w:hAnsi="宋体" w:cs="宋体"/>
          <w:b/>
          <w:w w:val="95"/>
          <w:sz w:val="32"/>
          <w:szCs w:val="32"/>
        </w:rPr>
      </w:pPr>
    </w:p>
    <w:p w14:paraId="60FFE9CD">
      <w:pPr>
        <w:spacing w:before="31" w:beforeLines="10" w:line="360" w:lineRule="auto"/>
        <w:jc w:val="center"/>
        <w:rPr>
          <w:rFonts w:ascii="楷体" w:hAnsi="楷体" w:eastAsia="楷体" w:cs="宋体"/>
          <w:b/>
          <w:w w:val="95"/>
          <w:sz w:val="36"/>
          <w:szCs w:val="36"/>
        </w:rPr>
      </w:pPr>
      <w:r>
        <w:rPr>
          <w:rFonts w:hint="eastAsia" w:ascii="楷体" w:hAnsi="楷体" w:eastAsia="楷体" w:cs="宋体"/>
          <w:b/>
          <w:w w:val="95"/>
          <w:sz w:val="36"/>
          <w:szCs w:val="36"/>
        </w:rPr>
        <w:t>江苏华盛锂电材料股份有限公司</w:t>
      </w:r>
    </w:p>
    <w:p w14:paraId="485DFF9C">
      <w:pPr>
        <w:spacing w:line="360" w:lineRule="auto"/>
        <w:jc w:val="center"/>
        <w:rPr>
          <w:rFonts w:ascii="楷体" w:hAnsi="楷体" w:eastAsia="楷体" w:cs="宋体"/>
          <w:b/>
          <w:w w:val="95"/>
          <w:kern w:val="0"/>
          <w:sz w:val="36"/>
          <w:szCs w:val="36"/>
        </w:rPr>
      </w:pPr>
      <w:r>
        <w:rPr>
          <w:rFonts w:hint="eastAsia" w:ascii="楷体" w:hAnsi="楷体" w:eastAsia="楷体" w:cs="宋体"/>
          <w:b/>
          <w:w w:val="95"/>
          <w:kern w:val="0"/>
          <w:sz w:val="36"/>
          <w:szCs w:val="36"/>
        </w:rPr>
        <w:t>投资者关系活动记录表</w:t>
      </w:r>
    </w:p>
    <w:p w14:paraId="12C21DEE">
      <w:pPr>
        <w:tabs>
          <w:tab w:val="left" w:pos="6106"/>
        </w:tabs>
        <w:spacing w:before="156" w:beforeLines="50" w:after="156" w:afterLines="50"/>
        <w:ind w:firstLine="240" w:firstLineChars="100"/>
        <w:jc w:val="right"/>
        <w:rPr>
          <w:rFonts w:ascii="宋体" w:hAnsi="宋体" w:cs="宋体"/>
          <w:sz w:val="24"/>
        </w:rPr>
      </w:pPr>
      <w:r>
        <w:rPr>
          <w:rFonts w:hint="eastAsia" w:ascii="楷体" w:hAnsi="楷体" w:eastAsia="楷体" w:cs="宋体"/>
          <w:sz w:val="24"/>
        </w:rPr>
        <w:t>编号</w:t>
      </w:r>
      <w:r>
        <w:rPr>
          <w:rFonts w:hint="eastAsia" w:ascii="宋体" w:hAnsi="宋体" w:cs="宋体"/>
          <w:sz w:val="24"/>
        </w:rPr>
        <w:t>：</w:t>
      </w:r>
      <w:r>
        <w:rPr>
          <w:rFonts w:ascii="Times New Roman" w:hAnsi="Times New Roman"/>
          <w:sz w:val="24"/>
        </w:rPr>
        <w:t>202</w:t>
      </w:r>
      <w:bookmarkStart w:id="0" w:name="_GoBack"/>
      <w:bookmarkEnd w:id="0"/>
      <w:r>
        <w:rPr>
          <w:rFonts w:hint="eastAsia"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-00</w:t>
      </w:r>
      <w:r>
        <w:rPr>
          <w:rFonts w:hint="eastAsia" w:ascii="Times New Roman" w:hAnsi="Times New Roman"/>
          <w:sz w:val="24"/>
        </w:rPr>
        <w:t>3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6855"/>
      </w:tblGrid>
      <w:tr w14:paraId="77565E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4A35C">
            <w:pPr>
              <w:jc w:val="center"/>
              <w:rPr>
                <w:rFonts w:ascii="Times New Roman" w:hAnsi="Times New Roman" w:eastAsia="楷体"/>
                <w:bCs/>
                <w:sz w:val="24"/>
              </w:rPr>
            </w:pPr>
            <w:r>
              <w:rPr>
                <w:rFonts w:ascii="Times New Roman" w:hAnsi="Times New Roman" w:eastAsia="楷体"/>
                <w:b/>
                <w:bCs/>
                <w:sz w:val="24"/>
              </w:rPr>
              <w:t>投资者关系活动类别</w:t>
            </w:r>
          </w:p>
        </w:tc>
        <w:tc>
          <w:tcPr>
            <w:tcW w:w="685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BB3FC5">
            <w:pPr>
              <w:widowControl/>
              <w:tabs>
                <w:tab w:val="left" w:pos="3480"/>
              </w:tabs>
              <w:spacing w:line="360" w:lineRule="auto"/>
              <w:rPr>
                <w:rFonts w:ascii="Times New Roman" w:hAnsi="Times New Roman" w:eastAsia="楷体"/>
                <w:bCs/>
                <w:sz w:val="24"/>
              </w:rPr>
            </w:pPr>
            <w:r>
              <w:rPr>
                <w:rFonts w:hint="eastAsia" w:ascii="Times New Roman" w:hAnsi="Times New Roman" w:eastAsia="楷体"/>
                <w:bCs/>
                <w:sz w:val="24"/>
              </w:rPr>
              <w:t>□特定对象调研</w:t>
            </w:r>
            <w:r>
              <w:rPr>
                <w:rFonts w:ascii="Times New Roman" w:hAnsi="Times New Roman" w:eastAsia="楷体"/>
                <w:bCs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"/>
                <w:bCs/>
                <w:sz w:val="24"/>
              </w:rPr>
              <w:t xml:space="preserve">□分析师会议 </w:t>
            </w:r>
            <w:r>
              <w:rPr>
                <w:rFonts w:ascii="Times New Roman" w:hAnsi="Times New Roman" w:eastAsia="楷体"/>
                <w:bCs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楷体"/>
                <w:bCs/>
                <w:sz w:val="24"/>
              </w:rPr>
              <w:t>□媒体采访</w:t>
            </w:r>
          </w:p>
          <w:p w14:paraId="67F43041">
            <w:pPr>
              <w:widowControl/>
              <w:tabs>
                <w:tab w:val="left" w:pos="2040"/>
                <w:tab w:val="left" w:pos="3480"/>
              </w:tabs>
              <w:spacing w:line="360" w:lineRule="auto"/>
              <w:rPr>
                <w:rFonts w:ascii="Times New Roman" w:hAnsi="Times New Roman" w:eastAsia="楷体"/>
                <w:bCs/>
                <w:sz w:val="24"/>
              </w:rPr>
            </w:pPr>
            <w:r>
              <w:rPr>
                <w:rFonts w:hint="eastAsia" w:ascii="Times New Roman" w:hAnsi="Times New Roman" w:eastAsia="楷体"/>
                <w:bCs/>
                <w:sz w:val="24"/>
              </w:rPr>
              <w:t>√业绩说明会</w:t>
            </w:r>
            <w:r>
              <w:rPr>
                <w:rFonts w:ascii="Times New Roman" w:hAnsi="Times New Roman" w:eastAsia="楷体"/>
                <w:bCs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楷体"/>
                <w:bCs/>
                <w:sz w:val="24"/>
              </w:rPr>
              <w:t xml:space="preserve">□新闻发布会 </w:t>
            </w:r>
            <w:r>
              <w:rPr>
                <w:rFonts w:ascii="Times New Roman" w:hAnsi="Times New Roman" w:eastAsia="楷体"/>
                <w:bCs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楷体"/>
                <w:bCs/>
                <w:sz w:val="24"/>
              </w:rPr>
              <w:t>□路演活动</w:t>
            </w:r>
          </w:p>
          <w:p w14:paraId="00399E3C">
            <w:pPr>
              <w:spacing w:line="360" w:lineRule="auto"/>
              <w:rPr>
                <w:rFonts w:ascii="Times New Roman" w:hAnsi="Times New Roman" w:eastAsia="楷体"/>
                <w:bCs/>
                <w:sz w:val="24"/>
              </w:rPr>
            </w:pPr>
            <w:r>
              <w:rPr>
                <w:rFonts w:hint="eastAsia" w:ascii="Times New Roman" w:hAnsi="Times New Roman" w:eastAsia="楷体"/>
                <w:bCs/>
                <w:sz w:val="24"/>
              </w:rPr>
              <w:t>□现场参观</w:t>
            </w:r>
            <w:r>
              <w:rPr>
                <w:rFonts w:ascii="Times New Roman" w:hAnsi="Times New Roman" w:eastAsia="楷体"/>
                <w:bCs/>
                <w:sz w:val="24"/>
              </w:rPr>
              <w:t xml:space="preserve">       </w:t>
            </w:r>
            <w:r>
              <w:rPr>
                <w:rFonts w:hint="eastAsia" w:ascii="Times New Roman" w:hAnsi="Times New Roman" w:eastAsia="楷体"/>
                <w:bCs/>
                <w:sz w:val="24"/>
              </w:rPr>
              <w:t xml:space="preserve">□一对一沟通 </w:t>
            </w:r>
            <w:r>
              <w:rPr>
                <w:rFonts w:ascii="Times New Roman" w:hAnsi="Times New Roman" w:eastAsia="楷体"/>
                <w:bCs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楷体"/>
                <w:bCs/>
                <w:sz w:val="24"/>
              </w:rPr>
              <w:t>□其他（电话会议）</w:t>
            </w:r>
          </w:p>
        </w:tc>
      </w:tr>
      <w:tr w14:paraId="093998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0F5C0">
            <w:pPr>
              <w:jc w:val="center"/>
              <w:rPr>
                <w:rFonts w:ascii="Times New Roman" w:hAnsi="Times New Roman" w:eastAsia="楷体"/>
                <w:b/>
                <w:bCs/>
                <w:sz w:val="24"/>
              </w:rPr>
            </w:pPr>
            <w:r>
              <w:rPr>
                <w:rFonts w:ascii="Times New Roman" w:hAnsi="Times New Roman" w:eastAsia="楷体"/>
                <w:b/>
                <w:bCs/>
                <w:sz w:val="24"/>
              </w:rPr>
              <w:t>参与单位</w:t>
            </w:r>
            <w:r>
              <w:rPr>
                <w:rFonts w:hint="eastAsia" w:ascii="Times New Roman" w:hAnsi="Times New Roman" w:eastAsia="楷体"/>
                <w:b/>
                <w:bCs/>
                <w:sz w:val="24"/>
              </w:rPr>
              <w:t>及人员</w:t>
            </w:r>
            <w:r>
              <w:rPr>
                <w:rFonts w:ascii="Times New Roman" w:hAnsi="Times New Roman" w:eastAsia="楷体"/>
                <w:b/>
                <w:bCs/>
                <w:sz w:val="24"/>
              </w:rPr>
              <w:t>名称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7800276">
            <w:pPr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>线上参与“华盛锂电2026年半年度业绩暨现金分红说明会”活动的全体投资者</w:t>
            </w:r>
          </w:p>
        </w:tc>
      </w:tr>
      <w:tr w14:paraId="41A66B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D6E2A">
            <w:pPr>
              <w:jc w:val="center"/>
              <w:rPr>
                <w:rFonts w:ascii="Times New Roman" w:hAnsi="Times New Roman" w:eastAsia="楷体"/>
                <w:b/>
                <w:bCs/>
                <w:sz w:val="24"/>
              </w:rPr>
            </w:pPr>
            <w:r>
              <w:rPr>
                <w:rFonts w:ascii="Times New Roman" w:hAnsi="Times New Roman" w:eastAsia="楷体"/>
                <w:b/>
                <w:bCs/>
                <w:sz w:val="24"/>
              </w:rPr>
              <w:t>时间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66BDA6C">
            <w:pPr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>2026年9月16日，13：00-14：00</w:t>
            </w:r>
          </w:p>
        </w:tc>
      </w:tr>
      <w:tr w14:paraId="3C747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29CA0">
            <w:pPr>
              <w:jc w:val="center"/>
              <w:rPr>
                <w:rFonts w:ascii="Times New Roman" w:hAnsi="Times New Roman" w:eastAsia="楷体"/>
                <w:b/>
                <w:bCs/>
                <w:sz w:val="24"/>
              </w:rPr>
            </w:pPr>
            <w:r>
              <w:rPr>
                <w:rFonts w:ascii="Times New Roman" w:hAnsi="Times New Roman" w:eastAsia="楷体"/>
                <w:b/>
                <w:bCs/>
                <w:sz w:val="24"/>
              </w:rPr>
              <w:t>地点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DFCBA8">
            <w:pPr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>上证路演中心（http://roadshow.sseinfo.com）</w:t>
            </w:r>
          </w:p>
        </w:tc>
      </w:tr>
      <w:tr w14:paraId="5EA81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570F5">
            <w:pPr>
              <w:jc w:val="center"/>
              <w:rPr>
                <w:rFonts w:ascii="Times New Roman" w:hAnsi="Times New Roman" w:eastAsia="楷体"/>
                <w:b/>
                <w:bCs/>
                <w:sz w:val="24"/>
              </w:rPr>
            </w:pPr>
            <w:r>
              <w:rPr>
                <w:rFonts w:ascii="Times New Roman" w:hAnsi="Times New Roman" w:eastAsia="楷体"/>
                <w:b/>
                <w:bCs/>
                <w:sz w:val="24"/>
              </w:rPr>
              <w:t>公司接待人员姓名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7DDDDE6">
            <w:pPr>
              <w:spacing w:before="156" w:beforeLines="50" w:after="156" w:afterLines="50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 xml:space="preserve">董事长：沈锦良 </w:t>
            </w:r>
          </w:p>
          <w:p w14:paraId="60FA17ED">
            <w:pPr>
              <w:spacing w:before="156" w:beforeLines="50" w:after="156" w:afterLines="50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 xml:space="preserve">董事、总经理：沈鸣 </w:t>
            </w:r>
          </w:p>
          <w:p w14:paraId="6E45B81C">
            <w:pPr>
              <w:spacing w:before="156" w:beforeLines="50" w:after="156" w:afterLines="50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 xml:space="preserve">副总经理、董事会秘书：黄振东 </w:t>
            </w:r>
          </w:p>
          <w:p w14:paraId="475520D9">
            <w:pPr>
              <w:spacing w:before="156" w:beforeLines="50" w:after="156" w:afterLines="50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 xml:space="preserve">财务总监：任国平 </w:t>
            </w:r>
          </w:p>
          <w:p w14:paraId="0D030152">
            <w:pPr>
              <w:spacing w:before="156" w:beforeLines="50" w:after="156" w:afterLines="50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>独立董事：史浩明</w:t>
            </w:r>
          </w:p>
        </w:tc>
      </w:tr>
      <w:tr w14:paraId="6D26BF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CE05B">
            <w:pPr>
              <w:jc w:val="center"/>
              <w:rPr>
                <w:rFonts w:ascii="Times New Roman" w:hAnsi="Times New Roman" w:eastAsia="楷体"/>
                <w:b/>
                <w:bCs/>
                <w:sz w:val="24"/>
              </w:rPr>
            </w:pPr>
            <w:r>
              <w:rPr>
                <w:rFonts w:ascii="Times New Roman" w:hAnsi="Times New Roman" w:eastAsia="楷体"/>
                <w:b/>
                <w:bCs/>
                <w:sz w:val="24"/>
              </w:rPr>
              <w:t>投资者关系活动主要内容介绍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5F5745">
            <w:pPr>
              <w:adjustRightInd w:val="0"/>
              <w:snapToGrid w:val="0"/>
              <w:spacing w:line="360" w:lineRule="auto"/>
              <w:ind w:firstLine="440"/>
              <w:rPr>
                <w:rFonts w:ascii="Times New Roman" w:hAnsi="Times New Roman" w:eastAsia="楷体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楷体"/>
                <w:sz w:val="24"/>
                <w:shd w:val="clear" w:color="auto" w:fill="FFFFFF"/>
              </w:rPr>
              <w:t>本次投资者交流会中，投资者重点关注的问题及公司的回复要点如下：</w:t>
            </w:r>
          </w:p>
          <w:p w14:paraId="057CCCFB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1、麻烦请问公司未来的分红计划和派息政策？</w:t>
            </w:r>
          </w:p>
          <w:p w14:paraId="15100AD0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答：尊敬的投资者您好，公司已于2026年第三次临时股东会审议通过2026年半年度利润分配方案：每10股派发现金红利3.00元（含税），不送红股，亦不进行资本公积金转增股本。目前，该分红方案正在有序推进落实中。</w:t>
            </w:r>
          </w:p>
          <w:p w14:paraId="4F06EFDE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未来，公司将始终坚持"统筹发展、兼顾回报"的原则，在保障公司稳健经营和业绩持续增长的同时，动态平衡股东回报水平，积极、稳妥地推进权益分派工作，持续提升投资者回报，努力实现公司与股东的共同成长。感谢您对公司的关注，谢谢！</w:t>
            </w:r>
          </w:p>
          <w:p w14:paraId="6234E2DA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2、麻烦请问公司目前的股东人数？</w:t>
            </w:r>
          </w:p>
          <w:p w14:paraId="190C3E3E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答：尊敬的投资者您好，公司2026年半年度报告已披露，截止2026年6月30日，公司股东人数为20022户，最新的股东人数请您关注后续定期报告。如需查询其他时点股东人数，请您将本人身份证明、相关持股证明及联系方式发送至公司邮箱bod@sinohsc.com，工作人员将在核实您的股东身份后予以提供。感谢您对公司的关注，谢谢！</w:t>
            </w:r>
          </w:p>
          <w:p w14:paraId="7F8B96BC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3、公司今年上半年一共是卖了多少吨VC？上半年平均VC价格是多少w一吨？其中有多少吨是工业级多少吨是电池级？公司三季度VC价格会有比较大的变化吗？跟目前市场报价的20几w一吨的价格相差能有多少？公司的产能有多少是供货给长协客户？多少供货给散单？公司下半年产销量数据会比上半年更好吗？公司如何看待VC接下来的供求关系变化，以及涨价趋势？公司的新建产能何时能落地投产？公司怎么看待友商的大产能落地？这些产能能快速投产形成有效产能吗？</w:t>
            </w:r>
          </w:p>
          <w:p w14:paraId="78515C68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答：尊敬的投资者，您好！截至2026年6月30日，公司VC实现营业收入5.82亿元。上半年VC平均售价、不同品级VC的拆分销量，以及长协、散单客户的供货结构等属于经营敏感信息，出于保护公司商业秘密考虑暂不披露。公司产品定价遵循随行就市原则，将结合市场供需、原材料价格、宏观环境等因素动态调整；三季度公司针对不同客户、不同合作订单会采取差异化的定价策略，不会完全对标市场现货报价，但产品整体价格波动趋势与行业市场走势基本保持一致。受益于动力电池及储能行业快速发展，带动锂电添加剂需求增长，公司现有产能利用率维持在较高水平。对于后续VC供需及价格走势，动力电池、储能终端需求持续释放，为行业需求形成一定支撑；但供给端新增产能逐步推进，市场供需格局仍处于动态变化过程中，产品价格受各类市场因素综合影响，未来存在较大不确定性。公司新建年产6万吨VC产能预计于年内启动试生产。公司对行业产能变化保持密切关注，自身新增产能的释放节奏也会根据市场供需动态调整，避免在竞争加剧时盲目放量。感谢您的关注！</w:t>
            </w:r>
          </w:p>
          <w:p w14:paraId="4C4AEAD7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4、沈董好，公司上半年经营转好，恭喜！感谢管理层的辛勤工作。请教1、湖北华盛祥和的6万吨VC，何时竣工投产？孝感广电公众号上个月调研了我司湖北子公司，说的是26年底能竣工，这个符合最新情况吗？2、储能用的电解液、比动力电解液，VC的添加比例更高？分别是多少？3、能否介绍下行业目前VC的最新工艺，据说是“一步反应、管式反应”，吨成本有较大改善。我司新建产能属于哪类工艺？4、同行近日公告将生产VC子公司的机器设备折旧年限由10年调整为6年，理由是：“生产设备运行于强腐蚀、高温、强震动环境，资产实际损耗速度快于常规标准，同时因为行业技术进步带来的生产设备迭代较快”，这个论述是否符合行业现状？请帮小股东解惑，多介绍下设备、技术上的知识。</w:t>
            </w:r>
          </w:p>
          <w:p w14:paraId="582F1A22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答：尊敬的投资者，您好！湖北华盛祥和6万吨VC项目目前正在积极推进中，公司2026年7月公告已调整为一次性整体投资建设，预计于年内启动试生产，具体竣工时点以公司后续进展公告为准；储能电芯出于长循环寿命要求，电解液中VC添加比例普遍高于动力电池电解液；公司新工艺因涉及商业秘密考虑，暂不披露；同行将VC设备折旧年限由10年调整为6年，系其基于自身设备实际运行状况、所处技术环境及会计政策判断作出的个别安排。不同企业在设备材质、工艺路线、维护水平及产能迭代节奏上存在差异，折旧年限的确定需结合企业具体情况，依据会计准则关于资产预计使用寿命和净残值的判断标准执行。公司折旧政策一贯遵循企业会计准则要求，结合自身资产实际状况审慎确定。对于同行的具体会计估计变更，公司不便评论，建议以相关公司官方披露信息为准。感谢您对公司的关注，谢谢！</w:t>
            </w:r>
          </w:p>
          <w:p w14:paraId="53E13436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5、上半年VC收入5.82亿元、毛利率65.62%，FEC收入1.71亿元、毛利率26.93%，整体扭亏。请说明：在6万吨VC改为一次性整体建设后，预计投产节奏、达产利用率和降本目标如何；如果后续VC、FEC价格回落，公司靠什么产品结构和成本手段保持盈利不回撤？</w:t>
            </w:r>
          </w:p>
          <w:p w14:paraId="120B622B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答：尊敬的投资者您好！公司年产6万吨碳酸亚乙烯酯项目计划2026年内开始试生产，后续将结合市场需求合理安排产能释放节奏，保障产能利用率与市场需求相匹配。公司将持续优化产品结构，在稳固现有电解液添加剂产品的基础上，加快新型添加剂、负极相关产品的客户验证与市场导入，同时持续强化成本管控，增强整体盈利韧性。感谢您对公司的关注，谢谢！</w:t>
            </w:r>
          </w:p>
          <w:p w14:paraId="56B50E44">
            <w:pPr>
              <w:widowControl/>
              <w:adjustRightInd w:val="0"/>
              <w:snapToGrid w:val="0"/>
              <w:spacing w:before="156" w:beforeLines="50" w:after="156" w:afterLines="50" w:line="480" w:lineRule="exact"/>
              <w:ind w:firstLine="480" w:firstLineChars="200"/>
              <w:jc w:val="left"/>
              <w:rPr>
                <w:rFonts w:hint="default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6、3000吨LiFSI已试生产，LiDFOB、MMDS及负极一期在做客户测评和导入。请说明这几类新产品的验证进度、2026下半年到2027年可确认收入规模，以及经营现金流仍为负的情况下，新业务投入与回款改善如何平衡？</w:t>
            </w:r>
          </w:p>
          <w:p w14:paraId="0EDCE58A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楷体"/>
                <w:sz w:val="24"/>
                <w:shd w:val="clear" w:color="auto" w:fill="FFFFFF"/>
              </w:rPr>
            </w:pPr>
            <w:r>
              <w:rPr>
                <w:rFonts w:hint="default" w:ascii="Times New Roman" w:hAnsi="Times New Roman" w:eastAsia="楷体" w:cs="Times New Roman"/>
                <w:kern w:val="0"/>
                <w:sz w:val="24"/>
              </w:rPr>
              <w:t>答：尊敬的投资者您好！公司的新型添加剂及负极材料的客户测评与导入在正常推进中，新产品客户验证存在不确定性，未来的可确认收入规模请关注公司后续定期报告。在经营现金流仍为负的阶段，公司将统筹管控新业务资本投入节奏，同时持续加强现有业务回款管理，加快新产品客户导入，努力平衡项目投入与回款改善，感谢您对公司的关注，谢谢！</w:t>
            </w:r>
          </w:p>
        </w:tc>
      </w:tr>
      <w:tr w14:paraId="6C5F02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C0066">
            <w:pPr>
              <w:jc w:val="center"/>
              <w:rPr>
                <w:rFonts w:ascii="Times New Roman" w:hAnsi="Times New Roman" w:eastAsia="楷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"/>
                <w:b/>
                <w:bCs/>
                <w:sz w:val="24"/>
              </w:rPr>
              <w:t>附件清单（如有）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761EB33">
            <w:pPr>
              <w:rPr>
                <w:rFonts w:ascii="Times New Roman" w:hAnsi="Times New Roman" w:eastAsia="楷体"/>
                <w:sz w:val="24"/>
              </w:rPr>
            </w:pPr>
            <w:r>
              <w:rPr>
                <w:rFonts w:ascii="Times New Roman" w:hAnsi="Times New Roman" w:eastAsia="楷体"/>
                <w:sz w:val="24"/>
              </w:rPr>
              <w:t>无</w:t>
            </w:r>
          </w:p>
        </w:tc>
      </w:tr>
      <w:tr w14:paraId="59A00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032B3ED">
            <w:pPr>
              <w:jc w:val="center"/>
              <w:rPr>
                <w:rFonts w:ascii="Times New Roman" w:hAnsi="Times New Roman" w:eastAsia="楷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"/>
                <w:b/>
                <w:bCs/>
                <w:sz w:val="24"/>
              </w:rPr>
              <w:t>日期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3B0E1B">
            <w:pPr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hAnsi="Times New Roman" w:eastAsia="楷体"/>
                <w:sz w:val="24"/>
              </w:rPr>
              <w:t>2026</w:t>
            </w:r>
            <w:r>
              <w:rPr>
                <w:rFonts w:ascii="Times New Roman" w:hAnsi="Times New Roman" w:eastAsia="楷体"/>
                <w:sz w:val="24"/>
              </w:rPr>
              <w:t>年</w:t>
            </w:r>
            <w:r>
              <w:rPr>
                <w:rFonts w:hint="eastAsia" w:ascii="Times New Roman" w:hAnsi="Times New Roman" w:eastAsia="楷体"/>
                <w:sz w:val="24"/>
              </w:rPr>
              <w:t>9</w:t>
            </w:r>
            <w:r>
              <w:rPr>
                <w:rFonts w:ascii="Times New Roman" w:hAnsi="Times New Roman" w:eastAsia="楷体"/>
                <w:sz w:val="24"/>
              </w:rPr>
              <w:t>月</w:t>
            </w:r>
            <w:r>
              <w:rPr>
                <w:rFonts w:hint="eastAsia" w:ascii="Times New Roman" w:hAnsi="Times New Roman" w:eastAsia="楷体"/>
                <w:sz w:val="24"/>
              </w:rPr>
              <w:t>16日</w:t>
            </w:r>
          </w:p>
        </w:tc>
      </w:tr>
    </w:tbl>
    <w:p w14:paraId="78552ADE">
      <w:pPr>
        <w:widowControl/>
        <w:jc w:val="left"/>
      </w:pPr>
    </w:p>
    <w:sectPr>
      <w:headerReference r:id="rId3" w:type="default"/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Noto Sans SC Black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0057E">
    <w:pPr>
      <w:pStyle w:val="5"/>
      <w:rPr>
        <w:rFonts w:ascii="楷体" w:hAnsi="楷体" w:eastAsia="楷体"/>
      </w:rPr>
    </w:pPr>
    <w:r>
      <w:rPr>
        <w:rFonts w:hint="eastAsia" w:ascii="楷体" w:hAnsi="楷体" w:eastAsia="楷体"/>
      </w:rPr>
      <w:t xml:space="preserve">江苏华盛锂电材料股份有限公司 </w:t>
    </w:r>
    <w:r>
      <w:rPr>
        <w:rFonts w:ascii="楷体" w:hAnsi="楷体" w:eastAsia="楷体"/>
      </w:rPr>
      <w:t xml:space="preserve">                                               </w:t>
    </w:r>
    <w:r>
      <w:rPr>
        <w:rFonts w:hint="eastAsia" w:ascii="楷体" w:hAnsi="楷体" w:eastAsia="楷体"/>
      </w:rPr>
      <w:t>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D18"/>
    <w:rsid w:val="000031F2"/>
    <w:rsid w:val="000076A8"/>
    <w:rsid w:val="0001396B"/>
    <w:rsid w:val="00013B2C"/>
    <w:rsid w:val="000251BC"/>
    <w:rsid w:val="0002600A"/>
    <w:rsid w:val="00031EDC"/>
    <w:rsid w:val="00032FBF"/>
    <w:rsid w:val="0004190F"/>
    <w:rsid w:val="0006665D"/>
    <w:rsid w:val="000752AD"/>
    <w:rsid w:val="000B7145"/>
    <w:rsid w:val="000C0917"/>
    <w:rsid w:val="000D1EEA"/>
    <w:rsid w:val="000E0A29"/>
    <w:rsid w:val="000E4A02"/>
    <w:rsid w:val="000F7A15"/>
    <w:rsid w:val="00106CE5"/>
    <w:rsid w:val="00110AC1"/>
    <w:rsid w:val="00110FC0"/>
    <w:rsid w:val="00114A39"/>
    <w:rsid w:val="00114B26"/>
    <w:rsid w:val="00121DE3"/>
    <w:rsid w:val="00127A0C"/>
    <w:rsid w:val="0013291D"/>
    <w:rsid w:val="001356DC"/>
    <w:rsid w:val="00135DE9"/>
    <w:rsid w:val="00136571"/>
    <w:rsid w:val="0014063C"/>
    <w:rsid w:val="001716C9"/>
    <w:rsid w:val="00172A27"/>
    <w:rsid w:val="001764CF"/>
    <w:rsid w:val="00180E8C"/>
    <w:rsid w:val="00193575"/>
    <w:rsid w:val="001C3E04"/>
    <w:rsid w:val="001C65A5"/>
    <w:rsid w:val="001D107B"/>
    <w:rsid w:val="001D76A0"/>
    <w:rsid w:val="002051B0"/>
    <w:rsid w:val="00214F3F"/>
    <w:rsid w:val="0021568D"/>
    <w:rsid w:val="002345D8"/>
    <w:rsid w:val="002421F3"/>
    <w:rsid w:val="0025795E"/>
    <w:rsid w:val="002707AC"/>
    <w:rsid w:val="002A5DDA"/>
    <w:rsid w:val="002B1EA1"/>
    <w:rsid w:val="002B2792"/>
    <w:rsid w:val="002B5738"/>
    <w:rsid w:val="003046C0"/>
    <w:rsid w:val="003146EB"/>
    <w:rsid w:val="003168B2"/>
    <w:rsid w:val="00342805"/>
    <w:rsid w:val="00356C12"/>
    <w:rsid w:val="0036096D"/>
    <w:rsid w:val="00362CEE"/>
    <w:rsid w:val="003706EE"/>
    <w:rsid w:val="003712F0"/>
    <w:rsid w:val="00372B7B"/>
    <w:rsid w:val="00382BB7"/>
    <w:rsid w:val="00384A01"/>
    <w:rsid w:val="00385F42"/>
    <w:rsid w:val="003864BC"/>
    <w:rsid w:val="00391142"/>
    <w:rsid w:val="00394720"/>
    <w:rsid w:val="003A22AA"/>
    <w:rsid w:val="003A4773"/>
    <w:rsid w:val="003C56D1"/>
    <w:rsid w:val="003D2184"/>
    <w:rsid w:val="003E55B6"/>
    <w:rsid w:val="003E6473"/>
    <w:rsid w:val="003F6DC0"/>
    <w:rsid w:val="00402082"/>
    <w:rsid w:val="00415566"/>
    <w:rsid w:val="0042296F"/>
    <w:rsid w:val="00426B09"/>
    <w:rsid w:val="00432FC9"/>
    <w:rsid w:val="004413F5"/>
    <w:rsid w:val="00452094"/>
    <w:rsid w:val="00453D13"/>
    <w:rsid w:val="00456D35"/>
    <w:rsid w:val="00461E20"/>
    <w:rsid w:val="004646BB"/>
    <w:rsid w:val="00464AC6"/>
    <w:rsid w:val="004672FD"/>
    <w:rsid w:val="00476C84"/>
    <w:rsid w:val="004853F9"/>
    <w:rsid w:val="0049067C"/>
    <w:rsid w:val="00496215"/>
    <w:rsid w:val="00496ED9"/>
    <w:rsid w:val="004A033B"/>
    <w:rsid w:val="004A215B"/>
    <w:rsid w:val="004A227A"/>
    <w:rsid w:val="004B35E2"/>
    <w:rsid w:val="004B42FE"/>
    <w:rsid w:val="004C7EAD"/>
    <w:rsid w:val="004D001F"/>
    <w:rsid w:val="004D3F22"/>
    <w:rsid w:val="004D45FF"/>
    <w:rsid w:val="004E3115"/>
    <w:rsid w:val="004F3029"/>
    <w:rsid w:val="0050067C"/>
    <w:rsid w:val="005026B6"/>
    <w:rsid w:val="00502E9C"/>
    <w:rsid w:val="00520FE3"/>
    <w:rsid w:val="0052527D"/>
    <w:rsid w:val="00530F80"/>
    <w:rsid w:val="00532959"/>
    <w:rsid w:val="005515C2"/>
    <w:rsid w:val="00556BB3"/>
    <w:rsid w:val="0056159D"/>
    <w:rsid w:val="00563FA2"/>
    <w:rsid w:val="0056685A"/>
    <w:rsid w:val="005703A5"/>
    <w:rsid w:val="005761E2"/>
    <w:rsid w:val="005858D9"/>
    <w:rsid w:val="0059023D"/>
    <w:rsid w:val="00593A35"/>
    <w:rsid w:val="005B02EB"/>
    <w:rsid w:val="005C7A1B"/>
    <w:rsid w:val="005D4B0E"/>
    <w:rsid w:val="006010A3"/>
    <w:rsid w:val="0060293E"/>
    <w:rsid w:val="00605E6F"/>
    <w:rsid w:val="00612D1C"/>
    <w:rsid w:val="00613EDC"/>
    <w:rsid w:val="0062262A"/>
    <w:rsid w:val="006264DF"/>
    <w:rsid w:val="00627ADB"/>
    <w:rsid w:val="006439B3"/>
    <w:rsid w:val="00646058"/>
    <w:rsid w:val="006469A4"/>
    <w:rsid w:val="00661F6B"/>
    <w:rsid w:val="00664FF6"/>
    <w:rsid w:val="006655B9"/>
    <w:rsid w:val="006672F6"/>
    <w:rsid w:val="006B0D03"/>
    <w:rsid w:val="006B22F5"/>
    <w:rsid w:val="006C7C57"/>
    <w:rsid w:val="006D2E8D"/>
    <w:rsid w:val="006D389E"/>
    <w:rsid w:val="0071100A"/>
    <w:rsid w:val="00711238"/>
    <w:rsid w:val="0071206F"/>
    <w:rsid w:val="00712771"/>
    <w:rsid w:val="00720F84"/>
    <w:rsid w:val="0073320D"/>
    <w:rsid w:val="00736A80"/>
    <w:rsid w:val="00742D08"/>
    <w:rsid w:val="00744CAC"/>
    <w:rsid w:val="007460EB"/>
    <w:rsid w:val="00746C2A"/>
    <w:rsid w:val="007477DF"/>
    <w:rsid w:val="007713DA"/>
    <w:rsid w:val="00792EEF"/>
    <w:rsid w:val="007938F9"/>
    <w:rsid w:val="007A4530"/>
    <w:rsid w:val="007A6F30"/>
    <w:rsid w:val="007A7D7C"/>
    <w:rsid w:val="007B371D"/>
    <w:rsid w:val="007B4CF9"/>
    <w:rsid w:val="007C1B43"/>
    <w:rsid w:val="007D738A"/>
    <w:rsid w:val="007F2858"/>
    <w:rsid w:val="007F717B"/>
    <w:rsid w:val="007F74C6"/>
    <w:rsid w:val="007F7552"/>
    <w:rsid w:val="00800D77"/>
    <w:rsid w:val="00804834"/>
    <w:rsid w:val="00804B8F"/>
    <w:rsid w:val="00804DE1"/>
    <w:rsid w:val="008057B4"/>
    <w:rsid w:val="008414A2"/>
    <w:rsid w:val="00854B7A"/>
    <w:rsid w:val="00870B23"/>
    <w:rsid w:val="00891E31"/>
    <w:rsid w:val="00896842"/>
    <w:rsid w:val="008A10B2"/>
    <w:rsid w:val="008B1C28"/>
    <w:rsid w:val="008B5547"/>
    <w:rsid w:val="008C24CC"/>
    <w:rsid w:val="008C7A2E"/>
    <w:rsid w:val="008C7E7C"/>
    <w:rsid w:val="008D1D7F"/>
    <w:rsid w:val="008F64E9"/>
    <w:rsid w:val="008F77EE"/>
    <w:rsid w:val="00904EA2"/>
    <w:rsid w:val="00940831"/>
    <w:rsid w:val="00950339"/>
    <w:rsid w:val="00960FAA"/>
    <w:rsid w:val="009626AA"/>
    <w:rsid w:val="0097726C"/>
    <w:rsid w:val="0098008D"/>
    <w:rsid w:val="0098145D"/>
    <w:rsid w:val="00981912"/>
    <w:rsid w:val="009830FD"/>
    <w:rsid w:val="009918C4"/>
    <w:rsid w:val="009A084D"/>
    <w:rsid w:val="009B005C"/>
    <w:rsid w:val="009B0125"/>
    <w:rsid w:val="009B58AF"/>
    <w:rsid w:val="009C379C"/>
    <w:rsid w:val="009D40D8"/>
    <w:rsid w:val="009D718A"/>
    <w:rsid w:val="009E1B35"/>
    <w:rsid w:val="009E74AD"/>
    <w:rsid w:val="009F29D5"/>
    <w:rsid w:val="009F3DC7"/>
    <w:rsid w:val="009F3F06"/>
    <w:rsid w:val="00A02568"/>
    <w:rsid w:val="00A04DD5"/>
    <w:rsid w:val="00A05634"/>
    <w:rsid w:val="00A127DE"/>
    <w:rsid w:val="00A24A6E"/>
    <w:rsid w:val="00A3565D"/>
    <w:rsid w:val="00A55870"/>
    <w:rsid w:val="00A62859"/>
    <w:rsid w:val="00A6428F"/>
    <w:rsid w:val="00A73B46"/>
    <w:rsid w:val="00A75413"/>
    <w:rsid w:val="00A82D19"/>
    <w:rsid w:val="00A87B8F"/>
    <w:rsid w:val="00A9103F"/>
    <w:rsid w:val="00A93B61"/>
    <w:rsid w:val="00A950CC"/>
    <w:rsid w:val="00A96029"/>
    <w:rsid w:val="00AA1054"/>
    <w:rsid w:val="00AB3F05"/>
    <w:rsid w:val="00AC1815"/>
    <w:rsid w:val="00AC36A7"/>
    <w:rsid w:val="00AE1D23"/>
    <w:rsid w:val="00AF121D"/>
    <w:rsid w:val="00B029F9"/>
    <w:rsid w:val="00B0524B"/>
    <w:rsid w:val="00B16C30"/>
    <w:rsid w:val="00B203CE"/>
    <w:rsid w:val="00B273B0"/>
    <w:rsid w:val="00B418A3"/>
    <w:rsid w:val="00B4214A"/>
    <w:rsid w:val="00B533A2"/>
    <w:rsid w:val="00B5658A"/>
    <w:rsid w:val="00B62C32"/>
    <w:rsid w:val="00B64DFA"/>
    <w:rsid w:val="00B80D78"/>
    <w:rsid w:val="00B85A0D"/>
    <w:rsid w:val="00B86663"/>
    <w:rsid w:val="00B90446"/>
    <w:rsid w:val="00BA14F2"/>
    <w:rsid w:val="00BA5BFE"/>
    <w:rsid w:val="00BA7DD1"/>
    <w:rsid w:val="00BB4944"/>
    <w:rsid w:val="00BC3D46"/>
    <w:rsid w:val="00BD0C60"/>
    <w:rsid w:val="00BE08B7"/>
    <w:rsid w:val="00BE2645"/>
    <w:rsid w:val="00BE67F0"/>
    <w:rsid w:val="00C064EA"/>
    <w:rsid w:val="00C3372B"/>
    <w:rsid w:val="00C358B5"/>
    <w:rsid w:val="00C42CBD"/>
    <w:rsid w:val="00C4451C"/>
    <w:rsid w:val="00C510B0"/>
    <w:rsid w:val="00C51B18"/>
    <w:rsid w:val="00C5461F"/>
    <w:rsid w:val="00C61A3F"/>
    <w:rsid w:val="00C63FD3"/>
    <w:rsid w:val="00C70626"/>
    <w:rsid w:val="00C80A5E"/>
    <w:rsid w:val="00C947D4"/>
    <w:rsid w:val="00C95434"/>
    <w:rsid w:val="00CA27D4"/>
    <w:rsid w:val="00CA6F63"/>
    <w:rsid w:val="00CC62F4"/>
    <w:rsid w:val="00CC75B4"/>
    <w:rsid w:val="00CE3455"/>
    <w:rsid w:val="00CF0E73"/>
    <w:rsid w:val="00CF47E1"/>
    <w:rsid w:val="00CF6E94"/>
    <w:rsid w:val="00D0634E"/>
    <w:rsid w:val="00D1386F"/>
    <w:rsid w:val="00D156EC"/>
    <w:rsid w:val="00D320C3"/>
    <w:rsid w:val="00D57B48"/>
    <w:rsid w:val="00D667A0"/>
    <w:rsid w:val="00D83A19"/>
    <w:rsid w:val="00DA0D89"/>
    <w:rsid w:val="00DA3C8F"/>
    <w:rsid w:val="00DB2152"/>
    <w:rsid w:val="00DB35E3"/>
    <w:rsid w:val="00DB738F"/>
    <w:rsid w:val="00DC6FE4"/>
    <w:rsid w:val="00DD0014"/>
    <w:rsid w:val="00DD1BCC"/>
    <w:rsid w:val="00DD5690"/>
    <w:rsid w:val="00DD5E20"/>
    <w:rsid w:val="00DE1B2B"/>
    <w:rsid w:val="00DE7187"/>
    <w:rsid w:val="00DF0E83"/>
    <w:rsid w:val="00DF2823"/>
    <w:rsid w:val="00DF3D1C"/>
    <w:rsid w:val="00DF595E"/>
    <w:rsid w:val="00E04B86"/>
    <w:rsid w:val="00E055F9"/>
    <w:rsid w:val="00E11158"/>
    <w:rsid w:val="00E23166"/>
    <w:rsid w:val="00E27593"/>
    <w:rsid w:val="00E33B82"/>
    <w:rsid w:val="00E37D7D"/>
    <w:rsid w:val="00E42839"/>
    <w:rsid w:val="00E43D1B"/>
    <w:rsid w:val="00E43E56"/>
    <w:rsid w:val="00E46E07"/>
    <w:rsid w:val="00E509DB"/>
    <w:rsid w:val="00E51087"/>
    <w:rsid w:val="00E5460E"/>
    <w:rsid w:val="00E751D8"/>
    <w:rsid w:val="00E801B5"/>
    <w:rsid w:val="00E90C93"/>
    <w:rsid w:val="00E91FB3"/>
    <w:rsid w:val="00E9483C"/>
    <w:rsid w:val="00E95915"/>
    <w:rsid w:val="00EA151C"/>
    <w:rsid w:val="00EA7263"/>
    <w:rsid w:val="00EC7D20"/>
    <w:rsid w:val="00ED4235"/>
    <w:rsid w:val="00EE0078"/>
    <w:rsid w:val="00EE1486"/>
    <w:rsid w:val="00EE5C90"/>
    <w:rsid w:val="00EE7267"/>
    <w:rsid w:val="00EF18FB"/>
    <w:rsid w:val="00F05D98"/>
    <w:rsid w:val="00F3084E"/>
    <w:rsid w:val="00F347DB"/>
    <w:rsid w:val="00F3591D"/>
    <w:rsid w:val="00F572D6"/>
    <w:rsid w:val="00F6067C"/>
    <w:rsid w:val="00F6299C"/>
    <w:rsid w:val="00F65DD0"/>
    <w:rsid w:val="00F67637"/>
    <w:rsid w:val="00F739E9"/>
    <w:rsid w:val="00F7709D"/>
    <w:rsid w:val="00F838D5"/>
    <w:rsid w:val="00FA5733"/>
    <w:rsid w:val="00FA5D36"/>
    <w:rsid w:val="00FB0456"/>
    <w:rsid w:val="00FD02B3"/>
    <w:rsid w:val="00FD33E7"/>
    <w:rsid w:val="00FE2E5A"/>
    <w:rsid w:val="00FF4AE9"/>
    <w:rsid w:val="00FF5BE3"/>
    <w:rsid w:val="0FA94B57"/>
    <w:rsid w:val="23DB3F63"/>
    <w:rsid w:val="24465EFD"/>
    <w:rsid w:val="2E7712D2"/>
    <w:rsid w:val="2EF861C1"/>
    <w:rsid w:val="38EF7122"/>
    <w:rsid w:val="3F855194"/>
    <w:rsid w:val="64421FF9"/>
    <w:rsid w:val="67E5006B"/>
    <w:rsid w:val="714351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uiPriority w:val="0"/>
    <w:pPr>
      <w:jc w:val="left"/>
    </w:pPr>
  </w:style>
  <w:style w:type="paragraph" w:styleId="3">
    <w:name w:val="Balloon Text"/>
    <w:basedOn w:val="1"/>
    <w:link w:val="20"/>
    <w:semiHidden/>
    <w:unhideWhenUsed/>
    <w:uiPriority w:val="0"/>
    <w:rPr>
      <w:sz w:val="18"/>
      <w:szCs w:val="18"/>
    </w:r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9"/>
    <w:semiHidden/>
    <w:unhideWhenUsed/>
    <w:uiPriority w:val="0"/>
    <w:rPr>
      <w:b/>
      <w:bCs/>
    </w:rPr>
  </w:style>
  <w:style w:type="table" w:styleId="8">
    <w:name w:val="Table Grid"/>
    <w:basedOn w:val="7"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uiPriority w:val="0"/>
    <w:rPr>
      <w:sz w:val="21"/>
      <w:szCs w:val="21"/>
    </w:rPr>
  </w:style>
  <w:style w:type="paragraph" w:customStyle="1" w:styleId="11">
    <w:name w:val="Table Paragraph"/>
    <w:basedOn w:val="1"/>
    <w:qFormat/>
    <w:uiPriority w:val="0"/>
    <w:pPr>
      <w:jc w:val="left"/>
    </w:pPr>
    <w:rPr>
      <w:kern w:val="0"/>
      <w:sz w:val="22"/>
      <w:szCs w:val="22"/>
    </w:rPr>
  </w:style>
  <w:style w:type="table" w:customStyle="1" w:styleId="12">
    <w:name w:val="Table Normal"/>
    <w:basedOn w:val="7"/>
    <w:semiHidden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页眉 Char"/>
    <w:link w:val="5"/>
    <w:uiPriority w:val="0"/>
    <w:rPr>
      <w:rFonts w:cs="Times New Roman"/>
      <w:kern w:val="2"/>
      <w:sz w:val="18"/>
      <w:szCs w:val="18"/>
    </w:rPr>
  </w:style>
  <w:style w:type="character" w:customStyle="1" w:styleId="14">
    <w:name w:val="页脚 Char"/>
    <w:link w:val="4"/>
    <w:uiPriority w:val="0"/>
    <w:rPr>
      <w:rFonts w:cs="Times New Roman"/>
      <w:kern w:val="2"/>
      <w:sz w:val="18"/>
      <w:szCs w:val="18"/>
    </w:rPr>
  </w:style>
  <w:style w:type="paragraph" w:customStyle="1" w:styleId="15">
    <w:name w:val="列表段落1"/>
    <w:basedOn w:val="1"/>
    <w:qFormat/>
    <w:uiPriority w:val="99"/>
    <w:pPr>
      <w:ind w:firstLine="420" w:firstLineChars="200"/>
    </w:pPr>
  </w:style>
  <w:style w:type="character" w:customStyle="1" w:styleId="16">
    <w:name w:val="oli-avatar-text"/>
    <w:basedOn w:val="9"/>
    <w:uiPriority w:val="0"/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Char"/>
    <w:basedOn w:val="9"/>
    <w:link w:val="2"/>
    <w:semiHidden/>
    <w:uiPriority w:val="0"/>
    <w:rPr>
      <w:rFonts w:cs="Times New Roman"/>
      <w:kern w:val="2"/>
      <w:sz w:val="21"/>
      <w:szCs w:val="24"/>
    </w:rPr>
  </w:style>
  <w:style w:type="character" w:customStyle="1" w:styleId="19">
    <w:name w:val="批注主题 Char"/>
    <w:basedOn w:val="18"/>
    <w:link w:val="6"/>
    <w:semiHidden/>
    <w:uiPriority w:val="0"/>
    <w:rPr>
      <w:rFonts w:cs="Times New Roman"/>
      <w:b/>
      <w:bCs/>
      <w:kern w:val="2"/>
      <w:sz w:val="21"/>
      <w:szCs w:val="24"/>
    </w:rPr>
  </w:style>
  <w:style w:type="character" w:customStyle="1" w:styleId="20">
    <w:name w:val="批注框文本 Char"/>
    <w:basedOn w:val="9"/>
    <w:link w:val="3"/>
    <w:semiHidden/>
    <w:uiPriority w:val="0"/>
    <w:rPr>
      <w:rFonts w:cs="Times New Roman"/>
      <w:kern w:val="2"/>
      <w:sz w:val="18"/>
      <w:szCs w:val="18"/>
    </w:rPr>
  </w:style>
  <w:style w:type="paragraph" w:customStyle="1" w:styleId="21">
    <w:name w:val="Default"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customStyle="1" w:styleId="22">
    <w:name w:val="修订1"/>
    <w:hidden/>
    <w:semiHidden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15606-FAE6-44CE-BFA1-22471C70B1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Kingsoft</Company>
  <Pages>5</Pages>
  <Words>2488</Words>
  <Characters>2655</Characters>
  <Lines>2</Lines>
  <Paragraphs>5</Paragraphs>
  <TotalTime>25</TotalTime>
  <ScaleCrop>false</ScaleCrop>
  <LinksUpToDate>false</LinksUpToDate>
  <CharactersWithSpaces>2734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2024-05-10T01:05:00Z</dcterms:created>
  <dc:creator>86186</dc:creator>
  <cp:lastModifiedBy>朱凯</cp:lastModifiedBy>
  <cp:lastPrinted>2022-03-16T07:42:00Z</cp:lastPrinted>
  <dcterms:modified xsi:type="dcterms:W3CDTF">2026-09-16T07:30:25Z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eyJoZGlkIjoiYmQ0NGZjNDU0YzllMDM5YTMwODc4ZDk0NzgzNjgxODAiLCJ1c2VySWQiOiIyNDc2OTg4OTYifQ==</vt:lpwstr>
  </property>
  <property fmtid="{D5CDD505-2E9C-101B-9397-08002B2CF9AE}" pid="4" name="ICV">
    <vt:lpwstr>FB680C7561A44722B806D94819E91E62_12</vt:lpwstr>
  </property>
</Properties>
</file>