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356EA6">
      <w:pPr>
        <w:pStyle w:val="20"/>
        <w:jc w:val="center"/>
        <w:rPr>
          <w:rFonts w:ascii="宋体" w:hAnsi="宋体" w:eastAsia="宋体" w:cs="宋体"/>
          <w:b/>
          <w:bCs/>
          <w:color w:val="auto"/>
          <w:szCs w:val="28"/>
        </w:rPr>
      </w:pPr>
      <w:r>
        <w:rPr>
          <w:rFonts w:hint="eastAsia" w:ascii="宋体" w:hAnsi="宋体" w:eastAsia="宋体" w:cs="宋体"/>
          <w:b/>
          <w:bCs/>
          <w:color w:val="auto"/>
          <w:szCs w:val="28"/>
          <w:lang w:eastAsia="zh-Hans"/>
        </w:rPr>
        <w:t>金科环境</w:t>
      </w:r>
      <w:r>
        <w:rPr>
          <w:rFonts w:hint="eastAsia" w:ascii="宋体" w:hAnsi="宋体" w:eastAsia="宋体" w:cs="宋体"/>
          <w:b/>
          <w:bCs/>
          <w:color w:val="auto"/>
          <w:szCs w:val="28"/>
        </w:rPr>
        <w:t>股份有限公司</w:t>
      </w:r>
    </w:p>
    <w:p w14:paraId="29E2CA38">
      <w:pPr>
        <w:pStyle w:val="20"/>
        <w:jc w:val="center"/>
        <w:rPr>
          <w:rFonts w:ascii="宋体" w:hAnsi="宋体" w:eastAsia="宋体" w:cs="宋体"/>
          <w:b/>
          <w:bCs/>
          <w:color w:val="auto"/>
          <w:szCs w:val="28"/>
        </w:rPr>
      </w:pPr>
      <w:r>
        <w:rPr>
          <w:rFonts w:hint="eastAsia" w:ascii="宋体" w:hAnsi="宋体" w:eastAsia="宋体" w:cs="宋体"/>
          <w:b/>
          <w:bCs/>
          <w:color w:val="auto"/>
          <w:szCs w:val="28"/>
        </w:rPr>
        <w:t>投资者关系活动记录表</w:t>
      </w:r>
    </w:p>
    <w:p w14:paraId="7C74A02E">
      <w:pPr>
        <w:wordWrap w:val="0"/>
        <w:jc w:val="right"/>
        <w:rPr>
          <w:rFonts w:hint="default" w:ascii="宋体" w:hAnsi="宋体" w:eastAsia="宋体" w:cs="Times New Roman"/>
          <w:sz w:val="24"/>
          <w:lang w:val="en-US" w:eastAsia="zh-CN"/>
        </w:rPr>
      </w:pPr>
      <w:r>
        <w:rPr>
          <w:rFonts w:hint="eastAsia" w:ascii="宋体" w:hAnsi="宋体" w:eastAsia="宋体" w:cs="Times New Roman"/>
        </w:rPr>
        <w:t>编号</w:t>
      </w:r>
      <w:r>
        <w:rPr>
          <w:rFonts w:ascii="宋体" w:hAnsi="宋体" w:eastAsia="宋体" w:cs="Times New Roman"/>
        </w:rPr>
        <w:t>：</w:t>
      </w:r>
      <w:r>
        <w:rPr>
          <w:rFonts w:hint="eastAsia" w:ascii="宋体" w:hAnsi="宋体" w:eastAsia="宋体" w:cs="Times New Roman"/>
        </w:rPr>
        <w:t>2</w:t>
      </w:r>
      <w:r>
        <w:rPr>
          <w:rFonts w:ascii="宋体" w:hAnsi="宋体" w:eastAsia="宋体" w:cs="Times New Roman"/>
        </w:rPr>
        <w:t>02</w:t>
      </w:r>
      <w:r>
        <w:rPr>
          <w:rFonts w:hint="eastAsia" w:ascii="宋体" w:hAnsi="宋体" w:eastAsia="宋体" w:cs="Times New Roman"/>
          <w:lang w:val="en-US" w:eastAsia="zh-CN"/>
        </w:rPr>
        <w:t>6</w:t>
      </w:r>
      <w:r>
        <w:rPr>
          <w:rFonts w:hint="eastAsia" w:ascii="宋体" w:hAnsi="宋体" w:eastAsia="宋体" w:cs="Times New Roman"/>
        </w:rPr>
        <w:t>-0</w:t>
      </w:r>
      <w:r>
        <w:rPr>
          <w:rFonts w:hint="eastAsia" w:ascii="宋体" w:hAnsi="宋体" w:eastAsia="宋体" w:cs="Times New Roman"/>
          <w:lang w:val="en-US" w:eastAsia="zh-CN"/>
        </w:rPr>
        <w:t>6</w:t>
      </w:r>
    </w:p>
    <w:tbl>
      <w:tblPr>
        <w:tblStyle w:val="21"/>
        <w:tblW w:w="9073"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7229"/>
      </w:tblGrid>
      <w:tr w14:paraId="3C3C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0" w:hRule="atLeast"/>
        </w:trPr>
        <w:tc>
          <w:tcPr>
            <w:tcW w:w="1844" w:type="dxa"/>
            <w:vAlign w:val="center"/>
          </w:tcPr>
          <w:p w14:paraId="2131FCC0">
            <w:pPr>
              <w:spacing w:line="240" w:lineRule="auto"/>
              <w:jc w:val="center"/>
              <w:rPr>
                <w:rFonts w:hint="eastAsia" w:ascii="宋体" w:hAnsi="宋体" w:eastAsia="宋体" w:cs="宋体"/>
                <w:b/>
                <w:bCs/>
                <w:color w:val="auto"/>
                <w:szCs w:val="21"/>
                <w:u w:val="none"/>
              </w:rPr>
            </w:pPr>
            <w:r>
              <w:rPr>
                <w:rFonts w:hint="eastAsia" w:ascii="宋体" w:hAnsi="宋体" w:eastAsia="宋体" w:cs="宋体"/>
                <w:b/>
                <w:bCs/>
                <w:color w:val="auto"/>
                <w:szCs w:val="21"/>
                <w:u w:val="none"/>
              </w:rPr>
              <w:t>投资者关系活动类别</w:t>
            </w:r>
          </w:p>
        </w:tc>
        <w:tc>
          <w:tcPr>
            <w:tcW w:w="7229" w:type="dxa"/>
            <w:vAlign w:val="center"/>
          </w:tcPr>
          <w:p w14:paraId="15BA04EE">
            <w:pPr>
              <w:spacing w:line="240" w:lineRule="auto"/>
              <w:rPr>
                <w:rFonts w:hint="eastAsia" w:ascii="宋体" w:hAnsi="宋体" w:eastAsia="宋体" w:cs="宋体"/>
                <w:color w:val="auto"/>
                <w:szCs w:val="21"/>
                <w:u w:val="none"/>
              </w:rPr>
            </w:pPr>
            <w:r>
              <w:rPr>
                <w:rFonts w:hint="eastAsia" w:ascii="宋体" w:hAnsi="宋体" w:eastAsia="宋体" w:cs="宋体"/>
                <w:color w:val="auto"/>
                <w:szCs w:val="21"/>
                <w:u w:val="none"/>
                <w:lang w:eastAsia="zh-CN"/>
              </w:rPr>
              <w:t>□</w:t>
            </w:r>
            <w:r>
              <w:rPr>
                <w:rFonts w:hint="eastAsia" w:ascii="宋体" w:hAnsi="宋体" w:eastAsia="宋体" w:cs="宋体"/>
                <w:color w:val="auto"/>
                <w:szCs w:val="21"/>
                <w:u w:val="none"/>
              </w:rPr>
              <w:t>特定对象调研</w:t>
            </w:r>
            <w:r>
              <w:rPr>
                <w:rFonts w:hint="eastAsia" w:ascii="宋体" w:hAnsi="宋体" w:eastAsia="宋体" w:cs="宋体"/>
                <w:color w:val="auto"/>
                <w:szCs w:val="21"/>
                <w:u w:val="none"/>
                <w:lang w:val="en-US" w:eastAsia="zh-CN"/>
              </w:rPr>
              <w:t xml:space="preserve">      </w:t>
            </w:r>
            <w:r>
              <w:rPr>
                <w:rFonts w:hint="eastAsia" w:ascii="宋体" w:hAnsi="宋体" w:eastAsia="宋体" w:cs="宋体"/>
                <w:color w:val="auto"/>
                <w:szCs w:val="21"/>
                <w:u w:val="none"/>
                <w:lang w:eastAsia="zh-CN"/>
              </w:rPr>
              <w:t>□</w:t>
            </w:r>
            <w:r>
              <w:rPr>
                <w:rFonts w:hint="eastAsia" w:ascii="宋体" w:hAnsi="宋体" w:eastAsia="宋体" w:cs="宋体"/>
                <w:color w:val="auto"/>
                <w:szCs w:val="21"/>
                <w:u w:val="none"/>
              </w:rPr>
              <w:t>分析师会议</w:t>
            </w:r>
          </w:p>
          <w:p w14:paraId="1C5BD443">
            <w:pPr>
              <w:autoSpaceDE w:val="0"/>
              <w:autoSpaceDN w:val="0"/>
              <w:spacing w:line="240" w:lineRule="auto"/>
              <w:rPr>
                <w:rFonts w:hint="eastAsia" w:ascii="宋体" w:hAnsi="宋体" w:eastAsia="宋体" w:cs="宋体"/>
                <w:color w:val="auto"/>
                <w:kern w:val="0"/>
                <w:szCs w:val="21"/>
                <w:u w:val="none"/>
              </w:rPr>
            </w:pPr>
            <w:r>
              <w:rPr>
                <w:rFonts w:hint="eastAsia" w:ascii="宋体" w:hAnsi="宋体" w:eastAsia="宋体" w:cs="宋体"/>
                <w:color w:val="auto"/>
                <w:szCs w:val="21"/>
                <w:u w:val="none"/>
              </w:rPr>
              <w:t>□</w:t>
            </w:r>
            <w:r>
              <w:rPr>
                <w:rFonts w:hint="eastAsia" w:ascii="宋体" w:hAnsi="宋体" w:eastAsia="宋体" w:cs="宋体"/>
                <w:color w:val="auto"/>
                <w:kern w:val="0"/>
                <w:szCs w:val="21"/>
                <w:u w:val="none"/>
              </w:rPr>
              <w:t>媒体采访</w:t>
            </w:r>
            <w:r>
              <w:rPr>
                <w:rFonts w:hint="eastAsia" w:ascii="宋体" w:hAnsi="宋体" w:eastAsia="宋体" w:cs="宋体"/>
                <w:color w:val="auto"/>
                <w:kern w:val="0"/>
                <w:szCs w:val="21"/>
                <w:u w:val="none"/>
                <w:lang w:val="en-US" w:eastAsia="zh-CN"/>
              </w:rPr>
              <w:t xml:space="preserve">          </w:t>
            </w:r>
            <w:r>
              <w:rPr>
                <w:rFonts w:hint="eastAsia" w:ascii="宋体" w:hAnsi="宋体" w:eastAsia="宋体" w:cs="宋体"/>
                <w:color w:val="auto"/>
                <w:szCs w:val="21"/>
                <w:u w:val="none"/>
                <w:lang w:eastAsia="zh-CN"/>
              </w:rPr>
              <w:t>☑</w:t>
            </w:r>
            <w:r>
              <w:rPr>
                <w:rFonts w:hint="eastAsia" w:ascii="宋体" w:hAnsi="宋体" w:eastAsia="宋体" w:cs="宋体"/>
                <w:color w:val="auto"/>
                <w:kern w:val="0"/>
                <w:szCs w:val="21"/>
                <w:u w:val="none"/>
              </w:rPr>
              <w:t>业绩说明会</w:t>
            </w:r>
          </w:p>
          <w:p w14:paraId="09EAD1DB">
            <w:pPr>
              <w:autoSpaceDE w:val="0"/>
              <w:autoSpaceDN w:val="0"/>
              <w:spacing w:line="240" w:lineRule="auto"/>
              <w:rPr>
                <w:rFonts w:hint="eastAsia" w:ascii="宋体" w:hAnsi="宋体" w:eastAsia="宋体" w:cs="宋体"/>
                <w:color w:val="auto"/>
                <w:kern w:val="0"/>
                <w:szCs w:val="21"/>
                <w:u w:val="none"/>
              </w:rPr>
            </w:pPr>
            <w:r>
              <w:rPr>
                <w:rFonts w:hint="eastAsia" w:ascii="宋体" w:hAnsi="宋体" w:eastAsia="宋体" w:cs="宋体"/>
                <w:color w:val="auto"/>
                <w:kern w:val="0"/>
                <w:szCs w:val="21"/>
                <w:u w:val="none"/>
              </w:rPr>
              <w:t>□新闻发布会</w:t>
            </w:r>
            <w:r>
              <w:rPr>
                <w:rFonts w:hint="eastAsia" w:ascii="宋体" w:hAnsi="宋体" w:eastAsia="宋体" w:cs="宋体"/>
                <w:color w:val="auto"/>
                <w:kern w:val="0"/>
                <w:szCs w:val="21"/>
                <w:u w:val="none"/>
                <w:lang w:val="en-US" w:eastAsia="zh-CN"/>
              </w:rPr>
              <w:t xml:space="preserve">        </w:t>
            </w:r>
            <w:r>
              <w:rPr>
                <w:rFonts w:hint="eastAsia" w:ascii="宋体" w:hAnsi="宋体" w:eastAsia="宋体" w:cs="宋体"/>
                <w:color w:val="auto"/>
                <w:szCs w:val="21"/>
                <w:u w:val="none"/>
                <w:lang w:eastAsia="zh-CN"/>
              </w:rPr>
              <w:t>□</w:t>
            </w:r>
            <w:r>
              <w:rPr>
                <w:rFonts w:hint="eastAsia" w:ascii="宋体" w:hAnsi="宋体" w:eastAsia="宋体" w:cs="宋体"/>
                <w:color w:val="auto"/>
                <w:kern w:val="0"/>
                <w:szCs w:val="21"/>
                <w:u w:val="none"/>
              </w:rPr>
              <w:t>路演活动</w:t>
            </w:r>
          </w:p>
          <w:p w14:paraId="108164ED">
            <w:pPr>
              <w:spacing w:line="240" w:lineRule="auto"/>
              <w:rPr>
                <w:rFonts w:hint="eastAsia" w:ascii="宋体" w:hAnsi="宋体" w:eastAsia="宋体" w:cs="宋体"/>
                <w:color w:val="auto"/>
                <w:szCs w:val="21"/>
                <w:u w:val="none"/>
              </w:rPr>
            </w:pPr>
            <w:r>
              <w:rPr>
                <w:rFonts w:hint="eastAsia" w:ascii="宋体" w:hAnsi="宋体" w:eastAsia="宋体" w:cs="宋体"/>
                <w:color w:val="auto"/>
                <w:szCs w:val="21"/>
                <w:u w:val="none"/>
                <w:lang w:eastAsia="zh-CN"/>
              </w:rPr>
              <w:t>□</w:t>
            </w:r>
            <w:r>
              <w:rPr>
                <w:rFonts w:hint="eastAsia" w:ascii="宋体" w:hAnsi="宋体" w:eastAsia="宋体" w:cs="宋体"/>
                <w:color w:val="auto"/>
                <w:szCs w:val="21"/>
                <w:u w:val="none"/>
              </w:rPr>
              <w:t>现场参观</w:t>
            </w:r>
          </w:p>
          <w:p w14:paraId="5905D1FC">
            <w:pPr>
              <w:spacing w:line="240" w:lineRule="auto"/>
              <w:rPr>
                <w:rFonts w:hint="default" w:ascii="宋体" w:hAnsi="宋体" w:eastAsia="宋体" w:cs="宋体"/>
                <w:color w:val="auto"/>
                <w:szCs w:val="21"/>
                <w:u w:val="none"/>
                <w:lang w:val="en-US" w:eastAsia="zh-CN"/>
              </w:rPr>
            </w:pPr>
            <w:r>
              <w:rPr>
                <w:rFonts w:hint="eastAsia" w:ascii="宋体" w:hAnsi="宋体" w:eastAsia="宋体" w:cs="宋体"/>
                <w:color w:val="auto"/>
                <w:szCs w:val="21"/>
                <w:u w:val="none"/>
                <w:lang w:eastAsia="zh-CN"/>
              </w:rPr>
              <w:t>□</w:t>
            </w:r>
            <w:r>
              <w:rPr>
                <w:rFonts w:hint="eastAsia" w:ascii="宋体" w:hAnsi="宋体" w:eastAsia="宋体" w:cs="宋体"/>
                <w:color w:val="auto"/>
                <w:szCs w:val="21"/>
                <w:u w:val="none"/>
              </w:rPr>
              <w:t>其他</w:t>
            </w:r>
            <w:r>
              <w:rPr>
                <w:rFonts w:hint="eastAsia" w:ascii="宋体" w:hAnsi="宋体" w:eastAsia="宋体" w:cs="宋体"/>
                <w:color w:val="auto"/>
                <w:szCs w:val="21"/>
                <w:u w:val="none"/>
                <w:lang w:val="en-US" w:eastAsia="zh-CN"/>
              </w:rPr>
              <w:t>（请文字说明）</w:t>
            </w:r>
          </w:p>
        </w:tc>
      </w:tr>
      <w:tr w14:paraId="0227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844" w:type="dxa"/>
            <w:vAlign w:val="center"/>
          </w:tcPr>
          <w:p w14:paraId="720BAA4A">
            <w:pPr>
              <w:spacing w:line="240" w:lineRule="auto"/>
              <w:jc w:val="center"/>
              <w:rPr>
                <w:rFonts w:hint="eastAsia" w:ascii="宋体" w:hAnsi="宋体" w:eastAsia="宋体" w:cs="宋体"/>
                <w:b/>
                <w:bCs/>
                <w:color w:val="auto"/>
                <w:szCs w:val="21"/>
                <w:u w:val="none"/>
              </w:rPr>
            </w:pPr>
            <w:r>
              <w:rPr>
                <w:rFonts w:hint="eastAsia" w:ascii="宋体" w:hAnsi="宋体" w:eastAsia="宋体" w:cs="宋体"/>
                <w:b/>
                <w:bCs/>
                <w:color w:val="auto"/>
                <w:szCs w:val="21"/>
                <w:u w:val="none"/>
              </w:rPr>
              <w:t>参与单位</w:t>
            </w:r>
          </w:p>
        </w:tc>
        <w:tc>
          <w:tcPr>
            <w:tcW w:w="7229" w:type="dxa"/>
            <w:vAlign w:val="center"/>
          </w:tcPr>
          <w:p w14:paraId="20BC8BE8">
            <w:pPr>
              <w:rPr>
                <w:rFonts w:hint="eastAsia" w:ascii="宋体" w:hAnsi="宋体" w:eastAsia="宋体" w:cs="宋体"/>
                <w:color w:val="auto"/>
                <w:szCs w:val="21"/>
                <w:u w:val="none"/>
                <w:lang w:eastAsia="zh-CN"/>
              </w:rPr>
            </w:pPr>
            <w:r>
              <w:rPr>
                <w:rFonts w:hint="eastAsia" w:ascii="宋体" w:hAnsi="宋体" w:eastAsia="宋体" w:cs="Times New Roman"/>
                <w:sz w:val="21"/>
                <w:szCs w:val="21"/>
              </w:rPr>
              <w:t>通过上证路演中心（</w:t>
            </w:r>
            <w:r>
              <w:rPr>
                <w:rFonts w:ascii="宋体" w:hAnsi="宋体" w:eastAsia="宋体" w:cs="Times New Roman"/>
                <w:sz w:val="21"/>
                <w:szCs w:val="21"/>
              </w:rPr>
              <w:t>http://roadshow.sseinfo.com）</w:t>
            </w:r>
            <w:r>
              <w:rPr>
                <w:rFonts w:hint="eastAsia" w:ascii="宋体" w:hAnsi="宋体" w:eastAsia="宋体" w:cs="Times New Roman"/>
                <w:sz w:val="21"/>
                <w:szCs w:val="21"/>
              </w:rPr>
              <w:t>参与“</w:t>
            </w:r>
            <w:r>
              <w:rPr>
                <w:rFonts w:hint="eastAsia" w:ascii="宋体" w:hAnsi="宋体" w:eastAsia="宋体" w:cs="Times New Roman"/>
                <w:sz w:val="21"/>
                <w:szCs w:val="21"/>
                <w:lang w:eastAsia="zh-Hans"/>
              </w:rPr>
              <w:t>金科环境</w:t>
            </w:r>
            <w:r>
              <w:rPr>
                <w:rFonts w:ascii="宋体" w:hAnsi="宋体" w:eastAsia="宋体" w:cs="Times New Roman"/>
                <w:sz w:val="21"/>
                <w:szCs w:val="21"/>
              </w:rPr>
              <w:t>202</w:t>
            </w:r>
            <w:r>
              <w:rPr>
                <w:rFonts w:hint="eastAsia" w:ascii="宋体" w:hAnsi="宋体" w:eastAsia="宋体" w:cs="Times New Roman"/>
                <w:sz w:val="21"/>
                <w:szCs w:val="21"/>
                <w:lang w:val="en-US" w:eastAsia="zh-CN"/>
              </w:rPr>
              <w:t>6</w:t>
            </w:r>
            <w:r>
              <w:rPr>
                <w:rFonts w:ascii="宋体" w:hAnsi="宋体" w:eastAsia="宋体" w:cs="Times New Roman"/>
                <w:sz w:val="21"/>
                <w:szCs w:val="21"/>
              </w:rPr>
              <w:t>年</w:t>
            </w:r>
            <w:r>
              <w:rPr>
                <w:rFonts w:hint="eastAsia" w:ascii="宋体" w:hAnsi="宋体" w:eastAsia="宋体" w:cs="Times New Roman"/>
                <w:sz w:val="21"/>
                <w:szCs w:val="21"/>
                <w:lang w:val="en-US" w:eastAsia="zh-CN"/>
              </w:rPr>
              <w:t>半</w:t>
            </w:r>
            <w:r>
              <w:rPr>
                <w:rFonts w:hint="eastAsia" w:ascii="宋体" w:hAnsi="宋体" w:eastAsia="宋体" w:cs="Times New Roman"/>
                <w:sz w:val="21"/>
                <w:szCs w:val="21"/>
              </w:rPr>
              <w:t>年度</w:t>
            </w:r>
            <w:r>
              <w:rPr>
                <w:rFonts w:ascii="宋体" w:hAnsi="宋体" w:eastAsia="宋体" w:cs="Times New Roman"/>
                <w:sz w:val="21"/>
                <w:szCs w:val="21"/>
              </w:rPr>
              <w:t>业绩说明会</w:t>
            </w:r>
            <w:r>
              <w:rPr>
                <w:rFonts w:hint="eastAsia" w:ascii="宋体" w:hAnsi="宋体" w:eastAsia="宋体" w:cs="Times New Roman"/>
                <w:sz w:val="21"/>
                <w:szCs w:val="21"/>
              </w:rPr>
              <w:t>”的广大投资者</w:t>
            </w:r>
          </w:p>
        </w:tc>
      </w:tr>
      <w:tr w14:paraId="075D0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1844" w:type="dxa"/>
            <w:vAlign w:val="center"/>
          </w:tcPr>
          <w:p w14:paraId="3C9C2018">
            <w:pPr>
              <w:spacing w:line="240" w:lineRule="auto"/>
              <w:jc w:val="center"/>
              <w:rPr>
                <w:rFonts w:hint="eastAsia" w:ascii="宋体" w:hAnsi="宋体" w:eastAsia="宋体" w:cs="宋体"/>
                <w:b/>
                <w:bCs/>
                <w:color w:val="auto"/>
                <w:szCs w:val="21"/>
                <w:u w:val="none"/>
              </w:rPr>
            </w:pPr>
            <w:r>
              <w:rPr>
                <w:rFonts w:hint="eastAsia" w:ascii="宋体" w:hAnsi="宋体" w:eastAsia="宋体" w:cs="宋体"/>
                <w:b/>
                <w:bCs/>
                <w:color w:val="auto"/>
                <w:szCs w:val="21"/>
                <w:u w:val="none"/>
              </w:rPr>
              <w:t>公司接待人员姓名及职务</w:t>
            </w:r>
          </w:p>
        </w:tc>
        <w:tc>
          <w:tcPr>
            <w:tcW w:w="7229" w:type="dxa"/>
            <w:vAlign w:val="center"/>
          </w:tcPr>
          <w:p w14:paraId="47D31941">
            <w:pPr>
              <w:spacing w:line="240" w:lineRule="auto"/>
              <w:rPr>
                <w:rFonts w:hint="eastAsia" w:ascii="宋体" w:hAnsi="宋体" w:eastAsia="宋体" w:cs="宋体"/>
                <w:color w:val="auto"/>
                <w:szCs w:val="21"/>
                <w:u w:val="none"/>
                <w:lang w:val="en-US" w:eastAsia="zh-CN"/>
              </w:rPr>
            </w:pPr>
            <w:r>
              <w:rPr>
                <w:rFonts w:hint="eastAsia" w:ascii="宋体" w:hAnsi="宋体" w:eastAsia="宋体" w:cs="宋体"/>
                <w:color w:val="auto"/>
                <w:szCs w:val="21"/>
                <w:u w:val="none"/>
                <w:lang w:val="en-US" w:eastAsia="zh-CN"/>
              </w:rPr>
              <w:t>董事长、总经理：张慧春</w:t>
            </w:r>
          </w:p>
          <w:p w14:paraId="1C4B1478">
            <w:pPr>
              <w:spacing w:line="240" w:lineRule="auto"/>
              <w:rPr>
                <w:rFonts w:hint="eastAsia" w:ascii="宋体" w:hAnsi="宋体" w:eastAsia="宋体" w:cs="宋体"/>
                <w:color w:val="auto"/>
                <w:szCs w:val="21"/>
                <w:u w:val="none"/>
              </w:rPr>
            </w:pPr>
            <w:r>
              <w:rPr>
                <w:rFonts w:hint="eastAsia" w:ascii="宋体" w:hAnsi="宋体" w:eastAsia="宋体" w:cs="宋体"/>
                <w:color w:val="auto"/>
                <w:szCs w:val="21"/>
                <w:u w:val="none"/>
              </w:rPr>
              <w:t>副总经理、董事会秘书</w:t>
            </w:r>
            <w:r>
              <w:rPr>
                <w:rFonts w:hint="eastAsia" w:ascii="宋体" w:hAnsi="宋体" w:eastAsia="宋体" w:cs="宋体"/>
                <w:color w:val="auto"/>
                <w:szCs w:val="21"/>
                <w:u w:val="none"/>
                <w:lang w:val="en-US" w:eastAsia="zh-CN"/>
              </w:rPr>
              <w:t>：</w:t>
            </w:r>
            <w:r>
              <w:rPr>
                <w:rFonts w:hint="eastAsia" w:ascii="宋体" w:hAnsi="宋体" w:eastAsia="宋体" w:cs="宋体"/>
                <w:color w:val="auto"/>
                <w:szCs w:val="21"/>
                <w:u w:val="none"/>
                <w:lang w:eastAsia="zh-Hans"/>
              </w:rPr>
              <w:t>陈安娜</w:t>
            </w:r>
          </w:p>
          <w:p w14:paraId="34549D32">
            <w:pPr>
              <w:spacing w:line="240" w:lineRule="auto"/>
              <w:rPr>
                <w:rFonts w:hint="default" w:ascii="monospace" w:hAnsi="monospace" w:eastAsia="monospace" w:cs="monospace"/>
                <w:i w:val="0"/>
                <w:iCs w:val="0"/>
                <w:caps w:val="0"/>
                <w:color w:val="auto"/>
                <w:spacing w:val="0"/>
                <w:sz w:val="20"/>
                <w:szCs w:val="20"/>
                <w:shd w:val="clear" w:fill="FFFFFF"/>
              </w:rPr>
            </w:pPr>
            <w:r>
              <w:rPr>
                <w:rFonts w:hint="default" w:ascii="monospace" w:hAnsi="monospace" w:eastAsia="monospace" w:cs="monospace"/>
                <w:i w:val="0"/>
                <w:iCs w:val="0"/>
                <w:caps w:val="0"/>
                <w:color w:val="auto"/>
                <w:spacing w:val="0"/>
                <w:sz w:val="20"/>
                <w:szCs w:val="20"/>
                <w:shd w:val="clear" w:fill="FFFFFF"/>
              </w:rPr>
              <w:t>独立董事</w:t>
            </w:r>
            <w:r>
              <w:rPr>
                <w:rFonts w:hint="eastAsia" w:ascii="宋体" w:hAnsi="宋体" w:eastAsia="宋体" w:cs="宋体"/>
                <w:color w:val="auto"/>
                <w:szCs w:val="21"/>
                <w:u w:val="none"/>
                <w:lang w:val="en-US" w:eastAsia="zh-CN"/>
              </w:rPr>
              <w:t>：</w:t>
            </w:r>
            <w:r>
              <w:rPr>
                <w:rFonts w:hint="eastAsia" w:ascii="monospace" w:hAnsi="monospace" w:eastAsia="monospace" w:cs="monospace"/>
                <w:i w:val="0"/>
                <w:iCs w:val="0"/>
                <w:caps w:val="0"/>
                <w:color w:val="auto"/>
                <w:spacing w:val="0"/>
                <w:sz w:val="20"/>
                <w:szCs w:val="20"/>
                <w:shd w:val="clear" w:fill="FFFFFF"/>
                <w:lang w:eastAsia="zh-Hans"/>
              </w:rPr>
              <w:t>陈飞勇</w:t>
            </w:r>
          </w:p>
          <w:p w14:paraId="1251C049">
            <w:pPr>
              <w:spacing w:line="240" w:lineRule="auto"/>
              <w:rPr>
                <w:rFonts w:hint="default" w:ascii="monospace" w:hAnsi="monospace" w:eastAsia="monospace" w:cs="monospace"/>
                <w:i w:val="0"/>
                <w:iCs w:val="0"/>
                <w:caps w:val="0"/>
                <w:color w:val="auto"/>
                <w:spacing w:val="0"/>
                <w:sz w:val="20"/>
                <w:szCs w:val="20"/>
                <w:shd w:val="clear" w:fill="FFFFFF"/>
              </w:rPr>
            </w:pPr>
            <w:r>
              <w:rPr>
                <w:rFonts w:hint="default" w:ascii="monospace" w:hAnsi="monospace" w:eastAsia="monospace" w:cs="monospace"/>
                <w:i w:val="0"/>
                <w:iCs w:val="0"/>
                <w:caps w:val="0"/>
                <w:color w:val="auto"/>
                <w:spacing w:val="0"/>
                <w:sz w:val="20"/>
                <w:szCs w:val="20"/>
                <w:shd w:val="clear" w:fill="FFFFFF"/>
              </w:rPr>
              <w:t>独立董事</w:t>
            </w:r>
            <w:r>
              <w:rPr>
                <w:rFonts w:hint="eastAsia" w:ascii="宋体" w:hAnsi="宋体" w:eastAsia="宋体" w:cs="宋体"/>
                <w:color w:val="auto"/>
                <w:szCs w:val="21"/>
                <w:u w:val="none"/>
                <w:lang w:val="en-US" w:eastAsia="zh-CN"/>
              </w:rPr>
              <w:t>：</w:t>
            </w:r>
            <w:r>
              <w:rPr>
                <w:rFonts w:hint="default" w:ascii="monospace" w:hAnsi="monospace" w:eastAsia="monospace" w:cs="monospace"/>
                <w:i w:val="0"/>
                <w:iCs w:val="0"/>
                <w:caps w:val="0"/>
                <w:color w:val="auto"/>
                <w:spacing w:val="0"/>
                <w:sz w:val="20"/>
                <w:szCs w:val="20"/>
                <w:shd w:val="clear" w:fill="FFFFFF"/>
              </w:rPr>
              <w:t>车尔娸</w:t>
            </w:r>
          </w:p>
          <w:p w14:paraId="247788B8">
            <w:pPr>
              <w:spacing w:line="240" w:lineRule="auto"/>
              <w:rPr>
                <w:rFonts w:hint="eastAsia" w:ascii="monospace" w:hAnsi="monospace" w:eastAsia="monospace" w:cs="monospace"/>
                <w:i w:val="0"/>
                <w:iCs w:val="0"/>
                <w:caps w:val="0"/>
                <w:color w:val="auto"/>
                <w:spacing w:val="0"/>
                <w:sz w:val="20"/>
                <w:szCs w:val="20"/>
                <w:shd w:val="clear" w:fill="FFFFFF"/>
                <w:lang w:eastAsia="zh-Hans"/>
              </w:rPr>
            </w:pPr>
            <w:r>
              <w:rPr>
                <w:rFonts w:hint="default" w:ascii="monospace" w:hAnsi="monospace" w:eastAsia="monospace" w:cs="monospace"/>
                <w:i w:val="0"/>
                <w:iCs w:val="0"/>
                <w:caps w:val="0"/>
                <w:color w:val="auto"/>
                <w:spacing w:val="0"/>
                <w:sz w:val="20"/>
                <w:szCs w:val="20"/>
                <w:shd w:val="clear" w:fill="FFFFFF"/>
              </w:rPr>
              <w:t>财务总监</w:t>
            </w:r>
            <w:r>
              <w:rPr>
                <w:rFonts w:hint="eastAsia" w:ascii="宋体" w:hAnsi="宋体" w:eastAsia="宋体" w:cs="宋体"/>
                <w:color w:val="auto"/>
                <w:szCs w:val="21"/>
                <w:u w:val="none"/>
                <w:lang w:val="en-US" w:eastAsia="zh-CN"/>
              </w:rPr>
              <w:t>：</w:t>
            </w:r>
            <w:r>
              <w:rPr>
                <w:rFonts w:hint="default" w:ascii="monospace" w:hAnsi="monospace" w:eastAsia="monospace" w:cs="monospace"/>
                <w:i w:val="0"/>
                <w:iCs w:val="0"/>
                <w:caps w:val="0"/>
                <w:color w:val="auto"/>
                <w:spacing w:val="0"/>
                <w:sz w:val="20"/>
                <w:szCs w:val="20"/>
                <w:shd w:val="clear" w:fill="FFFFFF"/>
              </w:rPr>
              <w:t>谭婷</w:t>
            </w:r>
          </w:p>
        </w:tc>
      </w:tr>
      <w:tr w14:paraId="1996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844" w:type="dxa"/>
            <w:vAlign w:val="center"/>
          </w:tcPr>
          <w:p w14:paraId="17A8BFE4">
            <w:pPr>
              <w:spacing w:line="240" w:lineRule="auto"/>
              <w:jc w:val="center"/>
              <w:rPr>
                <w:rFonts w:hint="eastAsia" w:ascii="宋体" w:hAnsi="宋体" w:eastAsia="宋体" w:cs="宋体"/>
                <w:b/>
                <w:bCs/>
                <w:color w:val="auto"/>
                <w:szCs w:val="21"/>
                <w:u w:val="none"/>
              </w:rPr>
            </w:pPr>
            <w:r>
              <w:rPr>
                <w:rFonts w:hint="eastAsia" w:ascii="宋体" w:hAnsi="宋体" w:eastAsia="宋体" w:cs="宋体"/>
                <w:b/>
                <w:bCs/>
                <w:color w:val="auto"/>
                <w:szCs w:val="21"/>
                <w:u w:val="none"/>
              </w:rPr>
              <w:t>时间</w:t>
            </w:r>
          </w:p>
        </w:tc>
        <w:tc>
          <w:tcPr>
            <w:tcW w:w="7229" w:type="dxa"/>
            <w:vAlign w:val="center"/>
          </w:tcPr>
          <w:p w14:paraId="3FD64161">
            <w:pPr>
              <w:spacing w:line="240" w:lineRule="auto"/>
              <w:rPr>
                <w:rFonts w:hint="default"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u w:val="none"/>
              </w:rPr>
              <w:t>202</w:t>
            </w:r>
            <w:r>
              <w:rPr>
                <w:rFonts w:hint="eastAsia" w:ascii="宋体" w:hAnsi="宋体" w:eastAsia="宋体" w:cs="宋体"/>
                <w:color w:val="auto"/>
                <w:szCs w:val="21"/>
                <w:highlight w:val="none"/>
                <w:u w:val="none"/>
                <w:lang w:val="en-US" w:eastAsia="zh-CN"/>
              </w:rPr>
              <w:t>6</w:t>
            </w:r>
            <w:r>
              <w:rPr>
                <w:rFonts w:hint="eastAsia" w:ascii="宋体" w:hAnsi="宋体" w:eastAsia="宋体" w:cs="宋体"/>
                <w:color w:val="auto"/>
                <w:szCs w:val="21"/>
                <w:highlight w:val="none"/>
                <w:u w:val="none"/>
              </w:rPr>
              <w:t>年</w:t>
            </w:r>
            <w:r>
              <w:rPr>
                <w:rFonts w:hint="eastAsia" w:ascii="宋体" w:hAnsi="宋体" w:eastAsia="宋体" w:cs="宋体"/>
                <w:color w:val="auto"/>
                <w:szCs w:val="21"/>
                <w:highlight w:val="none"/>
                <w:u w:val="none"/>
                <w:lang w:val="en-US" w:eastAsia="zh-CN"/>
              </w:rPr>
              <w:t>9</w:t>
            </w:r>
            <w:r>
              <w:rPr>
                <w:rFonts w:hint="eastAsia" w:ascii="宋体" w:hAnsi="宋体" w:eastAsia="宋体" w:cs="宋体"/>
                <w:color w:val="auto"/>
                <w:szCs w:val="21"/>
                <w:highlight w:val="none"/>
                <w:u w:val="none"/>
              </w:rPr>
              <w:t>月</w:t>
            </w:r>
            <w:r>
              <w:rPr>
                <w:rFonts w:hint="eastAsia" w:ascii="宋体" w:hAnsi="宋体" w:eastAsia="宋体" w:cs="宋体"/>
                <w:color w:val="auto"/>
                <w:szCs w:val="21"/>
                <w:highlight w:val="none"/>
                <w:u w:val="none"/>
                <w:lang w:val="en-US" w:eastAsia="zh-CN"/>
              </w:rPr>
              <w:t>16日</w:t>
            </w:r>
          </w:p>
        </w:tc>
      </w:tr>
      <w:tr w14:paraId="19E6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844" w:type="dxa"/>
            <w:vAlign w:val="center"/>
          </w:tcPr>
          <w:p w14:paraId="50BCD302">
            <w:pPr>
              <w:spacing w:line="240" w:lineRule="auto"/>
              <w:jc w:val="center"/>
              <w:rPr>
                <w:rFonts w:hint="eastAsia" w:ascii="宋体" w:hAnsi="宋体" w:eastAsia="宋体" w:cs="宋体"/>
                <w:b/>
                <w:bCs/>
                <w:color w:val="auto"/>
                <w:szCs w:val="21"/>
                <w:u w:val="none"/>
              </w:rPr>
            </w:pPr>
            <w:r>
              <w:rPr>
                <w:rFonts w:hint="eastAsia" w:ascii="宋体" w:hAnsi="宋体" w:eastAsia="宋体" w:cs="宋体"/>
                <w:b/>
                <w:bCs/>
                <w:color w:val="auto"/>
                <w:szCs w:val="21"/>
                <w:u w:val="none"/>
              </w:rPr>
              <w:t>地点</w:t>
            </w:r>
          </w:p>
        </w:tc>
        <w:tc>
          <w:tcPr>
            <w:tcW w:w="7229" w:type="dxa"/>
            <w:vAlign w:val="center"/>
          </w:tcPr>
          <w:p w14:paraId="76F7C253">
            <w:pPr>
              <w:spacing w:line="240" w:lineRule="auto"/>
              <w:rPr>
                <w:rFonts w:hint="default" w:ascii="宋体" w:hAnsi="宋体" w:eastAsia="宋体" w:cs="宋体"/>
                <w:color w:val="auto"/>
                <w:szCs w:val="21"/>
                <w:u w:val="none"/>
                <w:lang w:val="en-US" w:eastAsia="zh-CN"/>
              </w:rPr>
            </w:pPr>
            <w:r>
              <w:rPr>
                <w:rFonts w:hint="default" w:ascii="宋体" w:hAnsi="宋体" w:eastAsia="宋体" w:cs="宋体"/>
                <w:color w:val="auto"/>
                <w:szCs w:val="21"/>
                <w:u w:val="none"/>
                <w:lang w:val="en-US" w:eastAsia="zh-CN"/>
              </w:rPr>
              <w:t>上证路演中心（http://roadshow.sseinfo.com）</w:t>
            </w:r>
          </w:p>
        </w:tc>
      </w:tr>
      <w:tr w14:paraId="3A0A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844" w:type="dxa"/>
            <w:vAlign w:val="center"/>
          </w:tcPr>
          <w:p w14:paraId="4815F51F">
            <w:pPr>
              <w:spacing w:line="240" w:lineRule="auto"/>
              <w:jc w:val="center"/>
              <w:rPr>
                <w:rFonts w:hint="eastAsia" w:ascii="宋体" w:hAnsi="宋体" w:eastAsia="宋体" w:cs="宋体"/>
                <w:b/>
                <w:bCs/>
                <w:color w:val="auto"/>
                <w:szCs w:val="21"/>
                <w:u w:val="none"/>
              </w:rPr>
            </w:pPr>
            <w:r>
              <w:rPr>
                <w:rFonts w:hint="eastAsia" w:ascii="宋体" w:hAnsi="宋体" w:eastAsia="宋体" w:cs="宋体"/>
                <w:b/>
                <w:bCs/>
                <w:color w:val="auto"/>
                <w:szCs w:val="21"/>
                <w:u w:val="none"/>
              </w:rPr>
              <w:t>投资者关系活动主要内容介绍</w:t>
            </w:r>
          </w:p>
        </w:tc>
        <w:tc>
          <w:tcPr>
            <w:tcW w:w="7229" w:type="dxa"/>
          </w:tcPr>
          <w:p w14:paraId="41E31723">
            <w:pPr>
              <w:pStyle w:val="11"/>
              <w:numPr>
                <w:ilvl w:val="0"/>
                <w:numId w:val="0"/>
              </w:numPr>
              <w:spacing w:line="240" w:lineRule="auto"/>
              <w:ind w:left="0" w:leftChars="0" w:firstLine="0" w:firstLineChars="0"/>
              <w:rPr>
                <w:rFonts w:hint="eastAsia" w:ascii="宋体" w:hAnsi="宋体" w:eastAsia="宋体" w:cs="宋体"/>
                <w:b/>
                <w:bCs w:val="0"/>
                <w:color w:val="auto"/>
                <w:kern w:val="2"/>
                <w:sz w:val="21"/>
                <w:szCs w:val="21"/>
                <w:lang w:val="en-US" w:eastAsia="zh-CN" w:bidi="ar-SA"/>
              </w:rPr>
            </w:pPr>
          </w:p>
          <w:p w14:paraId="1D19F342">
            <w:pPr>
              <w:widowControl w:val="0"/>
              <w:numPr>
                <w:ilvl w:val="0"/>
                <w:numId w:val="0"/>
              </w:numPr>
              <w:jc w:val="both"/>
              <w:rPr>
                <w:rFonts w:hint="eastAsia" w:ascii="宋体" w:hAnsi="宋体" w:eastAsia="宋体" w:cs="宋体"/>
                <w:color w:val="auto"/>
                <w:lang w:val="en-US" w:eastAsia="zh-CN"/>
              </w:rPr>
            </w:pPr>
            <w:r>
              <w:rPr>
                <w:rFonts w:hint="eastAsia" w:ascii="宋体" w:hAnsi="宋体" w:eastAsia="宋体" w:cs="宋体"/>
                <w:color w:val="auto"/>
                <w:kern w:val="2"/>
                <w:sz w:val="21"/>
                <w:szCs w:val="22"/>
                <w:lang w:val="en-US" w:eastAsia="zh-CN" w:bidi="ar-SA"/>
              </w:rPr>
              <w:t>一、</w:t>
            </w:r>
            <w:r>
              <w:rPr>
                <w:rFonts w:hint="eastAsia" w:ascii="宋体" w:hAnsi="宋体" w:eastAsia="宋体" w:cs="宋体"/>
                <w:b/>
                <w:bCs/>
                <w:color w:val="auto"/>
                <w:lang w:val="en-US" w:eastAsia="zh-CN"/>
              </w:rPr>
              <w:t>董事长致辞</w:t>
            </w:r>
            <w:r>
              <w:rPr>
                <w:rFonts w:hint="eastAsia" w:ascii="宋体" w:hAnsi="宋体" w:eastAsia="宋体" w:cs="宋体"/>
                <w:color w:val="auto"/>
                <w:lang w:val="en-US" w:eastAsia="zh-CN"/>
              </w:rPr>
              <w:t xml:space="preserve"> </w:t>
            </w:r>
          </w:p>
          <w:p w14:paraId="5F7C70CE">
            <w:pPr>
              <w:widowControl w:val="0"/>
              <w:numPr>
                <w:ilvl w:val="0"/>
                <w:numId w:val="0"/>
              </w:numPr>
              <w:jc w:val="both"/>
              <w:rPr>
                <w:rFonts w:hint="eastAsia" w:ascii="宋体" w:hAnsi="宋体" w:eastAsia="宋体" w:cs="宋体"/>
                <w:color w:val="auto"/>
                <w:lang w:val="en-US" w:eastAsia="zh-CN"/>
              </w:rPr>
            </w:pPr>
          </w:p>
          <w:p w14:paraId="1CF9A417">
            <w:pPr>
              <w:widowControl w:val="0"/>
              <w:ind w:firstLine="420"/>
              <w:jc w:val="both"/>
              <w:rPr>
                <w:rFonts w:hint="eastAsia" w:ascii="宋体" w:hAnsi="宋体" w:eastAsia="宋体" w:cs="宋体"/>
                <w:color w:val="auto"/>
                <w:lang w:val="en-US" w:eastAsia="zh-CN"/>
              </w:rPr>
            </w:pPr>
            <w:r>
              <w:rPr>
                <w:rFonts w:hint="eastAsia" w:ascii="宋体" w:hAnsi="宋体" w:eastAsia="宋体" w:cs="宋体"/>
                <w:color w:val="auto"/>
                <w:lang w:val="en-US" w:eastAsia="zh-CN"/>
              </w:rPr>
              <w:t>尊敬的各位来宾、各位投资者，大家好，我是金科环境的董事长张慧春。感谢大家在百忙中抽空参加本次金科环境</w:t>
            </w:r>
            <w:r>
              <w:rPr>
                <w:rFonts w:hint="eastAsia" w:ascii="宋体" w:hAnsi="宋体" w:eastAsia="宋体" w:cs="宋体"/>
                <w:color w:val="auto"/>
                <w:highlight w:val="none"/>
                <w:lang w:val="en-US" w:eastAsia="zh-CN"/>
              </w:rPr>
              <w:t>业绩说明会，</w:t>
            </w:r>
            <w:r>
              <w:rPr>
                <w:rFonts w:hint="eastAsia" w:ascii="宋体" w:hAnsi="宋体" w:eastAsia="宋体" w:cs="宋体"/>
                <w:color w:val="auto"/>
                <w:lang w:val="en-US" w:eastAsia="zh-CN"/>
              </w:rPr>
              <w:t>在此我谨代表公司董事会、管理层和全体员工向长期以来关心和支持金科环境的投资者朋友表示热烈的欢迎与衷心的感谢，同时也感谢上交所和上证路演中心对本次活动的大力支持。</w:t>
            </w:r>
          </w:p>
          <w:p w14:paraId="4734FC8B">
            <w:pPr>
              <w:widowControl w:val="0"/>
              <w:ind w:firstLine="420"/>
              <w:jc w:val="both"/>
              <w:rPr>
                <w:rFonts w:hint="eastAsia" w:ascii="宋体" w:hAnsi="宋体" w:eastAsia="宋体" w:cs="宋体"/>
                <w:color w:val="auto"/>
                <w:lang w:val="en-US" w:eastAsia="zh-CN"/>
              </w:rPr>
            </w:pPr>
          </w:p>
          <w:p w14:paraId="01A14085">
            <w:pPr>
              <w:widowControl w:val="0"/>
              <w:ind w:firstLine="420"/>
              <w:jc w:val="both"/>
              <w:rPr>
                <w:rFonts w:hint="eastAsia" w:ascii="宋体" w:hAnsi="宋体" w:eastAsia="宋体" w:cs="宋体"/>
                <w:color w:val="auto"/>
                <w:lang w:val="en-US" w:eastAsia="zh-CN"/>
              </w:rPr>
            </w:pPr>
            <w:r>
              <w:rPr>
                <w:rFonts w:hint="eastAsia" w:ascii="宋体" w:hAnsi="宋体" w:eastAsia="宋体" w:cs="宋体"/>
                <w:color w:val="auto"/>
                <w:lang w:val="en-US" w:eastAsia="zh-CN"/>
              </w:rPr>
              <w:t>金科环境是持续专注水的深度处理和污废水资源化领域的国家高新技术企业、国家级第五批专精特新“小巨人”企业。公司以“AI为人类带来水自由”为使命，以“成为用AI实现人类用水自由的创新者和领导者”为愿景，致力于人工智能在水处理垂直领域的深度融合与应用。</w:t>
            </w:r>
          </w:p>
          <w:p w14:paraId="7E6BD5CF">
            <w:pPr>
              <w:widowControl w:val="0"/>
              <w:ind w:firstLine="420"/>
              <w:jc w:val="both"/>
              <w:rPr>
                <w:rFonts w:hint="eastAsia" w:ascii="宋体" w:hAnsi="宋体" w:eastAsia="宋体" w:cs="宋体"/>
                <w:color w:val="auto"/>
                <w:lang w:val="en-US" w:eastAsia="zh-CN"/>
              </w:rPr>
            </w:pPr>
          </w:p>
          <w:p w14:paraId="077DFE1F">
            <w:pPr>
              <w:widowControl w:val="0"/>
              <w:ind w:firstLine="422" w:firstLineChars="200"/>
              <w:jc w:val="both"/>
              <w:rPr>
                <w:rFonts w:hint="eastAsia" w:ascii="宋体" w:hAnsi="宋体" w:eastAsia="宋体" w:cs="宋体"/>
                <w:b/>
                <w:bCs/>
                <w:color w:val="auto"/>
              </w:rPr>
            </w:pPr>
            <w:r>
              <w:rPr>
                <w:rFonts w:hint="eastAsia" w:ascii="宋体" w:hAnsi="宋体" w:eastAsia="宋体" w:cs="宋体"/>
                <w:b/>
                <w:bCs/>
                <w:color w:val="auto"/>
              </w:rPr>
              <w:t>金科环境使命与战略升级</w:t>
            </w:r>
          </w:p>
          <w:p w14:paraId="39558A0C">
            <w:pPr>
              <w:widowControl w:val="0"/>
              <w:jc w:val="both"/>
              <w:rPr>
                <w:rFonts w:hint="eastAsia" w:ascii="宋体" w:hAnsi="宋体" w:eastAsia="宋体" w:cs="宋体"/>
                <w:b/>
                <w:bCs/>
                <w:color w:val="auto"/>
              </w:rPr>
            </w:pPr>
            <w:r>
              <w:rPr>
                <w:rFonts w:hint="eastAsia" w:ascii="宋体" w:hAnsi="宋体" w:eastAsia="宋体" w:cs="宋体"/>
                <w:b/>
                <w:bCs/>
                <w:color w:val="auto"/>
              </w:rPr>
              <w:t xml:space="preserve"> </w:t>
            </w:r>
          </w:p>
          <w:p w14:paraId="5E312D51">
            <w:pPr>
              <w:keepNext w:val="0"/>
              <w:keepLines w:val="0"/>
              <w:suppressLineNumbers w:val="0"/>
              <w:spacing w:before="0" w:beforeAutospacing="0" w:after="0" w:afterAutospacing="0"/>
              <w:ind w:left="0" w:right="0" w:firstLine="420" w:firstLineChars="200"/>
              <w:rPr>
                <w:rFonts w:hint="eastAsia" w:ascii="宋体" w:hAnsi="宋体" w:eastAsia="宋体" w:cs="宋体"/>
                <w:lang w:val="en-US"/>
              </w:rPr>
            </w:pPr>
            <w:r>
              <w:rPr>
                <w:rFonts w:hint="eastAsia" w:ascii="宋体" w:hAnsi="宋体" w:eastAsia="宋体" w:cs="宋体"/>
                <w:lang w:val="en-US"/>
              </w:rPr>
              <w:t>金科环境致力于人工智能在水处理垂直领域的深度融合与应用，</w:t>
            </w:r>
            <w:r>
              <w:rPr>
                <w:rFonts w:hint="eastAsia" w:ascii="宋体" w:hAnsi="宋体" w:eastAsia="宋体" w:cs="宋体"/>
                <w:lang w:val="en-US" w:eastAsia="zh-CN"/>
              </w:rPr>
              <w:t>公司</w:t>
            </w:r>
            <w:r>
              <w:rPr>
                <w:rFonts w:hint="eastAsia" w:ascii="宋体" w:hAnsi="宋体" w:eastAsia="宋体" w:cs="宋体"/>
                <w:lang w:val="en-US"/>
              </w:rPr>
              <w:t>以“AI为人类带来水自由”为使命，经过二十多年持续研发投入和产品创新迭代，推出新水岛®和水萝卜®AI智能体，从底层逻辑重构水处理厂的建设范式和运维范式，从而颠覆性改变水行业传统模式。</w:t>
            </w:r>
          </w:p>
          <w:p w14:paraId="25FAA88F">
            <w:pPr>
              <w:keepNext w:val="0"/>
              <w:keepLines w:val="0"/>
              <w:suppressLineNumbers w:val="0"/>
              <w:spacing w:before="0" w:beforeAutospacing="0" w:after="0" w:afterAutospacing="0"/>
              <w:ind w:left="0" w:right="0" w:firstLine="420" w:firstLineChars="200"/>
              <w:rPr>
                <w:rFonts w:hint="eastAsia" w:ascii="宋体" w:hAnsi="宋体" w:eastAsia="宋体" w:cs="宋体"/>
                <w:lang w:val="en-US"/>
              </w:rPr>
            </w:pPr>
            <w:r>
              <w:rPr>
                <w:rFonts w:hint="eastAsia" w:ascii="宋体" w:hAnsi="宋体" w:eastAsia="宋体" w:cs="宋体"/>
                <w:lang w:val="en-US"/>
              </w:rPr>
              <w:t xml:space="preserve">用水安全是客户最为核心的诉求，保障系统运行安全可靠，亦是公司产品研发、设计落地的首要目标。 </w:t>
            </w:r>
          </w:p>
          <w:p w14:paraId="3ABF39C2">
            <w:pPr>
              <w:keepNext w:val="0"/>
              <w:keepLines w:val="0"/>
              <w:suppressLineNumbers w:val="0"/>
              <w:spacing w:before="0" w:beforeAutospacing="0" w:after="0" w:afterAutospacing="0"/>
              <w:ind w:left="0" w:right="0" w:firstLine="420" w:firstLineChars="200"/>
              <w:rPr>
                <w:rFonts w:hint="eastAsia" w:ascii="宋体" w:hAnsi="宋体" w:eastAsia="宋体" w:cs="宋体"/>
                <w:lang w:val="en-US"/>
              </w:rPr>
            </w:pPr>
            <w:r>
              <w:rPr>
                <w:rFonts w:hint="eastAsia" w:ascii="宋体" w:hAnsi="宋体" w:eastAsia="宋体" w:cs="宋体"/>
                <w:lang w:val="en-US"/>
              </w:rPr>
              <w:t>新水岛®的研发打造融合六大核心支撑体系：</w:t>
            </w:r>
          </w:p>
          <w:p w14:paraId="2D77FA4F">
            <w:pPr>
              <w:keepNext w:val="0"/>
              <w:keepLines w:val="0"/>
              <w:suppressLineNumbers w:val="0"/>
              <w:spacing w:before="0" w:beforeAutospacing="0" w:after="0" w:afterAutospacing="0"/>
              <w:ind w:left="0" w:right="0" w:firstLine="420" w:firstLineChars="200"/>
              <w:rPr>
                <w:rFonts w:hint="eastAsia" w:ascii="宋体" w:hAnsi="宋体" w:eastAsia="宋体" w:cs="宋体"/>
                <w:lang w:val="en-US"/>
              </w:rPr>
            </w:pPr>
            <w:r>
              <w:rPr>
                <w:rFonts w:hint="eastAsia" w:ascii="宋体" w:hAnsi="宋体" w:eastAsia="宋体" w:cs="宋体"/>
                <w:lang w:val="en-US"/>
              </w:rPr>
              <w:t xml:space="preserve">（1）历经多年持续迭代打磨的标准化水处理工艺与整套系统设计方案； </w:t>
            </w:r>
          </w:p>
          <w:p w14:paraId="3F892D4E">
            <w:pPr>
              <w:keepNext w:val="0"/>
              <w:keepLines w:val="0"/>
              <w:suppressLineNumbers w:val="0"/>
              <w:spacing w:before="0" w:beforeAutospacing="0" w:after="0" w:afterAutospacing="0"/>
              <w:ind w:left="0" w:right="0" w:firstLine="420" w:firstLineChars="200"/>
              <w:rPr>
                <w:rFonts w:hint="eastAsia" w:ascii="宋体" w:hAnsi="宋体" w:eastAsia="宋体" w:cs="宋体"/>
                <w:lang w:val="en-US"/>
              </w:rPr>
            </w:pPr>
            <w:r>
              <w:rPr>
                <w:rFonts w:hint="eastAsia" w:ascii="宋体" w:hAnsi="宋体" w:eastAsia="宋体" w:cs="宋体"/>
                <w:lang w:val="en-US"/>
              </w:rPr>
              <w:t xml:space="preserve">（2）遵循工业化流水线作业的全过程质量管控制造体系； </w:t>
            </w:r>
          </w:p>
          <w:p w14:paraId="5D562DF2">
            <w:pPr>
              <w:keepNext w:val="0"/>
              <w:keepLines w:val="0"/>
              <w:suppressLineNumbers w:val="0"/>
              <w:spacing w:before="0" w:beforeAutospacing="0" w:after="0" w:afterAutospacing="0"/>
              <w:ind w:left="0" w:right="0" w:firstLine="420" w:firstLineChars="200"/>
              <w:rPr>
                <w:rFonts w:hint="eastAsia" w:ascii="宋体" w:hAnsi="宋体" w:eastAsia="宋体" w:cs="宋体"/>
                <w:lang w:val="en-US"/>
              </w:rPr>
            </w:pPr>
            <w:r>
              <w:rPr>
                <w:rFonts w:hint="eastAsia" w:ascii="宋体" w:hAnsi="宋体" w:eastAsia="宋体" w:cs="宋体"/>
                <w:lang w:val="en-US"/>
              </w:rPr>
              <w:t xml:space="preserve">（3）依托海量已投运项目运行数据不断迭代训练的具身智能算法； </w:t>
            </w:r>
          </w:p>
          <w:p w14:paraId="74062A4F">
            <w:pPr>
              <w:keepNext w:val="0"/>
              <w:keepLines w:val="0"/>
              <w:suppressLineNumbers w:val="0"/>
              <w:spacing w:before="0" w:beforeAutospacing="0" w:after="0" w:afterAutospacing="0"/>
              <w:ind w:left="0" w:right="0" w:firstLine="420" w:firstLineChars="200"/>
              <w:rPr>
                <w:rFonts w:hint="eastAsia" w:ascii="宋体" w:hAnsi="宋体" w:eastAsia="宋体" w:cs="宋体"/>
                <w:lang w:val="en-US"/>
              </w:rPr>
            </w:pPr>
            <w:r>
              <w:rPr>
                <w:rFonts w:hint="eastAsia" w:ascii="宋体" w:hAnsi="宋体" w:eastAsia="宋体" w:cs="宋体"/>
                <w:lang w:val="en-US"/>
              </w:rPr>
              <w:t xml:space="preserve">（4）经过批量项目落地验证、性能先进且运行稳定的硬件配套设备； </w:t>
            </w:r>
          </w:p>
          <w:p w14:paraId="01F092F0">
            <w:pPr>
              <w:keepNext w:val="0"/>
              <w:keepLines w:val="0"/>
              <w:suppressLineNumbers w:val="0"/>
              <w:spacing w:before="0" w:beforeAutospacing="0" w:after="0" w:afterAutospacing="0"/>
              <w:ind w:left="0" w:right="0" w:firstLine="420" w:firstLineChars="200"/>
              <w:rPr>
                <w:rFonts w:hint="eastAsia" w:ascii="宋体" w:hAnsi="宋体" w:eastAsia="宋体" w:cs="宋体"/>
                <w:lang w:val="en-US"/>
              </w:rPr>
            </w:pPr>
            <w:r>
              <w:rPr>
                <w:rFonts w:hint="eastAsia" w:ascii="宋体" w:hAnsi="宋体" w:eastAsia="宋体" w:cs="宋体"/>
                <w:lang w:val="en-US"/>
              </w:rPr>
              <w:t xml:space="preserve">（5）水萝卜®AI系统具备预判隐患、前置处置的预测性维护能力，可实现设备故障“治未病”； </w:t>
            </w:r>
          </w:p>
          <w:p w14:paraId="378BFA37">
            <w:pPr>
              <w:keepNext w:val="0"/>
              <w:keepLines w:val="0"/>
              <w:suppressLineNumbers w:val="0"/>
              <w:spacing w:before="0" w:beforeAutospacing="0" w:after="0" w:afterAutospacing="0"/>
              <w:ind w:left="0" w:right="0" w:firstLine="420" w:firstLineChars="200"/>
              <w:rPr>
                <w:rFonts w:hint="eastAsia" w:ascii="宋体" w:hAnsi="宋体" w:eastAsia="宋体" w:cs="宋体"/>
                <w:lang w:val="en-US"/>
              </w:rPr>
            </w:pPr>
            <w:r>
              <w:rPr>
                <w:rFonts w:hint="eastAsia" w:ascii="宋体" w:hAnsi="宋体" w:eastAsia="宋体" w:cs="宋体"/>
                <w:lang w:val="en-US"/>
              </w:rPr>
              <w:t>（6）水萝卜®OPEX优化算法稳定保障出水水质及水量。</w:t>
            </w:r>
          </w:p>
          <w:p w14:paraId="0FA5F4F3">
            <w:pPr>
              <w:keepNext w:val="0"/>
              <w:keepLines w:val="0"/>
              <w:suppressLineNumbers w:val="0"/>
              <w:spacing w:before="0" w:beforeAutospacing="0" w:after="0" w:afterAutospacing="0"/>
              <w:ind w:left="0" w:right="0" w:firstLine="420" w:firstLineChars="200"/>
              <w:rPr>
                <w:rFonts w:hint="eastAsia" w:ascii="宋体" w:hAnsi="宋体" w:eastAsia="宋体" w:cs="宋体"/>
                <w:lang w:val="en-US"/>
              </w:rPr>
            </w:pPr>
            <w:r>
              <w:rPr>
                <w:rFonts w:hint="eastAsia" w:ascii="宋体" w:hAnsi="宋体" w:eastAsia="宋体" w:cs="宋体"/>
                <w:lang w:val="en-US"/>
              </w:rPr>
              <w:t>新水岛®作为可替代传统工程化水厂、搭载水萝卜®AI系统实现全程无人值守运行的标准化工业产品，依托全链条产品化理念贯穿设计、生产制造与后期运营全周期，使得设备具备稳定、安全、可靠的运行特质。</w:t>
            </w:r>
          </w:p>
          <w:p w14:paraId="221C00B9">
            <w:pPr>
              <w:keepNext w:val="0"/>
              <w:keepLines w:val="0"/>
              <w:suppressLineNumbers w:val="0"/>
              <w:spacing w:before="0" w:beforeAutospacing="0" w:after="0" w:afterAutospacing="0"/>
              <w:ind w:left="0" w:right="0" w:firstLine="420" w:firstLineChars="200"/>
              <w:rPr>
                <w:rFonts w:hint="eastAsia" w:ascii="宋体" w:hAnsi="宋体" w:eastAsia="宋体" w:cs="宋体"/>
                <w:lang w:val="en-US"/>
              </w:rPr>
            </w:pPr>
            <w:r>
              <w:rPr>
                <w:rFonts w:hint="eastAsia" w:ascii="宋体" w:hAnsi="宋体" w:eastAsia="宋体" w:cs="宋体"/>
                <w:lang w:val="en-US"/>
              </w:rPr>
              <w:t>产品的安全性与可靠性，离不开规模化场景应用、多轮迭代优化以及长期运行数据沉淀积累。依托公司20多年膜法水处理技术应用积淀，新水岛®系列产品持续迭代打磨，成熟度与可靠性稳步提升。</w:t>
            </w:r>
          </w:p>
          <w:p w14:paraId="35E9E772">
            <w:pPr>
              <w:keepNext w:val="0"/>
              <w:keepLines w:val="0"/>
              <w:suppressLineNumbers w:val="0"/>
              <w:spacing w:before="0" w:beforeAutospacing="0" w:after="0" w:afterAutospacing="0"/>
              <w:ind w:left="0" w:right="0" w:firstLine="420" w:firstLineChars="200"/>
              <w:rPr>
                <w:rFonts w:hint="eastAsia" w:ascii="宋体" w:hAnsi="宋体" w:eastAsia="宋体" w:cs="宋体"/>
                <w:lang w:val="en-US"/>
              </w:rPr>
            </w:pPr>
            <w:r>
              <w:rPr>
                <w:rFonts w:hint="eastAsia" w:ascii="宋体" w:hAnsi="宋体" w:eastAsia="宋体" w:cs="宋体"/>
                <w:lang w:val="en-US"/>
              </w:rPr>
              <w:t>未来，伴随项目落地规模持续扩大、技术研发不断纵深推进，新水岛®整体安全运行水平将得到进一步跃升。</w:t>
            </w:r>
          </w:p>
          <w:p w14:paraId="4130033D">
            <w:pPr>
              <w:ind w:firstLine="420" w:firstLineChars="200"/>
              <w:rPr>
                <w:rFonts w:hint="eastAsia" w:ascii="宋体" w:hAnsi="宋体" w:eastAsia="宋体" w:cs="宋体"/>
                <w:color w:val="auto"/>
              </w:rPr>
            </w:pPr>
          </w:p>
          <w:p w14:paraId="1AA680BA">
            <w:pPr>
              <w:ind w:firstLine="420" w:firstLineChars="200"/>
              <w:rPr>
                <w:rFonts w:hint="eastAsia" w:ascii="宋体" w:hAnsi="宋体" w:eastAsia="宋体" w:cs="宋体"/>
                <w:color w:val="auto"/>
              </w:rPr>
            </w:pPr>
            <w:r>
              <w:rPr>
                <w:rFonts w:hint="eastAsia" w:ascii="宋体" w:hAnsi="宋体" w:eastAsia="宋体" w:cs="宋体"/>
                <w:color w:val="auto"/>
              </w:rPr>
              <w:t>公司作为科创板上市企业，将以技术创新切实提高核心竞争力，巩固公司在行业的领先地位，努力为股东、客户、员工与投资者不断创造满意的回报！ 最后，再次感谢大家对金科环境的支持与厚爱，衷心祝愿各位身体健康、一切顺利！谢谢大家！</w:t>
            </w:r>
          </w:p>
          <w:p w14:paraId="152F8065">
            <w:pPr>
              <w:ind w:firstLine="420" w:firstLineChars="200"/>
              <w:rPr>
                <w:rFonts w:hint="eastAsia" w:ascii="宋体" w:hAnsi="宋体" w:eastAsia="宋体" w:cs="宋体"/>
                <w:color w:val="auto"/>
                <w:lang w:val="en-US" w:eastAsia="zh-CN"/>
              </w:rPr>
            </w:pPr>
          </w:p>
          <w:p w14:paraId="250912E8">
            <w:pPr>
              <w:ind w:firstLine="422" w:firstLineChars="200"/>
              <w:rPr>
                <w:rFonts w:hint="eastAsia" w:ascii="宋体" w:hAnsi="宋体" w:eastAsia="宋体" w:cs="宋体"/>
                <w:b/>
                <w:bCs/>
                <w:color w:val="auto"/>
                <w:lang w:val="en-US" w:eastAsia="zh-CN"/>
              </w:rPr>
            </w:pPr>
          </w:p>
          <w:p w14:paraId="15FFE37E">
            <w:pPr>
              <w:numPr>
                <w:ilvl w:val="0"/>
                <w:numId w:val="0"/>
              </w:numPr>
              <w:rPr>
                <w:rFonts w:hint="eastAsia" w:ascii="宋体" w:hAnsi="宋体" w:eastAsia="宋体" w:cs="宋体"/>
                <w:b/>
                <w:bCs/>
                <w:color w:val="auto"/>
                <w:lang w:val="en-US" w:eastAsia="zh-CN"/>
              </w:rPr>
            </w:pPr>
            <w:r>
              <w:rPr>
                <w:rFonts w:hint="eastAsia" w:ascii="宋体" w:hAnsi="宋体" w:eastAsia="宋体" w:cs="宋体"/>
                <w:b/>
                <w:bCs/>
                <w:color w:val="auto"/>
                <w:kern w:val="2"/>
                <w:sz w:val="21"/>
                <w:szCs w:val="22"/>
                <w:lang w:val="en-US" w:eastAsia="zh-CN" w:bidi="ar-SA"/>
              </w:rPr>
              <w:t>二、</w:t>
            </w:r>
            <w:r>
              <w:rPr>
                <w:rFonts w:hint="eastAsia" w:ascii="宋体" w:hAnsi="宋体" w:eastAsia="宋体" w:cs="宋体"/>
                <w:b/>
                <w:bCs/>
                <w:color w:val="auto"/>
                <w:lang w:val="en-US" w:eastAsia="zh-CN"/>
              </w:rPr>
              <w:t>2026年半年度公司业绩情况解读与说明</w:t>
            </w:r>
          </w:p>
          <w:p w14:paraId="7A517745">
            <w:pPr>
              <w:numPr>
                <w:ilvl w:val="0"/>
                <w:numId w:val="0"/>
              </w:numPr>
              <w:rPr>
                <w:rFonts w:hint="eastAsia" w:ascii="宋体" w:hAnsi="宋体" w:eastAsia="宋体" w:cs="宋体"/>
                <w:b/>
                <w:bCs/>
                <w:color w:val="auto"/>
                <w:lang w:val="en-US" w:eastAsia="zh-CN"/>
              </w:rPr>
            </w:pPr>
          </w:p>
          <w:p w14:paraId="7B4DA577">
            <w:pPr>
              <w:keepNext w:val="0"/>
              <w:keepLines w:val="0"/>
              <w:suppressLineNumbers w:val="0"/>
              <w:spacing w:before="0" w:beforeAutospacing="0" w:after="0" w:afterAutospacing="0"/>
              <w:ind w:left="0" w:right="0" w:firstLine="422" w:firstLineChars="200"/>
              <w:rPr>
                <w:rFonts w:hint="eastAsia" w:ascii="宋体" w:hAnsi="宋体" w:eastAsia="宋体" w:cs="宋体"/>
                <w:b/>
                <w:bCs/>
                <w:lang w:val="en-US" w:eastAsia="zh-CN"/>
              </w:rPr>
            </w:pPr>
            <w:r>
              <w:rPr>
                <w:rFonts w:hint="eastAsia" w:ascii="宋体" w:hAnsi="宋体" w:eastAsia="宋体" w:cs="宋体"/>
                <w:b/>
                <w:bCs/>
                <w:lang w:val="en-US" w:eastAsia="zh-CN"/>
              </w:rPr>
              <w:t>（一）总体经营情况</w:t>
            </w:r>
          </w:p>
          <w:p w14:paraId="3E28630D">
            <w:pPr>
              <w:keepNext w:val="0"/>
              <w:keepLines w:val="0"/>
              <w:suppressLineNumbers w:val="0"/>
              <w:spacing w:before="0" w:beforeAutospacing="0" w:after="0" w:afterAutospacing="0"/>
              <w:ind w:left="0" w:right="0" w:firstLine="420" w:firstLineChars="200"/>
              <w:rPr>
                <w:rFonts w:hint="eastAsia" w:ascii="宋体" w:hAnsi="宋体" w:eastAsia="宋体" w:cs="宋体"/>
                <w:lang w:val="en-US" w:eastAsia="zh-CN"/>
              </w:rPr>
            </w:pPr>
            <w:r>
              <w:rPr>
                <w:rFonts w:hint="eastAsia" w:ascii="宋体" w:hAnsi="宋体" w:eastAsia="宋体" w:cs="宋体"/>
                <w:lang w:val="en-US" w:eastAsia="zh-CN"/>
              </w:rPr>
              <w:t>2026年上半年，公司实现营业收入209,014,156.33元，同比下降24.51%；实现归属于上市公司股东的净利润13,024,355.16元，同比下降57.39%；实现净利润18,703,611.77元，同比下降34.75%。营业收入与净利润的下降，主要系公司延续主动收缩市政类传统水处理技术解决方案业务的战略安排，相关项目收入相应减少，而新兴智能化水处理产品尚处于市场培育与交付爬坡阶段，短期内尚不足以完全弥补传统业务收缩形成的收入缺口。</w:t>
            </w:r>
          </w:p>
          <w:p w14:paraId="79C55391">
            <w:pPr>
              <w:keepNext w:val="0"/>
              <w:keepLines w:val="0"/>
              <w:suppressLineNumbers w:val="0"/>
              <w:spacing w:before="0" w:beforeAutospacing="0" w:after="0" w:afterAutospacing="0"/>
              <w:ind w:left="0" w:right="0" w:firstLine="420" w:firstLineChars="200"/>
              <w:rPr>
                <w:rFonts w:hint="eastAsia" w:ascii="宋体" w:hAnsi="宋体" w:eastAsia="宋体" w:cs="宋体"/>
                <w:lang w:val="en-US" w:eastAsia="zh-CN"/>
              </w:rPr>
            </w:pPr>
            <w:r>
              <w:rPr>
                <w:rFonts w:hint="eastAsia" w:ascii="宋体" w:hAnsi="宋体" w:eastAsia="宋体" w:cs="宋体"/>
                <w:lang w:val="en-US" w:eastAsia="zh-CN"/>
              </w:rPr>
              <w:t>需要说明的是，在收入规模阶段性承压的同时，公司经营质量的多项关键指标在报告期内出现了实质性改善，具体体现为以下方面：</w:t>
            </w:r>
          </w:p>
          <w:p w14:paraId="23995B32">
            <w:pPr>
              <w:keepNext w:val="0"/>
              <w:keepLines w:val="0"/>
              <w:suppressLineNumbers w:val="0"/>
              <w:spacing w:before="0" w:beforeAutospacing="0" w:after="0" w:afterAutospacing="0"/>
              <w:ind w:left="0" w:right="0" w:firstLine="420" w:firstLineChars="200"/>
              <w:rPr>
                <w:rFonts w:hint="eastAsia" w:ascii="宋体" w:hAnsi="宋体" w:eastAsia="宋体" w:cs="宋体"/>
                <w:lang w:val="en-US" w:eastAsia="zh-CN"/>
              </w:rPr>
            </w:pPr>
            <w:r>
              <w:rPr>
                <w:rFonts w:hint="eastAsia" w:ascii="宋体" w:hAnsi="宋体" w:eastAsia="宋体" w:cs="宋体"/>
                <w:lang w:val="en-US" w:eastAsia="zh-CN"/>
              </w:rPr>
              <w:t>1.新水岛®及工艺包产品销售业务在手订单为24,125.18万元，其中新水岛®产品销售的订单金额占比突破同类业务的56.41%：新水岛®产品2026年初至2026年半年报披露日实现交货5套，其中包括海外中东项目订单；截止半年报披露日累计交货18套；</w:t>
            </w:r>
          </w:p>
          <w:p w14:paraId="0DE69CFC">
            <w:pPr>
              <w:keepNext w:val="0"/>
              <w:keepLines w:val="0"/>
              <w:suppressLineNumbers w:val="0"/>
              <w:spacing w:before="0" w:beforeAutospacing="0" w:after="0" w:afterAutospacing="0"/>
              <w:ind w:left="0" w:right="0" w:firstLine="420" w:firstLineChars="200"/>
              <w:rPr>
                <w:rFonts w:hint="eastAsia" w:ascii="宋体" w:hAnsi="宋体" w:eastAsia="宋体" w:cs="宋体"/>
                <w:lang w:val="en-US" w:eastAsia="zh-CN"/>
              </w:rPr>
            </w:pPr>
            <w:r>
              <w:rPr>
                <w:rFonts w:hint="eastAsia" w:ascii="宋体" w:hAnsi="宋体" w:eastAsia="宋体" w:cs="宋体"/>
                <w:lang w:val="en-US" w:eastAsia="zh-CN"/>
              </w:rPr>
              <w:t>2.本期公司新水岛®及水厂运维服务整体收入持续提升和利润贡献稳步提升，共实现收入16,668.82万元，毛利6,432.36万元，对公司研发、销售和管理费用支出形成有效支撑。截止2026年6月30日，中长期业务在手订单37,323.61万元；</w:t>
            </w:r>
          </w:p>
          <w:p w14:paraId="0D0E7DB4">
            <w:pPr>
              <w:keepNext w:val="0"/>
              <w:keepLines w:val="0"/>
              <w:suppressLineNumbers w:val="0"/>
              <w:spacing w:before="0" w:beforeAutospacing="0" w:after="0" w:afterAutospacing="0"/>
              <w:ind w:left="0" w:right="0" w:firstLine="420" w:firstLineChars="200"/>
              <w:rPr>
                <w:rFonts w:hint="eastAsia" w:ascii="宋体" w:hAnsi="宋体" w:eastAsia="宋体" w:cs="宋体"/>
                <w:lang w:val="en-US" w:eastAsia="zh-CN"/>
              </w:rPr>
            </w:pPr>
            <w:r>
              <w:rPr>
                <w:rFonts w:hint="eastAsia" w:ascii="宋体" w:hAnsi="宋体" w:eastAsia="宋体" w:cs="宋体"/>
                <w:lang w:val="en-US" w:eastAsia="zh-CN"/>
              </w:rPr>
              <w:t>3.经营现金流持续向好，报告期公司实现经营活动产生的现金流量净额为55,566,084.33元，较上年同期增加87,837,403.35元，其中销售商品、提供劳务收到的现金314,887,467.57元，同比增长27.32%；</w:t>
            </w:r>
          </w:p>
          <w:p w14:paraId="43200F89">
            <w:pPr>
              <w:keepNext w:val="0"/>
              <w:keepLines w:val="0"/>
              <w:suppressLineNumbers w:val="0"/>
              <w:spacing w:before="0" w:beforeAutospacing="0" w:after="0" w:afterAutospacing="0"/>
              <w:ind w:left="0" w:right="0" w:firstLine="420" w:firstLineChars="200"/>
              <w:rPr>
                <w:rFonts w:hint="eastAsia" w:ascii="宋体" w:hAnsi="宋体" w:eastAsia="宋体" w:cs="宋体"/>
                <w:lang w:val="en-US" w:eastAsia="zh-CN"/>
              </w:rPr>
            </w:pPr>
            <w:r>
              <w:rPr>
                <w:rFonts w:hint="eastAsia" w:ascii="宋体" w:hAnsi="宋体" w:eastAsia="宋体" w:cs="宋体"/>
                <w:lang w:val="en-US" w:eastAsia="zh-CN"/>
              </w:rPr>
              <w:t>4.资产负债率为47.44%，整体保持稳健。报告期末公司流动比率为1.87，货币资金与交易性金融资产合计426,980,132.03元，短期借款为零，偿债能力与流动性保持良好；</w:t>
            </w:r>
          </w:p>
          <w:p w14:paraId="7BCEC457">
            <w:pPr>
              <w:keepNext w:val="0"/>
              <w:keepLines w:val="0"/>
              <w:suppressLineNumbers w:val="0"/>
              <w:spacing w:before="0" w:beforeAutospacing="0" w:after="0" w:afterAutospacing="0"/>
              <w:ind w:left="0" w:right="0" w:firstLine="420" w:firstLineChars="200"/>
              <w:rPr>
                <w:rFonts w:hint="eastAsia" w:ascii="宋体" w:hAnsi="宋体" w:eastAsia="宋体" w:cs="宋体"/>
                <w:lang w:val="en-US" w:eastAsia="zh-CN"/>
              </w:rPr>
            </w:pPr>
            <w:r>
              <w:rPr>
                <w:rFonts w:hint="eastAsia" w:ascii="宋体" w:hAnsi="宋体" w:eastAsia="宋体" w:cs="宋体"/>
                <w:lang w:val="en-US" w:eastAsia="zh-CN"/>
              </w:rPr>
              <w:t>5.提质增效、注重股东回报：报告期内，公司制定了2025年度利润分配方案，向股东分配利润35,058,241.62元，现金分红总额占公司2025年归属于上市公司股东的净利润比例约为92.78%，并于7月实施。</w:t>
            </w:r>
          </w:p>
          <w:p w14:paraId="77C30399">
            <w:pPr>
              <w:keepNext w:val="0"/>
              <w:keepLines w:val="0"/>
              <w:suppressLineNumbers w:val="0"/>
              <w:spacing w:before="0" w:beforeAutospacing="0" w:after="0" w:afterAutospacing="0"/>
              <w:ind w:left="0" w:right="0" w:firstLine="422" w:firstLineChars="200"/>
              <w:rPr>
                <w:rFonts w:hint="eastAsia" w:ascii="宋体" w:hAnsi="宋体" w:eastAsia="宋体" w:cs="宋体"/>
                <w:b/>
                <w:bCs/>
                <w:lang w:eastAsia="zh-CN"/>
              </w:rPr>
            </w:pPr>
          </w:p>
          <w:p w14:paraId="05BBECDF">
            <w:pPr>
              <w:keepNext w:val="0"/>
              <w:keepLines w:val="0"/>
              <w:suppressLineNumbers w:val="0"/>
              <w:spacing w:before="0" w:beforeAutospacing="0" w:after="0" w:afterAutospacing="0"/>
              <w:ind w:left="0" w:right="0" w:firstLine="422" w:firstLineChars="200"/>
              <w:rPr>
                <w:rFonts w:hint="eastAsia" w:ascii="宋体" w:hAnsi="宋体" w:eastAsia="宋体" w:cs="宋体"/>
                <w:b/>
                <w:bCs/>
                <w:lang w:val="en-US" w:eastAsia="zh-CN"/>
              </w:rPr>
            </w:pPr>
            <w:r>
              <w:rPr>
                <w:rFonts w:hint="eastAsia" w:ascii="宋体" w:hAnsi="宋体" w:eastAsia="宋体" w:cs="宋体"/>
                <w:b/>
                <w:bCs/>
                <w:lang w:eastAsia="zh-CN"/>
              </w:rPr>
              <w:t>（</w:t>
            </w:r>
            <w:r>
              <w:rPr>
                <w:rFonts w:hint="eastAsia" w:ascii="宋体" w:hAnsi="宋体" w:eastAsia="宋体" w:cs="宋体"/>
                <w:b/>
                <w:bCs/>
                <w:lang w:val="en-US" w:eastAsia="zh-CN"/>
              </w:rPr>
              <w:t>二</w:t>
            </w:r>
            <w:r>
              <w:rPr>
                <w:rFonts w:hint="eastAsia" w:ascii="宋体" w:hAnsi="宋体" w:eastAsia="宋体" w:cs="宋体"/>
                <w:b/>
                <w:bCs/>
                <w:lang w:eastAsia="zh-CN"/>
              </w:rPr>
              <w:t>）</w:t>
            </w:r>
            <w:r>
              <w:rPr>
                <w:rFonts w:hint="eastAsia" w:ascii="宋体" w:hAnsi="宋体" w:eastAsia="宋体" w:cs="宋体"/>
                <w:b/>
                <w:bCs/>
                <w:lang w:val="en-US" w:eastAsia="zh-CN"/>
              </w:rPr>
              <w:t>2026年上半年主要经营亮点</w:t>
            </w:r>
          </w:p>
          <w:p w14:paraId="31B2097C">
            <w:pPr>
              <w:pStyle w:val="10"/>
              <w:keepNext w:val="0"/>
              <w:keepLines w:val="0"/>
              <w:widowControl w:val="0"/>
              <w:suppressLineNumbers w:val="0"/>
              <w:spacing w:before="0" w:beforeAutospacing="0" w:after="0" w:afterAutospacing="0"/>
              <w:ind w:left="0" w:right="0" w:firstLine="422" w:firstLineChars="200"/>
              <w:jc w:val="both"/>
              <w:rPr>
                <w:rFonts w:hint="eastAsia" w:ascii="宋体" w:hAnsi="宋体" w:eastAsia="宋体" w:cs="宋体"/>
                <w:b/>
                <w:bCs w:val="0"/>
                <w:lang w:val="en-US"/>
              </w:rPr>
            </w:pPr>
            <w:r>
              <w:rPr>
                <w:rFonts w:hint="eastAsia" w:ascii="宋体" w:hAnsi="宋体" w:eastAsia="宋体" w:cs="宋体"/>
                <w:b/>
                <w:bCs w:val="0"/>
                <w:kern w:val="2"/>
                <w:sz w:val="21"/>
                <w:szCs w:val="21"/>
                <w:lang w:val="en-US" w:eastAsia="zh-CN" w:bidi="ar"/>
              </w:rPr>
              <w:t>1.新水岛®项目持续落地，实现海外市场突破</w:t>
            </w:r>
          </w:p>
          <w:p w14:paraId="6C28549F">
            <w:pPr>
              <w:pStyle w:val="10"/>
              <w:keepNext w:val="0"/>
              <w:keepLines w:val="0"/>
              <w:widowControl w:val="0"/>
              <w:numPr>
                <w:ilvl w:val="0"/>
                <w:numId w:val="0"/>
              </w:numPr>
              <w:suppressLineNumbers w:val="0"/>
              <w:spacing w:before="0" w:beforeAutospacing="0" w:after="0" w:afterAutospacing="0"/>
              <w:ind w:left="0" w:leftChars="0" w:right="0" w:rightChars="0" w:firstLine="420" w:firstLineChars="200"/>
              <w:jc w:val="both"/>
              <w:rPr>
                <w:rFonts w:hint="eastAsia" w:ascii="宋体" w:hAnsi="宋体" w:eastAsia="宋体" w:cs="宋体"/>
                <w:b w:val="0"/>
                <w:bCs/>
                <w:kern w:val="2"/>
                <w:sz w:val="21"/>
                <w:szCs w:val="21"/>
                <w:lang w:val="en-US" w:eastAsia="zh-CN" w:bidi="ar"/>
              </w:rPr>
            </w:pPr>
            <w:r>
              <w:rPr>
                <w:rFonts w:hint="eastAsia" w:ascii="宋体" w:hAnsi="宋体" w:eastAsia="宋体" w:cs="宋体"/>
                <w:b w:val="0"/>
                <w:bCs/>
                <w:kern w:val="2"/>
                <w:sz w:val="21"/>
                <w:szCs w:val="21"/>
                <w:lang w:val="en-US" w:eastAsia="zh-CN" w:bidi="ar"/>
              </w:rPr>
              <w:t>报告期内，无锡区域工业客户产能扩张带来用水需求攀升，公司快速响应客户需求，充分发挥新水岛®产品工厂预制、供货及安装高效便捷的产品优势，顺利落地无锡龙亭新水岛®二期项目，充分彰显客户对公司产品的信任度与业务粘性。截至目前，锡山中荷下属锡山中荷高品质再生水厂、健鼎再生水厂、安镇新水岛®1.0 再生水厂、龙亭新水岛®2.0 一期及二期项目均保持稳定运营，持续为 PCB 电子、热电、光伏新能源、半导体等工业企业供给高品质再生水，助力工业企业实现节水与减排的双向效益。</w:t>
            </w:r>
          </w:p>
          <w:p w14:paraId="127B47F7">
            <w:pPr>
              <w:pStyle w:val="10"/>
              <w:keepNext w:val="0"/>
              <w:keepLines w:val="0"/>
              <w:widowControl w:val="0"/>
              <w:numPr>
                <w:ilvl w:val="0"/>
                <w:numId w:val="0"/>
              </w:numPr>
              <w:suppressLineNumbers w:val="0"/>
              <w:spacing w:before="0" w:beforeAutospacing="0" w:after="0" w:afterAutospacing="0"/>
              <w:ind w:left="0" w:leftChars="0" w:right="0" w:rightChars="0" w:firstLine="420" w:firstLineChars="200"/>
              <w:jc w:val="both"/>
              <w:rPr>
                <w:rFonts w:hint="eastAsia" w:ascii="宋体" w:hAnsi="宋体" w:eastAsia="宋体" w:cs="宋体"/>
                <w:b w:val="0"/>
                <w:bCs/>
                <w:kern w:val="2"/>
                <w:sz w:val="21"/>
                <w:szCs w:val="21"/>
                <w:lang w:val="en-US" w:eastAsia="zh-CN" w:bidi="ar"/>
              </w:rPr>
            </w:pPr>
            <w:r>
              <w:rPr>
                <w:rFonts w:hint="eastAsia" w:ascii="宋体" w:hAnsi="宋体" w:eastAsia="宋体" w:cs="宋体"/>
                <w:b w:val="0"/>
                <w:bCs/>
                <w:kern w:val="2"/>
                <w:sz w:val="21"/>
                <w:szCs w:val="21"/>
                <w:lang w:val="en-US" w:eastAsia="zh-CN" w:bidi="ar"/>
              </w:rPr>
              <w:t>2026年4月，公司全资子公司Bluenexus与Medisun签署了《供货协议》，Bluenexus向Medisun供应新水岛®等设备并提供现场组装指导、测试支持、性能验收支持、培训及质保期服务等，项目实施地点为中东地区，为公司进一步开拓中东市场提供了有力支撑。</w:t>
            </w:r>
          </w:p>
          <w:p w14:paraId="1DE9F6B4">
            <w:pPr>
              <w:pStyle w:val="10"/>
              <w:keepNext w:val="0"/>
              <w:keepLines w:val="0"/>
              <w:widowControl w:val="0"/>
              <w:numPr>
                <w:ilvl w:val="0"/>
                <w:numId w:val="0"/>
              </w:numPr>
              <w:suppressLineNumbers w:val="0"/>
              <w:spacing w:before="0" w:beforeAutospacing="0" w:after="0" w:afterAutospacing="0"/>
              <w:ind w:left="0" w:leftChars="0" w:right="0" w:rightChars="0" w:firstLine="422" w:firstLineChars="200"/>
              <w:jc w:val="both"/>
              <w:rPr>
                <w:rFonts w:hint="eastAsia" w:ascii="宋体" w:hAnsi="宋体" w:eastAsia="宋体" w:cs="宋体"/>
                <w:b/>
                <w:bCs w:val="0"/>
                <w:kern w:val="2"/>
                <w:sz w:val="21"/>
                <w:szCs w:val="21"/>
                <w:lang w:val="en-US" w:eastAsia="zh-CN" w:bidi="ar"/>
              </w:rPr>
            </w:pPr>
            <w:r>
              <w:rPr>
                <w:rFonts w:hint="eastAsia" w:ascii="宋体" w:hAnsi="宋体" w:eastAsia="宋体" w:cs="宋体"/>
                <w:b/>
                <w:bCs w:val="0"/>
                <w:kern w:val="2"/>
                <w:sz w:val="21"/>
                <w:szCs w:val="21"/>
                <w:lang w:val="en-US" w:eastAsia="zh-CN" w:bidi="ar"/>
              </w:rPr>
              <w:t>2.智能体新产品研发及项目应用实践</w:t>
            </w:r>
          </w:p>
          <w:p w14:paraId="191E8788">
            <w:pPr>
              <w:pStyle w:val="10"/>
              <w:keepNext w:val="0"/>
              <w:keepLines w:val="0"/>
              <w:widowControl w:val="0"/>
              <w:numPr>
                <w:ilvl w:val="0"/>
                <w:numId w:val="0"/>
              </w:numPr>
              <w:suppressLineNumbers w:val="0"/>
              <w:spacing w:before="0" w:beforeAutospacing="0" w:after="0" w:afterAutospacing="0"/>
              <w:ind w:left="0" w:leftChars="0" w:right="0" w:rightChars="0" w:firstLine="420" w:firstLineChars="200"/>
              <w:jc w:val="both"/>
              <w:rPr>
                <w:rFonts w:hint="eastAsia" w:ascii="宋体" w:hAnsi="宋体" w:eastAsia="宋体" w:cs="宋体"/>
                <w:b w:val="0"/>
                <w:bCs/>
                <w:kern w:val="2"/>
                <w:sz w:val="21"/>
                <w:szCs w:val="21"/>
                <w:lang w:val="en-US" w:eastAsia="zh-CN" w:bidi="ar"/>
              </w:rPr>
            </w:pPr>
            <w:r>
              <w:rPr>
                <w:rFonts w:hint="eastAsia" w:ascii="宋体" w:hAnsi="宋体" w:eastAsia="宋体" w:cs="宋体"/>
                <w:b w:val="0"/>
                <w:bCs/>
                <w:kern w:val="2"/>
                <w:sz w:val="21"/>
                <w:szCs w:val="21"/>
                <w:lang w:val="en-US" w:eastAsia="zh-CN" w:bidi="ar"/>
              </w:rPr>
              <w:t>产品研发方面，公司完成了水萝卜®AI智能体S系列的研发定型，实现了AI软件平台、边缘AI算力、多模态感知硬件及行业AI算法的深度融合，形成了软硬件一体化标准产品。</w:t>
            </w:r>
          </w:p>
          <w:p w14:paraId="042FBDBD">
            <w:pPr>
              <w:pStyle w:val="10"/>
              <w:keepNext w:val="0"/>
              <w:keepLines w:val="0"/>
              <w:widowControl w:val="0"/>
              <w:numPr>
                <w:ilvl w:val="0"/>
                <w:numId w:val="0"/>
              </w:numPr>
              <w:suppressLineNumbers w:val="0"/>
              <w:spacing w:before="0" w:beforeAutospacing="0" w:after="0" w:afterAutospacing="0"/>
              <w:ind w:left="0" w:leftChars="0" w:right="0" w:rightChars="0" w:firstLine="420" w:firstLineChars="200"/>
              <w:jc w:val="both"/>
              <w:rPr>
                <w:rFonts w:hint="eastAsia" w:ascii="宋体" w:hAnsi="宋体" w:eastAsia="宋体" w:cs="宋体"/>
                <w:b w:val="0"/>
                <w:bCs/>
                <w:kern w:val="2"/>
                <w:sz w:val="21"/>
                <w:szCs w:val="21"/>
                <w:lang w:val="en-US" w:eastAsia="zh-CN" w:bidi="ar"/>
              </w:rPr>
            </w:pPr>
            <w:r>
              <w:rPr>
                <w:rFonts w:hint="eastAsia" w:ascii="宋体" w:hAnsi="宋体" w:eastAsia="宋体" w:cs="宋体"/>
                <w:b w:val="0"/>
                <w:bCs/>
                <w:kern w:val="2"/>
                <w:sz w:val="21"/>
                <w:szCs w:val="21"/>
                <w:lang w:val="en-US" w:eastAsia="zh-CN" w:bidi="ar"/>
              </w:rPr>
              <w:t>与传统智慧水务项目依赖服务器部署、复杂系统集成和工程化实施不同，水萝卜®AI智能体S系列采用“边缘AI+标准化产品”技术路线，将AI计算平台、多模态感知设备、AI算法模型、智能巡检软件及工业通信能力集成为统一硬件平台，实现“即插即用、快速部署、本地推理、持续升级”的产品形态，大幅降低工业现场AI应用门槛。</w:t>
            </w:r>
          </w:p>
          <w:p w14:paraId="0BB405E0">
            <w:pPr>
              <w:pStyle w:val="10"/>
              <w:keepNext w:val="0"/>
              <w:keepLines w:val="0"/>
              <w:widowControl w:val="0"/>
              <w:numPr>
                <w:ilvl w:val="0"/>
                <w:numId w:val="0"/>
              </w:numPr>
              <w:suppressLineNumbers w:val="0"/>
              <w:spacing w:before="0" w:beforeAutospacing="0" w:after="0" w:afterAutospacing="0"/>
              <w:ind w:left="0" w:leftChars="0" w:right="0" w:rightChars="0" w:firstLine="420" w:firstLineChars="200"/>
              <w:jc w:val="both"/>
              <w:rPr>
                <w:rFonts w:hint="eastAsia" w:ascii="宋体" w:hAnsi="宋体" w:eastAsia="宋体" w:cs="宋体"/>
                <w:b w:val="0"/>
                <w:bCs/>
                <w:kern w:val="2"/>
                <w:sz w:val="21"/>
                <w:szCs w:val="21"/>
                <w:lang w:val="en-US" w:eastAsia="zh-CN" w:bidi="ar"/>
              </w:rPr>
            </w:pPr>
            <w:r>
              <w:rPr>
                <w:rFonts w:hint="eastAsia" w:ascii="宋体" w:hAnsi="宋体" w:eastAsia="宋体" w:cs="宋体"/>
                <w:b w:val="0"/>
                <w:bCs/>
                <w:kern w:val="2"/>
                <w:sz w:val="21"/>
                <w:szCs w:val="21"/>
                <w:lang w:val="en-US" w:eastAsia="zh-CN" w:bidi="ar"/>
              </w:rPr>
              <w:t>产品研发过程中，重点突破了边缘AI算力平台研发、多模态感知融合技术研发、AI算法标准化部署能力、AI智能体感知终端研发等关键技术。</w:t>
            </w:r>
          </w:p>
          <w:p w14:paraId="4316C2AE">
            <w:pPr>
              <w:pStyle w:val="10"/>
              <w:keepNext w:val="0"/>
              <w:keepLines w:val="0"/>
              <w:widowControl w:val="0"/>
              <w:numPr>
                <w:ilvl w:val="0"/>
                <w:numId w:val="0"/>
              </w:numPr>
              <w:suppressLineNumbers w:val="0"/>
              <w:spacing w:before="0" w:beforeAutospacing="0" w:after="0" w:afterAutospacing="0"/>
              <w:ind w:left="0" w:leftChars="0" w:right="0" w:rightChars="0" w:firstLine="420" w:firstLineChars="200"/>
              <w:jc w:val="both"/>
              <w:rPr>
                <w:rFonts w:hint="eastAsia" w:ascii="宋体" w:hAnsi="宋体" w:eastAsia="宋体" w:cs="宋体"/>
                <w:b w:val="0"/>
                <w:bCs/>
                <w:kern w:val="2"/>
                <w:sz w:val="21"/>
                <w:szCs w:val="21"/>
                <w:lang w:val="en-US" w:eastAsia="zh-CN" w:bidi="ar"/>
              </w:rPr>
            </w:pPr>
            <w:r>
              <w:rPr>
                <w:rFonts w:hint="eastAsia" w:ascii="宋体" w:hAnsi="宋体" w:eastAsia="宋体" w:cs="宋体"/>
                <w:b w:val="0"/>
                <w:bCs/>
                <w:kern w:val="2"/>
                <w:sz w:val="21"/>
                <w:szCs w:val="21"/>
                <w:lang w:val="en-US" w:eastAsia="zh-CN" w:bidi="ar"/>
              </w:rPr>
              <w:t>市场应用方面，报告期内，水萝卜®AI智能体S系列已在龙亭新水岛®项目、南堡再生水项目开展部署验证，重点围绕设备预测性维护、环境异常感知、AI自主巡检及边缘智能分析等应用场景持续优化算法模型及产品配置，不断完善标准化产品体系，为公司AI智能体规模化推广提供统一的感知硬件平台和边缘AI基础设施。</w:t>
            </w:r>
          </w:p>
          <w:p w14:paraId="43F770E8">
            <w:pPr>
              <w:pStyle w:val="10"/>
              <w:keepNext w:val="0"/>
              <w:keepLines w:val="0"/>
              <w:widowControl w:val="0"/>
              <w:numPr>
                <w:ilvl w:val="0"/>
                <w:numId w:val="0"/>
              </w:numPr>
              <w:suppressLineNumbers w:val="0"/>
              <w:spacing w:before="0" w:beforeAutospacing="0" w:after="0" w:afterAutospacing="0"/>
              <w:ind w:left="0" w:leftChars="0" w:right="0" w:rightChars="0" w:firstLine="422" w:firstLineChars="200"/>
              <w:jc w:val="both"/>
              <w:rPr>
                <w:rFonts w:hint="eastAsia" w:ascii="宋体" w:hAnsi="宋体" w:eastAsia="宋体" w:cs="宋体"/>
                <w:b/>
                <w:bCs w:val="0"/>
                <w:lang w:val="en-US"/>
              </w:rPr>
            </w:pPr>
            <w:r>
              <w:rPr>
                <w:rFonts w:hint="eastAsia" w:ascii="宋体" w:hAnsi="宋体" w:eastAsia="宋体" w:cs="宋体"/>
                <w:b/>
                <w:bCs w:val="0"/>
                <w:kern w:val="2"/>
                <w:sz w:val="21"/>
                <w:szCs w:val="21"/>
                <w:lang w:val="en-US" w:eastAsia="zh-CN" w:bidi="ar"/>
              </w:rPr>
              <w:t>3.研发持续投入 巩固公司核心壁垒</w:t>
            </w:r>
          </w:p>
          <w:p w14:paraId="3C6C9106">
            <w:pPr>
              <w:keepNext w:val="0"/>
              <w:keepLines w:val="0"/>
              <w:widowControl/>
              <w:suppressLineNumbers w:val="0"/>
              <w:spacing w:before="0" w:beforeAutospacing="0" w:after="0" w:afterAutospacing="0"/>
              <w:ind w:left="0" w:right="0" w:firstLine="420" w:firstLineChars="200"/>
              <w:jc w:val="left"/>
              <w:rPr>
                <w:rFonts w:hint="eastAsia" w:ascii="Times New Roman" w:hAnsi="Times New Roman" w:eastAsia="宋体" w:cs="宋体"/>
                <w:color w:val="000000"/>
                <w:kern w:val="0"/>
                <w:sz w:val="21"/>
                <w:szCs w:val="21"/>
                <w:lang w:val="en-US" w:eastAsia="zh-CN" w:bidi="ar"/>
              </w:rPr>
            </w:pPr>
            <w:r>
              <w:rPr>
                <w:rFonts w:hint="eastAsia" w:ascii="Times New Roman" w:hAnsi="Times New Roman" w:eastAsia="宋体" w:cs="宋体"/>
                <w:color w:val="000000"/>
                <w:kern w:val="0"/>
                <w:sz w:val="21"/>
                <w:szCs w:val="21"/>
                <w:lang w:val="en-US" w:eastAsia="zh-CN" w:bidi="ar"/>
              </w:rPr>
              <w:t>报告期内，公司加大产品研发力度，合计投入1,460.12万元，同比增长21.95%。2026年上半年，公司申请知识产权8项，其中包括中国发明专利3项、PCT专利3项、外观设计专利2项；获得中国发明专利授权1项。截至报告期末，公司累计获得软件著作权3项以及专利117项，其中包括中国发明专利48项、PCT专利20项、实用新型专利47项、外观设计专利2项。</w:t>
            </w:r>
          </w:p>
          <w:p w14:paraId="5466A99C">
            <w:pPr>
              <w:keepNext w:val="0"/>
              <w:keepLines w:val="0"/>
              <w:widowControl/>
              <w:suppressLineNumbers w:val="0"/>
              <w:spacing w:before="0" w:beforeAutospacing="0" w:after="0" w:afterAutospacing="0"/>
              <w:ind w:left="0" w:right="0" w:firstLine="420" w:firstLineChars="200"/>
              <w:jc w:val="left"/>
              <w:rPr>
                <w:rFonts w:hint="eastAsia" w:ascii="Times New Roman" w:hAnsi="Times New Roman" w:eastAsia="宋体" w:cs="宋体"/>
                <w:color w:val="000000"/>
                <w:kern w:val="0"/>
                <w:sz w:val="21"/>
                <w:szCs w:val="21"/>
                <w:lang w:val="en-US" w:eastAsia="zh-CN" w:bidi="ar"/>
              </w:rPr>
            </w:pPr>
            <w:r>
              <w:rPr>
                <w:rFonts w:hint="eastAsia" w:ascii="Times New Roman" w:hAnsi="Times New Roman" w:eastAsia="宋体" w:cs="宋体"/>
                <w:color w:val="000000"/>
                <w:kern w:val="0"/>
                <w:sz w:val="21"/>
                <w:szCs w:val="21"/>
                <w:lang w:val="en-US" w:eastAsia="zh-CN" w:bidi="ar"/>
              </w:rPr>
              <w:t>报告期内，国家工信部开展了2026年专精特新“小巨人”企业复审工作，公司目前已通过由北京市经济和信息化局组织的第一轮复审；此外，公司作为具备研发活力并持续取得有效研发成果的北京市专精特新企业，已获得2026年朝阳区促进中小企业发展引导资金支持。</w:t>
            </w:r>
          </w:p>
          <w:p w14:paraId="06D50141">
            <w:pPr>
              <w:rPr>
                <w:rFonts w:hint="eastAsia" w:ascii="宋体" w:hAnsi="宋体" w:eastAsia="宋体" w:cs="宋体"/>
                <w:b w:val="0"/>
                <w:bCs/>
                <w:color w:val="auto"/>
                <w:szCs w:val="21"/>
                <w:u w:val="none"/>
                <w:lang w:val="en-US" w:eastAsia="zh-CN"/>
              </w:rPr>
            </w:pPr>
          </w:p>
          <w:p w14:paraId="5C98BC29">
            <w:pPr>
              <w:pStyle w:val="11"/>
              <w:numPr>
                <w:ilvl w:val="0"/>
                <w:numId w:val="0"/>
              </w:numPr>
              <w:spacing w:line="240" w:lineRule="auto"/>
              <w:rPr>
                <w:rFonts w:hint="eastAsia" w:ascii="宋体" w:hAnsi="宋体" w:eastAsia="宋体" w:cs="宋体"/>
                <w:b/>
                <w:bCs w:val="0"/>
                <w:color w:val="auto"/>
                <w:szCs w:val="21"/>
                <w:u w:val="none"/>
                <w:lang w:eastAsia="zh-CN"/>
              </w:rPr>
            </w:pPr>
            <w:r>
              <w:rPr>
                <w:rFonts w:hint="eastAsia" w:ascii="宋体" w:hAnsi="宋体" w:eastAsia="宋体" w:cs="宋体"/>
                <w:b/>
                <w:bCs w:val="0"/>
                <w:color w:val="auto"/>
                <w:szCs w:val="21"/>
                <w:u w:val="none"/>
                <w:lang w:val="en-US" w:eastAsia="zh-CN"/>
              </w:rPr>
              <w:t>三、</w:t>
            </w:r>
            <w:r>
              <w:rPr>
                <w:rFonts w:hint="eastAsia" w:ascii="宋体" w:hAnsi="宋体" w:eastAsia="宋体" w:cs="宋体"/>
                <w:b/>
                <w:bCs w:val="0"/>
                <w:color w:val="auto"/>
                <w:szCs w:val="21"/>
                <w:u w:val="none"/>
              </w:rPr>
              <w:t>交流问答</w:t>
            </w:r>
            <w:r>
              <w:rPr>
                <w:rFonts w:hint="eastAsia" w:ascii="宋体" w:hAnsi="宋体" w:eastAsia="宋体" w:cs="宋体"/>
                <w:b/>
                <w:bCs w:val="0"/>
                <w:color w:val="auto"/>
                <w:szCs w:val="21"/>
                <w:u w:val="none"/>
                <w:lang w:eastAsia="zh-CN"/>
              </w:rPr>
              <w:t>：</w:t>
            </w:r>
          </w:p>
          <w:p w14:paraId="388297F9">
            <w:pPr>
              <w:keepNext w:val="0"/>
              <w:keepLines w:val="0"/>
              <w:widowControl w:val="0"/>
              <w:numPr>
                <w:ilvl w:val="0"/>
                <w:numId w:val="0"/>
              </w:numPr>
              <w:suppressLineNumbers w:val="0"/>
              <w:spacing w:before="0" w:beforeAutospacing="0" w:after="0" w:afterAutospacing="0"/>
              <w:ind w:right="0" w:rightChars="0"/>
              <w:jc w:val="both"/>
              <w:rPr>
                <w:rFonts w:hint="eastAsia" w:ascii="宋体" w:hAnsi="宋体" w:eastAsia="宋体" w:cs="宋体"/>
                <w:b/>
                <w:bCs w:val="0"/>
                <w:color w:val="auto"/>
                <w:szCs w:val="21"/>
                <w:u w:val="none"/>
                <w:lang w:val="en-US" w:eastAsia="zh-CN"/>
              </w:rPr>
            </w:pPr>
          </w:p>
          <w:p w14:paraId="5AF0FA92">
            <w:pPr>
              <w:keepNext w:val="0"/>
              <w:keepLines w:val="0"/>
              <w:numPr>
                <w:ilvl w:val="0"/>
                <w:numId w:val="0"/>
              </w:numPr>
              <w:suppressLineNumbers w:val="0"/>
              <w:spacing w:before="0" w:beforeAutospacing="0" w:after="0" w:afterAutospacing="0"/>
              <w:ind w:left="0" w:right="0" w:firstLine="422" w:firstLineChars="200"/>
              <w:rPr>
                <w:rFonts w:hint="default" w:ascii="Times New Roman" w:hAnsi="Times New Roman" w:eastAsia="宋体" w:cs="Times New Roman"/>
                <w:sz w:val="21"/>
                <w:szCs w:val="21"/>
                <w:lang w:val="en-US" w:eastAsia="zh-CN" w:bidi="ar"/>
              </w:rPr>
            </w:pPr>
            <w:r>
              <w:rPr>
                <w:rFonts w:hint="eastAsia" w:ascii="Times New Roman" w:hAnsi="Times New Roman" w:eastAsia="宋体" w:cs="Times New Roman"/>
                <w:b/>
                <w:bCs/>
                <w:sz w:val="21"/>
                <w:szCs w:val="21"/>
                <w:lang w:val="en-US" w:eastAsia="zh-CN" w:bidi="ar"/>
              </w:rPr>
              <w:t>1.</w:t>
            </w:r>
            <w:r>
              <w:rPr>
                <w:rFonts w:hint="default" w:ascii="Times New Roman" w:hAnsi="Times New Roman" w:eastAsia="宋体" w:cs="Times New Roman"/>
                <w:b/>
                <w:bCs/>
                <w:sz w:val="21"/>
                <w:szCs w:val="21"/>
                <w:lang w:val="en-US" w:eastAsia="zh-CN" w:bidi="ar"/>
              </w:rPr>
              <w:t>调整收购艾瑞克股权的支付方式对公司有什么影响？</w:t>
            </w:r>
          </w:p>
          <w:p w14:paraId="0E30F290">
            <w:pPr>
              <w:keepNext w:val="0"/>
              <w:keepLines w:val="0"/>
              <w:numPr>
                <w:ilvl w:val="0"/>
                <w:numId w:val="0"/>
              </w:numPr>
              <w:suppressLineNumbers w:val="0"/>
              <w:spacing w:before="0" w:beforeAutospacing="0" w:after="0" w:afterAutospacing="0"/>
              <w:ind w:left="0" w:right="0" w:firstLine="420" w:firstLineChars="200"/>
              <w:rPr>
                <w:rFonts w:hint="default" w:ascii="Times New Roman" w:hAnsi="Times New Roman" w:eastAsia="宋体" w:cs="Times New Roman"/>
                <w:sz w:val="21"/>
                <w:szCs w:val="21"/>
                <w:lang w:val="en-US" w:eastAsia="zh-CN" w:bidi="ar"/>
              </w:rPr>
            </w:pPr>
            <w:r>
              <w:rPr>
                <w:rFonts w:hint="eastAsia" w:ascii="宋体" w:hAnsi="宋体" w:eastAsia="宋体" w:cs="宋体"/>
                <w:b w:val="0"/>
                <w:bCs/>
                <w:color w:val="auto"/>
                <w:kern w:val="2"/>
                <w:sz w:val="21"/>
                <w:szCs w:val="21"/>
                <w:lang w:val="en-US" w:eastAsia="zh-CN" w:bidi="ar-SA"/>
              </w:rPr>
              <w:t>答：</w:t>
            </w:r>
            <w:r>
              <w:rPr>
                <w:rFonts w:hint="default" w:ascii="Times New Roman" w:hAnsi="Times New Roman" w:eastAsia="宋体" w:cs="Times New Roman"/>
                <w:sz w:val="21"/>
                <w:szCs w:val="21"/>
                <w:lang w:val="en-US" w:eastAsia="zh-CN" w:bidi="ar"/>
              </w:rPr>
              <w:t>公司对收购唐山艾瑞克环境科技有限公司100%股权交易的对价支付方式进行变更，将总对价8,480万元由“以货币资金人民币5,480万元及总价值人民币3,000万元的新水岛</w:t>
            </w:r>
            <w:r>
              <w:rPr>
                <w:rFonts w:hint="default" w:ascii="Times New Roman" w:hAnsi="Times New Roman" w:eastAsia="宋体" w:cs="Times New Roman"/>
                <w:sz w:val="21"/>
                <w:szCs w:val="21"/>
                <w:vertAlign w:val="superscript"/>
                <w:lang w:val="en-US" w:eastAsia="zh-CN" w:bidi="ar"/>
              </w:rPr>
              <w:t>®</w:t>
            </w:r>
            <w:r>
              <w:rPr>
                <w:rFonts w:hint="default" w:ascii="Times New Roman" w:hAnsi="Times New Roman" w:eastAsia="宋体" w:cs="Times New Roman"/>
                <w:sz w:val="21"/>
                <w:szCs w:val="21"/>
                <w:lang w:val="en-US" w:eastAsia="zh-CN" w:bidi="ar"/>
              </w:rPr>
              <w:t>产品支付”调整为“以货币资金支付人民币8,480万元”，资金支付安排相应调整；同时原协议中以新水岛®产品支付的实物对价部分取消，调整为瑞能公司以人民币3,000万元现金向公司采购设备，相关权利义务由双方另行签署的《设备协议书》予以约定。除上述变更外，相关协议的其他核心条款保持不变。</w:t>
            </w:r>
          </w:p>
          <w:p w14:paraId="43B668E0">
            <w:pPr>
              <w:keepNext w:val="0"/>
              <w:keepLines w:val="0"/>
              <w:numPr>
                <w:ilvl w:val="0"/>
                <w:numId w:val="0"/>
              </w:numPr>
              <w:suppressLineNumbers w:val="0"/>
              <w:spacing w:before="0" w:beforeAutospacing="0" w:after="0" w:afterAutospacing="0"/>
              <w:ind w:left="0" w:right="0" w:firstLine="420" w:firstLineChars="200"/>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val="en-US" w:eastAsia="zh-CN" w:bidi="ar"/>
              </w:rPr>
              <w:t xml:space="preserve">调整后，设备采购从股权对价中分离，由瑞能工业水基础设施亚洲有限公司以现金向公司独立采购，使对价跨境支付审批路径更为清晰，便于相关管理部门的审核及款项的实际支付操作。 </w:t>
            </w:r>
          </w:p>
          <w:p w14:paraId="5ABD8690">
            <w:pPr>
              <w:keepNext w:val="0"/>
              <w:keepLines w:val="0"/>
              <w:numPr>
                <w:ilvl w:val="0"/>
                <w:numId w:val="0"/>
              </w:numPr>
              <w:suppressLineNumbers w:val="0"/>
              <w:spacing w:before="0" w:beforeAutospacing="0" w:after="0" w:afterAutospacing="0"/>
              <w:ind w:left="0" w:right="0" w:firstLine="420" w:firstLineChars="200"/>
              <w:rPr>
                <w:rFonts w:hint="default" w:ascii="Times New Roman" w:hAnsi="Times New Roman" w:eastAsia="宋体" w:cs="Times New Roman"/>
                <w:sz w:val="21"/>
                <w:szCs w:val="21"/>
                <w:lang w:val="en-US" w:eastAsia="zh-CN" w:bidi="ar"/>
              </w:rPr>
            </w:pPr>
            <w:r>
              <w:rPr>
                <w:rFonts w:hint="default" w:ascii="Times New Roman" w:hAnsi="Times New Roman" w:eastAsia="宋体" w:cs="Times New Roman"/>
                <w:sz w:val="21"/>
                <w:szCs w:val="21"/>
                <w:lang w:val="en-US" w:eastAsia="zh-CN" w:bidi="ar"/>
              </w:rPr>
              <w:t>本次变更系交易各方为顺利完成交易对价跨境支付而作出的调整，变更主要涉及对价支付方式的调整，未改变本次股权转让的交易实质及总对价金额。本次调整对公司收入和利润影响与调整前一致。</w:t>
            </w:r>
          </w:p>
          <w:p w14:paraId="2849AF37">
            <w:pPr>
              <w:keepNext w:val="0"/>
              <w:keepLines w:val="0"/>
              <w:widowControl w:val="0"/>
              <w:numPr>
                <w:ilvl w:val="0"/>
                <w:numId w:val="0"/>
              </w:numPr>
              <w:suppressLineNumbers w:val="0"/>
              <w:spacing w:before="0" w:beforeAutospacing="0" w:after="0" w:afterAutospacing="0"/>
              <w:ind w:left="0" w:right="0" w:rightChars="0" w:firstLine="422" w:firstLineChars="200"/>
              <w:jc w:val="both"/>
              <w:rPr>
                <w:rFonts w:hint="eastAsia" w:ascii="宋体" w:hAnsi="宋体" w:eastAsia="宋体" w:cs="宋体"/>
                <w:b/>
                <w:bCs w:val="0"/>
                <w:color w:val="auto"/>
                <w:szCs w:val="21"/>
                <w:u w:val="none"/>
                <w:lang w:val="en-US" w:eastAsia="zh-CN"/>
              </w:rPr>
            </w:pPr>
          </w:p>
          <w:p w14:paraId="00F0AAE7">
            <w:pPr>
              <w:keepNext w:val="0"/>
              <w:keepLines w:val="0"/>
              <w:widowControl w:val="0"/>
              <w:numPr>
                <w:ilvl w:val="0"/>
                <w:numId w:val="0"/>
              </w:numPr>
              <w:suppressLineNumbers w:val="0"/>
              <w:spacing w:before="0" w:beforeAutospacing="0" w:after="0" w:afterAutospacing="0"/>
              <w:ind w:left="0" w:right="0" w:rightChars="0" w:firstLine="422" w:firstLineChars="200"/>
              <w:jc w:val="both"/>
              <w:rPr>
                <w:rFonts w:hint="default" w:ascii="宋体" w:hAnsi="宋体" w:eastAsia="宋体" w:cs="宋体"/>
                <w:b/>
                <w:bCs w:val="0"/>
                <w:color w:val="auto"/>
                <w:szCs w:val="21"/>
                <w:u w:val="none"/>
                <w:lang w:val="en-US" w:eastAsia="zh-CN"/>
              </w:rPr>
            </w:pPr>
            <w:r>
              <w:rPr>
                <w:rFonts w:hint="eastAsia" w:ascii="宋体" w:hAnsi="宋体" w:eastAsia="宋体" w:cs="宋体"/>
                <w:b/>
                <w:bCs w:val="0"/>
                <w:color w:val="auto"/>
                <w:szCs w:val="21"/>
                <w:u w:val="none"/>
                <w:lang w:val="en-US" w:eastAsia="zh-CN"/>
              </w:rPr>
              <w:t>2</w:t>
            </w:r>
            <w:r>
              <w:rPr>
                <w:rFonts w:hint="default" w:ascii="宋体" w:hAnsi="宋体" w:eastAsia="宋体" w:cs="宋体"/>
                <w:b/>
                <w:bCs w:val="0"/>
                <w:color w:val="auto"/>
                <w:szCs w:val="21"/>
                <w:u w:val="none"/>
                <w:lang w:val="en-US" w:eastAsia="zh-CN"/>
              </w:rPr>
              <w:t>.</w:t>
            </w:r>
            <w:r>
              <w:rPr>
                <w:rFonts w:hint="eastAsia" w:ascii="宋体" w:hAnsi="宋体" w:eastAsia="宋体" w:cs="宋体"/>
                <w:b/>
                <w:bCs w:val="0"/>
                <w:color w:val="auto"/>
                <w:szCs w:val="21"/>
                <w:u w:val="none"/>
                <w:lang w:val="en-US" w:eastAsia="zh-CN"/>
              </w:rPr>
              <w:t>能否请管理层阐述新水岛®产品近期的研发与迭代升级情况？</w:t>
            </w:r>
          </w:p>
          <w:p w14:paraId="1FD00B5C">
            <w:pPr>
              <w:keepNext w:val="0"/>
              <w:keepLines w:val="0"/>
              <w:widowControl w:val="0"/>
              <w:numPr>
                <w:ilvl w:val="0"/>
                <w:numId w:val="0"/>
              </w:numPr>
              <w:suppressLineNumbers w:val="0"/>
              <w:spacing w:before="0" w:beforeAutospacing="0" w:after="0" w:afterAutospacing="0"/>
              <w:ind w:left="0" w:right="0" w:rightChars="0" w:firstLine="420" w:firstLineChars="200"/>
              <w:jc w:val="both"/>
              <w:rPr>
                <w:rFonts w:hint="default" w:ascii="宋体" w:hAnsi="宋体" w:eastAsia="宋体" w:cs="宋体"/>
                <w:b w:val="0"/>
                <w:bCs/>
                <w:color w:val="auto"/>
                <w:szCs w:val="21"/>
                <w:u w:val="none"/>
                <w:lang w:val="en-US" w:eastAsia="zh-CN"/>
              </w:rPr>
            </w:pPr>
            <w:r>
              <w:rPr>
                <w:rFonts w:hint="default" w:ascii="宋体" w:hAnsi="宋体" w:eastAsia="宋体" w:cs="宋体"/>
                <w:b w:val="0"/>
                <w:bCs/>
                <w:color w:val="auto"/>
                <w:szCs w:val="21"/>
                <w:u w:val="none"/>
                <w:lang w:val="en-US" w:eastAsia="zh-CN"/>
              </w:rPr>
              <w:t>答：2026年上半年，在产品研发方面，公司持续推进新水岛®产品迭代升级，通过集成设计优化，产品集成度进一步提升，整机更加适配集装箱海运，有效压缩跨境物流成本与交付周期；核心元器件来自国内外优质供应链，打造产品卓越品质；模具加工比例提升，使得产品一致性与可靠性进一步增强。新水岛®在保持产水水质与水量稳定可靠的同时，加装升级版水萝卜®AI智能体，运行成本进一步降低，产品综合竞争力持续提升。</w:t>
            </w:r>
          </w:p>
          <w:p w14:paraId="7905F3A9">
            <w:pPr>
              <w:keepNext w:val="0"/>
              <w:keepLines w:val="0"/>
              <w:widowControl w:val="0"/>
              <w:numPr>
                <w:ilvl w:val="0"/>
                <w:numId w:val="0"/>
              </w:numPr>
              <w:suppressLineNumbers w:val="0"/>
              <w:spacing w:before="0" w:beforeAutospacing="0" w:after="0" w:afterAutospacing="0"/>
              <w:ind w:right="0" w:rightChars="0"/>
              <w:jc w:val="both"/>
              <w:rPr>
                <w:rFonts w:hint="default" w:ascii="宋体" w:hAnsi="宋体" w:eastAsia="宋体" w:cs="宋体"/>
                <w:b w:val="0"/>
                <w:bCs/>
                <w:color w:val="auto"/>
                <w:szCs w:val="21"/>
                <w:u w:val="none"/>
                <w:lang w:val="en-US" w:eastAsia="zh-CN"/>
              </w:rPr>
            </w:pPr>
          </w:p>
          <w:p w14:paraId="3568A499">
            <w:pPr>
              <w:keepNext w:val="0"/>
              <w:keepLines w:val="0"/>
              <w:widowControl w:val="0"/>
              <w:numPr>
                <w:ilvl w:val="0"/>
                <w:numId w:val="0"/>
              </w:numPr>
              <w:suppressLineNumbers w:val="0"/>
              <w:spacing w:before="0" w:beforeAutospacing="0" w:after="0" w:afterAutospacing="0"/>
              <w:ind w:left="0" w:right="0" w:rightChars="0" w:firstLine="422" w:firstLineChars="200"/>
              <w:jc w:val="both"/>
              <w:rPr>
                <w:rFonts w:hint="eastAsia" w:ascii="Times New Roman" w:hAnsi="Times New Roman" w:eastAsia="宋体" w:cs="Times New Roman"/>
                <w:b/>
                <w:bCs w:val="0"/>
                <w:sz w:val="21"/>
                <w:szCs w:val="21"/>
                <w:highlight w:val="none"/>
                <w:lang w:val="en-US" w:eastAsia="zh-CN" w:bidi="ar"/>
              </w:rPr>
            </w:pPr>
            <w:r>
              <w:rPr>
                <w:rFonts w:hint="eastAsia" w:ascii="宋体" w:hAnsi="宋体" w:eastAsia="宋体" w:cs="宋体"/>
                <w:b/>
                <w:bCs w:val="0"/>
                <w:color w:val="auto"/>
                <w:szCs w:val="21"/>
                <w:highlight w:val="none"/>
                <w:u w:val="none"/>
                <w:lang w:val="en-US" w:eastAsia="zh-CN"/>
              </w:rPr>
              <w:t>3.</w:t>
            </w:r>
            <w:r>
              <w:rPr>
                <w:rFonts w:hint="eastAsia" w:ascii="宋体" w:hAnsi="宋体" w:eastAsia="宋体" w:cs="宋体"/>
                <w:b/>
                <w:bCs w:val="0"/>
                <w:color w:val="auto"/>
                <w:szCs w:val="21"/>
                <w:u w:val="none"/>
                <w:lang w:val="en-US" w:eastAsia="zh-CN"/>
              </w:rPr>
              <w:t>请问针对未来海外市场的拓展，公司有何整体战略规划？公司海外业务目前取得了哪些实质性进展？</w:t>
            </w:r>
          </w:p>
          <w:p w14:paraId="77181CDC">
            <w:pPr>
              <w:keepNext w:val="0"/>
              <w:keepLines w:val="0"/>
              <w:numPr>
                <w:ilvl w:val="0"/>
                <w:numId w:val="0"/>
              </w:numPr>
              <w:suppressLineNumbers w:val="0"/>
              <w:spacing w:before="0" w:beforeAutospacing="0" w:after="0" w:afterAutospacing="0"/>
              <w:ind w:left="0" w:right="0" w:firstLine="420" w:firstLineChars="200"/>
              <w:rPr>
                <w:rFonts w:hint="default" w:ascii="Times New Roman" w:hAnsi="Times New Roman" w:eastAsia="宋体" w:cs="Times New Roman"/>
                <w:sz w:val="21"/>
                <w:szCs w:val="21"/>
                <w:lang w:val="en-US" w:eastAsia="zh-CN" w:bidi="ar"/>
              </w:rPr>
            </w:pPr>
            <w:r>
              <w:rPr>
                <w:rFonts w:hint="eastAsia" w:ascii="宋体" w:hAnsi="宋体" w:eastAsia="宋体" w:cs="宋体"/>
                <w:b w:val="0"/>
                <w:bCs/>
                <w:color w:val="auto"/>
                <w:kern w:val="2"/>
                <w:sz w:val="21"/>
                <w:szCs w:val="21"/>
                <w:lang w:val="en-US" w:eastAsia="zh-CN" w:bidi="ar-SA"/>
              </w:rPr>
              <w:t>答：</w:t>
            </w:r>
            <w:r>
              <w:rPr>
                <w:rFonts w:hint="default" w:ascii="Times New Roman" w:hAnsi="Times New Roman" w:eastAsia="宋体" w:cs="Times New Roman"/>
                <w:sz w:val="21"/>
                <w:szCs w:val="21"/>
                <w:lang w:val="en-US" w:eastAsia="zh-CN" w:bidi="ar"/>
              </w:rPr>
              <w:t>公司在新加坡设立子公司，在泰国、中东、欧洲、美国逐步搭建本地机构及渠道。</w:t>
            </w:r>
            <w:r>
              <w:rPr>
                <w:rFonts w:hint="eastAsia" w:ascii="Times New Roman" w:hAnsi="Times New Roman" w:eastAsia="宋体" w:cs="Times New Roman"/>
                <w:sz w:val="21"/>
                <w:szCs w:val="21"/>
                <w:lang w:val="en-US" w:eastAsia="zh-CN" w:bidi="ar"/>
              </w:rPr>
              <w:t>今年</w:t>
            </w:r>
            <w:r>
              <w:rPr>
                <w:rFonts w:hint="default" w:ascii="Times New Roman" w:hAnsi="Times New Roman" w:eastAsia="宋体" w:cs="Times New Roman"/>
                <w:sz w:val="21"/>
                <w:szCs w:val="21"/>
                <w:lang w:val="en-US" w:eastAsia="zh-CN" w:bidi="ar"/>
              </w:rPr>
              <w:t>5月，公司子公司BlueNexus Technologies与</w:t>
            </w:r>
            <w:r>
              <w:rPr>
                <w:rFonts w:hint="eastAsia" w:ascii="Times New Roman" w:hAnsi="Times New Roman" w:eastAsia="宋体" w:cs="Times New Roman"/>
                <w:sz w:val="21"/>
                <w:szCs w:val="21"/>
                <w:lang w:val="en-US" w:eastAsia="zh-CN" w:bidi="ar"/>
              </w:rPr>
              <w:t>全</w:t>
            </w:r>
            <w:r>
              <w:rPr>
                <w:rFonts w:hint="default" w:ascii="Times New Roman" w:hAnsi="Times New Roman" w:eastAsia="宋体" w:cs="Times New Roman"/>
                <w:sz w:val="21"/>
                <w:szCs w:val="21"/>
                <w:lang w:val="en-US" w:eastAsia="zh-CN" w:bidi="ar"/>
              </w:rPr>
              <w:t>球工业水务领导者Nijhuis Saur Industries在IFAT 2026慕尼黑正式发布模块化水处理</w:t>
            </w:r>
            <w:r>
              <w:rPr>
                <w:rFonts w:hint="eastAsia" w:ascii="Times New Roman" w:hAnsi="Times New Roman" w:eastAsia="宋体" w:cs="Times New Roman"/>
                <w:sz w:val="21"/>
                <w:szCs w:val="21"/>
                <w:lang w:val="en-US" w:eastAsia="zh-CN" w:bidi="ar"/>
              </w:rPr>
              <w:t>装备</w:t>
            </w:r>
            <w:r>
              <w:rPr>
                <w:rFonts w:hint="default" w:ascii="Times New Roman" w:hAnsi="Times New Roman" w:eastAsia="宋体" w:cs="Times New Roman"/>
                <w:sz w:val="21"/>
                <w:szCs w:val="21"/>
                <w:lang w:val="en-US" w:eastAsia="zh-CN" w:bidi="ar"/>
              </w:rPr>
              <w:t>新水岛</w:t>
            </w:r>
            <w:r>
              <w:rPr>
                <w:rFonts w:hint="default" w:ascii="Times New Roman" w:hAnsi="Times New Roman" w:eastAsia="宋体" w:cs="Times New Roman"/>
                <w:sz w:val="21"/>
                <w:szCs w:val="21"/>
                <w:vertAlign w:val="superscript"/>
                <w:lang w:val="en-US" w:eastAsia="zh-CN" w:bidi="ar"/>
              </w:rPr>
              <w:t>®</w:t>
            </w:r>
            <w:r>
              <w:rPr>
                <w:rFonts w:hint="default" w:ascii="Times New Roman" w:hAnsi="Times New Roman" w:eastAsia="宋体" w:cs="Times New Roman"/>
                <w:sz w:val="21"/>
                <w:szCs w:val="21"/>
                <w:lang w:val="en-US" w:eastAsia="zh-CN" w:bidi="ar"/>
              </w:rPr>
              <w:t>及水萝卜</w:t>
            </w:r>
            <w:r>
              <w:rPr>
                <w:rFonts w:hint="default" w:ascii="Times New Roman" w:hAnsi="Times New Roman" w:eastAsia="宋体" w:cs="Times New Roman"/>
                <w:sz w:val="21"/>
                <w:szCs w:val="21"/>
                <w:vertAlign w:val="superscript"/>
                <w:lang w:val="en-US" w:eastAsia="zh-CN" w:bidi="ar"/>
              </w:rPr>
              <w:t>®</w:t>
            </w:r>
            <w:r>
              <w:rPr>
                <w:rFonts w:hint="default" w:ascii="Times New Roman" w:hAnsi="Times New Roman" w:eastAsia="宋体" w:cs="Times New Roman"/>
                <w:sz w:val="21"/>
                <w:szCs w:val="21"/>
                <w:lang w:val="en-US" w:eastAsia="zh-CN" w:bidi="ar"/>
              </w:rPr>
              <w:t>AI智能体，董事长同期受邀在马德里举办的全球水峰会2026（Global Water Summit 2026）核心论坛发表演讲，向全球展示中国水务创新方案；6月，BlueNexus携全栈AI自主水运营生态系统亮相新加坡国际水周（SIWW 2026），吸引全球公用事业及工业客户广泛关注，后续又接连亮相香港数据中心展、出席中东高层会客厅并荣膺产业新星大奖，公司产品在国际市场的关注度进一步提升。</w:t>
            </w:r>
          </w:p>
          <w:p w14:paraId="0BBE20A9">
            <w:pPr>
              <w:keepNext w:val="0"/>
              <w:keepLines w:val="0"/>
              <w:numPr>
                <w:ilvl w:val="0"/>
                <w:numId w:val="0"/>
              </w:numPr>
              <w:suppressLineNumbers w:val="0"/>
              <w:spacing w:before="0" w:beforeAutospacing="0" w:after="0" w:afterAutospacing="0"/>
              <w:ind w:left="0" w:right="0" w:firstLine="420" w:firstLineChars="200"/>
              <w:rPr>
                <w:rFonts w:hint="default" w:ascii="Times New Roman" w:hAnsi="Times New Roman" w:eastAsia="宋体" w:cs="Times New Roman"/>
                <w:sz w:val="21"/>
                <w:szCs w:val="21"/>
                <w:lang w:val="en-US" w:eastAsia="zh-CN" w:bidi="ar"/>
              </w:rPr>
            </w:pPr>
            <w:r>
              <w:rPr>
                <w:rFonts w:hint="eastAsia" w:ascii="宋体" w:hAnsi="宋体" w:eastAsia="宋体" w:cs="宋体"/>
                <w:b w:val="0"/>
                <w:bCs/>
                <w:color w:val="auto"/>
                <w:kern w:val="2"/>
                <w:sz w:val="21"/>
                <w:szCs w:val="21"/>
                <w:lang w:val="en-US" w:eastAsia="zh-CN" w:bidi="ar-SA"/>
              </w:rPr>
              <w:t>2026年4月，公司全资子公司Bluenexus与Medisun签署了《供货协议》，Bluenexus向Medisun供应新水岛®等设备并提供现场组装指导、测试支持、性能验收支持、培训及质保期服务等，项目实施地点为中东地区，为公司进一步开拓中东市场提供了有力支撑。</w:t>
            </w:r>
          </w:p>
          <w:p w14:paraId="017C103F">
            <w:pPr>
              <w:keepNext w:val="0"/>
              <w:keepLines w:val="0"/>
              <w:numPr>
                <w:ilvl w:val="0"/>
                <w:numId w:val="0"/>
              </w:numPr>
              <w:suppressLineNumbers w:val="0"/>
              <w:spacing w:before="0" w:beforeAutospacing="0" w:after="0" w:afterAutospacing="0"/>
              <w:ind w:left="0" w:right="0"/>
              <w:rPr>
                <w:rFonts w:hint="eastAsia" w:ascii="Times New Roman" w:hAnsi="Times New Roman" w:eastAsia="宋体" w:cs="Times New Roman"/>
                <w:sz w:val="21"/>
                <w:szCs w:val="21"/>
                <w:lang w:val="en-US" w:eastAsia="zh-CN" w:bidi="ar"/>
              </w:rPr>
            </w:pPr>
          </w:p>
          <w:p w14:paraId="59C63794">
            <w:pPr>
              <w:keepNext w:val="0"/>
              <w:keepLines w:val="0"/>
              <w:widowControl w:val="0"/>
              <w:numPr>
                <w:ilvl w:val="0"/>
                <w:numId w:val="0"/>
              </w:numPr>
              <w:suppressLineNumbers w:val="0"/>
              <w:spacing w:before="0" w:beforeAutospacing="0" w:after="0" w:afterAutospacing="0"/>
              <w:ind w:left="0" w:right="0" w:rightChars="0" w:firstLine="422" w:firstLineChars="200"/>
              <w:jc w:val="both"/>
              <w:rPr>
                <w:rFonts w:hint="eastAsia" w:ascii="宋体" w:hAnsi="宋体" w:eastAsia="宋体" w:cs="宋体"/>
                <w:b/>
                <w:bCs w:val="0"/>
                <w:color w:val="auto"/>
                <w:kern w:val="2"/>
                <w:sz w:val="21"/>
                <w:szCs w:val="21"/>
                <w:lang w:val="en-US" w:eastAsia="zh-CN" w:bidi="ar-SA"/>
              </w:rPr>
            </w:pPr>
            <w:r>
              <w:rPr>
                <w:rFonts w:hint="eastAsia" w:ascii="宋体" w:hAnsi="宋体" w:eastAsia="宋体" w:cs="宋体"/>
                <w:b/>
                <w:bCs w:val="0"/>
                <w:color w:val="auto"/>
                <w:kern w:val="2"/>
                <w:sz w:val="21"/>
                <w:szCs w:val="21"/>
                <w:lang w:val="en-US" w:eastAsia="zh-CN" w:bidi="ar-SA"/>
              </w:rPr>
              <w:t>4.</w:t>
            </w:r>
            <w:r>
              <w:rPr>
                <w:rFonts w:hint="eastAsia" w:ascii="宋体" w:hAnsi="宋体" w:eastAsia="宋体" w:cs="宋体"/>
                <w:b/>
                <w:bCs w:val="0"/>
                <w:color w:val="auto"/>
                <w:szCs w:val="21"/>
                <w:u w:val="none"/>
                <w:lang w:val="en-US" w:eastAsia="zh-CN"/>
              </w:rPr>
              <w:t>能否请公司介绍一下当前AI研发团队的人员构成情况？</w:t>
            </w:r>
          </w:p>
          <w:p w14:paraId="35A19C87">
            <w:pPr>
              <w:keepNext w:val="0"/>
              <w:keepLines w:val="0"/>
              <w:numPr>
                <w:ilvl w:val="0"/>
                <w:numId w:val="0"/>
              </w:numPr>
              <w:suppressLineNumbers w:val="0"/>
              <w:spacing w:before="0" w:beforeAutospacing="0" w:after="0" w:afterAutospacing="0"/>
              <w:ind w:left="0" w:leftChars="0" w:right="0" w:rightChars="0" w:firstLine="420" w:firstLineChars="200"/>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szCs w:val="21"/>
                <w:u w:val="none"/>
                <w:lang w:eastAsia="zh-CN"/>
              </w:rPr>
              <w:t>答</w:t>
            </w:r>
            <w:r>
              <w:rPr>
                <w:rFonts w:hint="eastAsia" w:ascii="宋体" w:hAnsi="宋体" w:eastAsia="宋体" w:cs="宋体"/>
                <w:b w:val="0"/>
                <w:bCs/>
                <w:color w:val="auto"/>
                <w:kern w:val="2"/>
                <w:sz w:val="21"/>
                <w:szCs w:val="21"/>
                <w:lang w:val="en-US" w:eastAsia="zh-CN" w:bidi="ar-SA"/>
              </w:rPr>
              <w:t>：公司AI团队包括算法工程师、产品开发工程师、产品经理、项目实施经理、工艺工程师、自控工程师等，建立了一套完备的从业务场景、需求、设计、数据采集、模型训练、模型研发、产品集成、产品开发、产品发布、市场售前、渠道销售等全流程的AI产品研发产能，有效助力公司AI数智化战略的推进。</w:t>
            </w:r>
          </w:p>
          <w:p w14:paraId="4536C0FA">
            <w:pPr>
              <w:keepNext w:val="0"/>
              <w:keepLines w:val="0"/>
              <w:numPr>
                <w:ilvl w:val="0"/>
                <w:numId w:val="0"/>
              </w:numPr>
              <w:suppressLineNumbers w:val="0"/>
              <w:spacing w:before="0" w:beforeAutospacing="0" w:after="0" w:afterAutospacing="0"/>
              <w:ind w:left="0" w:leftChars="0" w:right="0" w:rightChars="0" w:firstLine="420" w:firstLineChars="200"/>
              <w:rPr>
                <w:rFonts w:hint="eastAsia" w:ascii="宋体" w:hAnsi="宋体" w:eastAsia="宋体" w:cs="宋体"/>
                <w:b w:val="0"/>
                <w:bCs/>
                <w:color w:val="auto"/>
                <w:kern w:val="2"/>
                <w:sz w:val="21"/>
                <w:szCs w:val="21"/>
                <w:lang w:val="en-US" w:eastAsia="zh-CN" w:bidi="ar-SA"/>
              </w:rPr>
            </w:pPr>
          </w:p>
          <w:p w14:paraId="0DAF0E95">
            <w:pPr>
              <w:keepNext w:val="0"/>
              <w:keepLines w:val="0"/>
              <w:numPr>
                <w:ilvl w:val="0"/>
                <w:numId w:val="0"/>
              </w:numPr>
              <w:suppressLineNumbers w:val="0"/>
              <w:spacing w:before="0" w:beforeAutospacing="0" w:after="0" w:afterAutospacing="0"/>
              <w:ind w:left="0" w:right="0" w:firstLine="422" w:firstLineChars="200"/>
              <w:rPr>
                <w:rFonts w:hint="eastAsia" w:ascii="宋体" w:hAnsi="宋体" w:eastAsia="宋体" w:cs="宋体"/>
                <w:b/>
                <w:bCs w:val="0"/>
                <w:color w:val="auto"/>
                <w:szCs w:val="21"/>
                <w:u w:val="none"/>
                <w:lang w:eastAsia="zh-CN"/>
              </w:rPr>
            </w:pPr>
            <w:r>
              <w:rPr>
                <w:rFonts w:hint="eastAsia" w:ascii="宋体" w:hAnsi="宋体" w:eastAsia="宋体" w:cs="宋体"/>
                <w:b/>
                <w:bCs w:val="0"/>
                <w:color w:val="auto"/>
                <w:szCs w:val="21"/>
                <w:u w:val="none"/>
                <w:lang w:val="en-US" w:eastAsia="zh-CN"/>
              </w:rPr>
              <w:t>5.</w:t>
            </w:r>
            <w:r>
              <w:rPr>
                <w:rFonts w:hint="eastAsia" w:ascii="宋体" w:hAnsi="宋体" w:eastAsia="宋体" w:cs="宋体"/>
                <w:b/>
                <w:bCs w:val="0"/>
                <w:color w:val="auto"/>
                <w:szCs w:val="21"/>
                <w:u w:val="none"/>
                <w:lang w:eastAsia="zh-CN"/>
              </w:rPr>
              <w:t>新水岛®</w:t>
            </w:r>
            <w:r>
              <w:rPr>
                <w:rFonts w:hint="eastAsia" w:ascii="宋体" w:hAnsi="宋体" w:eastAsia="宋体" w:cs="宋体"/>
                <w:b/>
                <w:bCs w:val="0"/>
                <w:color w:val="auto"/>
                <w:szCs w:val="21"/>
                <w:u w:val="none"/>
                <w:lang w:val="en-US" w:eastAsia="zh-CN"/>
              </w:rPr>
              <w:t>及水萝卜</w:t>
            </w:r>
            <w:r>
              <w:rPr>
                <w:rFonts w:hint="eastAsia" w:ascii="宋体" w:hAnsi="宋体" w:eastAsia="宋体" w:cs="宋体"/>
                <w:b/>
                <w:bCs w:val="0"/>
                <w:color w:val="auto"/>
                <w:szCs w:val="21"/>
                <w:u w:val="none"/>
                <w:lang w:eastAsia="zh-CN"/>
              </w:rPr>
              <w:t>®</w:t>
            </w:r>
            <w:r>
              <w:rPr>
                <w:rFonts w:hint="eastAsia" w:ascii="宋体" w:hAnsi="宋体" w:eastAsia="宋体" w:cs="宋体"/>
                <w:b/>
                <w:bCs w:val="0"/>
                <w:color w:val="auto"/>
                <w:szCs w:val="21"/>
                <w:u w:val="none"/>
                <w:lang w:val="en-US" w:eastAsia="zh-CN"/>
              </w:rPr>
              <w:t>AI智能体</w:t>
            </w:r>
            <w:r>
              <w:rPr>
                <w:rFonts w:hint="eastAsia" w:ascii="宋体" w:hAnsi="宋体" w:eastAsia="宋体" w:cs="宋体"/>
                <w:b/>
                <w:bCs w:val="0"/>
                <w:color w:val="auto"/>
                <w:szCs w:val="21"/>
                <w:u w:val="none"/>
                <w:lang w:eastAsia="zh-CN"/>
              </w:rPr>
              <w:t xml:space="preserve">目前落地情况如何？ </w:t>
            </w:r>
          </w:p>
          <w:p w14:paraId="20663F26">
            <w:pPr>
              <w:keepNext w:val="0"/>
              <w:keepLines w:val="0"/>
              <w:numPr>
                <w:ilvl w:val="0"/>
                <w:numId w:val="0"/>
              </w:numPr>
              <w:suppressLineNumbers w:val="0"/>
              <w:spacing w:before="0" w:beforeAutospacing="0" w:after="0" w:afterAutospacing="0"/>
              <w:ind w:left="0" w:right="0" w:firstLine="420" w:firstLineChars="200"/>
              <w:rPr>
                <w:rFonts w:hint="eastAsia" w:ascii="Times New Roman" w:hAnsi="Times New Roman" w:eastAsia="宋体" w:cs="Times New Roman"/>
                <w:sz w:val="21"/>
                <w:szCs w:val="21"/>
                <w:lang w:val="en-US" w:eastAsia="zh-CN" w:bidi="ar"/>
              </w:rPr>
            </w:pPr>
            <w:r>
              <w:rPr>
                <w:rFonts w:hint="eastAsia" w:ascii="宋体" w:hAnsi="宋体" w:eastAsia="宋体" w:cs="宋体"/>
                <w:b w:val="0"/>
                <w:bCs/>
                <w:color w:val="auto"/>
                <w:szCs w:val="21"/>
                <w:u w:val="none"/>
                <w:lang w:eastAsia="zh-CN"/>
              </w:rPr>
              <w:t>答：</w:t>
            </w:r>
            <w:r>
              <w:rPr>
                <w:rFonts w:hint="eastAsia" w:ascii="Times New Roman" w:hAnsi="Times New Roman" w:eastAsia="宋体" w:cs="Times New Roman"/>
                <w:sz w:val="21"/>
                <w:szCs w:val="21"/>
                <w:lang w:val="en-US" w:eastAsia="zh-CN" w:bidi="ar"/>
              </w:rPr>
              <w:t>新水岛</w:t>
            </w:r>
            <w:r>
              <w:rPr>
                <w:rFonts w:hint="default" w:ascii="Times New Roman" w:hAnsi="Times New Roman" w:eastAsia="宋体" w:cs="Times New Roman"/>
                <w:sz w:val="21"/>
                <w:szCs w:val="21"/>
                <w:vertAlign w:val="superscript"/>
                <w:lang w:val="en-US" w:eastAsia="zh-CN" w:bidi="ar"/>
              </w:rPr>
              <w:t>®</w:t>
            </w:r>
            <w:r>
              <w:rPr>
                <w:rFonts w:hint="eastAsia" w:ascii="Times New Roman" w:hAnsi="Times New Roman" w:eastAsia="宋体" w:cs="Times New Roman"/>
                <w:sz w:val="21"/>
                <w:szCs w:val="21"/>
                <w:lang w:val="en-US" w:eastAsia="zh-CN" w:bidi="ar"/>
              </w:rPr>
              <w:t>产品</w:t>
            </w:r>
            <w:r>
              <w:rPr>
                <w:rFonts w:hint="default" w:ascii="Times New Roman" w:hAnsi="Times New Roman" w:eastAsia="宋体" w:cs="Times New Roman"/>
                <w:sz w:val="21"/>
                <w:szCs w:val="21"/>
                <w:lang w:val="en-US" w:eastAsia="zh-CN" w:bidi="ar"/>
              </w:rPr>
              <w:t>2026</w:t>
            </w:r>
            <w:r>
              <w:rPr>
                <w:rFonts w:hint="eastAsia" w:ascii="Times New Roman" w:hAnsi="Times New Roman" w:eastAsia="宋体" w:cs="Times New Roman"/>
                <w:sz w:val="21"/>
                <w:szCs w:val="21"/>
                <w:lang w:val="en-US" w:eastAsia="zh-CN" w:bidi="ar"/>
              </w:rPr>
              <w:t>年初至</w:t>
            </w:r>
            <w:r>
              <w:rPr>
                <w:rFonts w:hint="default" w:ascii="Times New Roman" w:hAnsi="Times New Roman" w:eastAsia="宋体" w:cs="Times New Roman"/>
                <w:sz w:val="21"/>
                <w:szCs w:val="21"/>
                <w:lang w:val="en-US" w:eastAsia="zh-CN" w:bidi="ar"/>
              </w:rPr>
              <w:t>2026</w:t>
            </w:r>
            <w:r>
              <w:rPr>
                <w:rFonts w:hint="eastAsia" w:ascii="宋体" w:hAnsi="宋体" w:eastAsia="宋体" w:cs="Times New Roman"/>
                <w:sz w:val="20"/>
                <w:szCs w:val="20"/>
                <w:lang w:val="en-US" w:eastAsia="zh-CN" w:bidi="ar"/>
              </w:rPr>
              <w:t>年半年报披露日实现</w:t>
            </w:r>
            <w:r>
              <w:rPr>
                <w:rFonts w:hint="eastAsia" w:ascii="Times New Roman" w:hAnsi="Times New Roman" w:eastAsia="宋体" w:cs="Times New Roman"/>
                <w:sz w:val="21"/>
                <w:szCs w:val="21"/>
                <w:lang w:val="en-US" w:eastAsia="zh-CN" w:bidi="ar"/>
              </w:rPr>
              <w:t>交货</w:t>
            </w:r>
            <w:r>
              <w:rPr>
                <w:rFonts w:hint="default" w:ascii="Times New Roman" w:hAnsi="Times New Roman" w:eastAsia="宋体" w:cs="Times New Roman"/>
                <w:sz w:val="21"/>
                <w:szCs w:val="21"/>
                <w:lang w:val="en-US" w:eastAsia="zh-CN" w:bidi="ar"/>
              </w:rPr>
              <w:t>5</w:t>
            </w:r>
            <w:r>
              <w:rPr>
                <w:rFonts w:hint="eastAsia" w:ascii="Times New Roman" w:hAnsi="Times New Roman" w:eastAsia="宋体" w:cs="Times New Roman"/>
                <w:sz w:val="21"/>
                <w:szCs w:val="21"/>
                <w:lang w:val="en-US" w:eastAsia="zh-CN" w:bidi="ar"/>
              </w:rPr>
              <w:t>套，其中包括海外中东项目订单；截至半年报披露日累计交货</w:t>
            </w:r>
            <w:r>
              <w:rPr>
                <w:rFonts w:hint="default" w:ascii="Times New Roman" w:hAnsi="Times New Roman" w:eastAsia="宋体" w:cs="Times New Roman"/>
                <w:sz w:val="21"/>
                <w:szCs w:val="21"/>
                <w:lang w:val="en-US" w:eastAsia="zh-CN" w:bidi="ar"/>
              </w:rPr>
              <w:t>18</w:t>
            </w:r>
            <w:r>
              <w:rPr>
                <w:rFonts w:hint="eastAsia" w:ascii="Times New Roman" w:hAnsi="Times New Roman" w:eastAsia="宋体" w:cs="Times New Roman"/>
                <w:sz w:val="21"/>
                <w:szCs w:val="21"/>
                <w:lang w:val="en-US" w:eastAsia="zh-CN" w:bidi="ar"/>
              </w:rPr>
              <w:t>套。</w:t>
            </w:r>
          </w:p>
          <w:p w14:paraId="7FB44765">
            <w:pPr>
              <w:keepNext w:val="0"/>
              <w:keepLines w:val="0"/>
              <w:numPr>
                <w:ilvl w:val="0"/>
                <w:numId w:val="0"/>
              </w:numPr>
              <w:suppressLineNumbers w:val="0"/>
              <w:spacing w:before="0" w:beforeAutospacing="0" w:after="0" w:afterAutospacing="0"/>
              <w:ind w:left="0" w:right="0" w:firstLine="420" w:firstLineChars="200"/>
              <w:rPr>
                <w:rFonts w:hint="eastAsia" w:ascii="Times New Roman" w:hAnsi="Times New Roman" w:eastAsia="宋体" w:cs="Times New Roman"/>
                <w:sz w:val="21"/>
                <w:szCs w:val="21"/>
                <w:lang w:val="en-US" w:eastAsia="zh-CN" w:bidi="ar"/>
              </w:rPr>
            </w:pPr>
            <w:r>
              <w:rPr>
                <w:rFonts w:hint="eastAsia" w:ascii="Times New Roman" w:hAnsi="Times New Roman" w:eastAsia="宋体" w:cs="Times New Roman"/>
                <w:sz w:val="21"/>
                <w:szCs w:val="21"/>
                <w:lang w:val="en-US" w:eastAsia="zh-CN" w:bidi="ar"/>
              </w:rPr>
              <w:t>截至半年报披露日，水萝卜</w:t>
            </w:r>
            <w:r>
              <w:rPr>
                <w:rFonts w:hint="eastAsia" w:ascii="Times New Roman" w:hAnsi="Times New Roman" w:eastAsia="宋体" w:cs="Times New Roman"/>
                <w:sz w:val="21"/>
                <w:szCs w:val="21"/>
                <w:vertAlign w:val="superscript"/>
                <w:lang w:val="en-US" w:eastAsia="zh-CN" w:bidi="ar"/>
              </w:rPr>
              <w:t>®</w:t>
            </w:r>
            <w:r>
              <w:rPr>
                <w:rFonts w:hint="eastAsia" w:ascii="Times New Roman" w:hAnsi="Times New Roman" w:eastAsia="宋体" w:cs="Times New Roman"/>
                <w:sz w:val="21"/>
                <w:szCs w:val="21"/>
                <w:lang w:val="en-US" w:eastAsia="zh-CN" w:bidi="ar"/>
              </w:rPr>
              <w:t>AI智能体累计交货20套。</w:t>
            </w:r>
          </w:p>
          <w:p w14:paraId="43911DC7">
            <w:pPr>
              <w:keepNext w:val="0"/>
              <w:keepLines w:val="0"/>
              <w:suppressLineNumbers w:val="0"/>
              <w:spacing w:before="0" w:beforeAutospacing="0" w:after="0" w:afterAutospacing="0"/>
              <w:ind w:left="0" w:right="0" w:firstLine="422" w:firstLineChars="200"/>
              <w:rPr>
                <w:rFonts w:hint="eastAsia" w:ascii="宋体" w:hAnsi="宋体" w:eastAsia="宋体"/>
                <w:b/>
                <w:bCs/>
                <w:szCs w:val="21"/>
                <w:lang w:val="en-US" w:eastAsia="zh-CN"/>
              </w:rPr>
            </w:pPr>
          </w:p>
          <w:p w14:paraId="1CC89076">
            <w:pPr>
              <w:keepNext w:val="0"/>
              <w:keepLines w:val="0"/>
              <w:widowControl w:val="0"/>
              <w:numPr>
                <w:ilvl w:val="0"/>
                <w:numId w:val="0"/>
              </w:numPr>
              <w:suppressLineNumbers w:val="0"/>
              <w:spacing w:before="0" w:beforeAutospacing="0" w:after="0" w:afterAutospacing="0"/>
              <w:ind w:left="0" w:right="0" w:rightChars="0" w:firstLine="422" w:firstLineChars="200"/>
              <w:jc w:val="both"/>
              <w:rPr>
                <w:rFonts w:hint="default" w:ascii="宋体" w:hAnsi="宋体" w:eastAsia="宋体"/>
                <w:b/>
                <w:bCs/>
                <w:szCs w:val="21"/>
                <w:lang w:val="en-US" w:eastAsia="zh-CN"/>
              </w:rPr>
            </w:pPr>
            <w:r>
              <w:rPr>
                <w:rFonts w:hint="eastAsia" w:ascii="宋体" w:hAnsi="宋体" w:eastAsia="宋体"/>
                <w:b/>
                <w:bCs/>
                <w:szCs w:val="21"/>
                <w:lang w:val="en-US" w:eastAsia="zh-CN"/>
              </w:rPr>
              <w:t>6.请介绍下公司各项业务的收入规模、占比及变动情况？</w:t>
            </w:r>
          </w:p>
          <w:p w14:paraId="5C7D5E5D">
            <w:pPr>
              <w:keepNext w:val="0"/>
              <w:keepLines w:val="0"/>
              <w:suppressLineNumbers w:val="0"/>
              <w:spacing w:before="0" w:beforeAutospacing="0" w:after="0" w:afterAutospacing="0"/>
              <w:ind w:left="0" w:right="0" w:firstLine="420" w:firstLineChars="200"/>
              <w:rPr>
                <w:rFonts w:hint="eastAsia" w:ascii="宋体" w:hAnsi="宋体" w:eastAsia="宋体"/>
                <w:szCs w:val="21"/>
                <w:lang w:val="en-US" w:eastAsia="zh-CN"/>
              </w:rPr>
            </w:pPr>
            <w:r>
              <w:rPr>
                <w:rFonts w:hint="eastAsia" w:ascii="宋体" w:hAnsi="宋体" w:eastAsia="宋体"/>
                <w:szCs w:val="21"/>
              </w:rPr>
              <w:t>答：</w:t>
            </w:r>
            <w:r>
              <w:rPr>
                <w:rFonts w:hint="eastAsia" w:ascii="宋体" w:hAnsi="宋体" w:eastAsia="宋体"/>
                <w:szCs w:val="21"/>
                <w:lang w:val="en-US" w:eastAsia="zh-CN"/>
              </w:rPr>
              <w:t>按业务类型划分，本期公司新水岛®及水厂运维服务整体收入占比持续提升，共实现收入16,668.82万元，同比增加11.73%，占总收入比例为79.75%，主要系新收购的唐山艾瑞克带来的收入和部分项目需求水量提升。公司新水岛®及工艺包产品销售本期实现收入4,218.66万元，同比减少66.89%，占总收入比例为20.18%，主要受公司战略转型影响，报告期内公司主动压降市政类传统工艺包业务市场开发，工艺包项目订单减少；新水岛®销售等新业务虽已初见成效，但尚未实现规模化收入，属于战略转型阶段的阶段性经营特征。</w:t>
            </w:r>
          </w:p>
          <w:p w14:paraId="06E85602">
            <w:pPr>
              <w:keepNext w:val="0"/>
              <w:keepLines w:val="0"/>
              <w:suppressLineNumbers w:val="0"/>
              <w:spacing w:before="0" w:beforeAutospacing="0" w:after="0" w:afterAutospacing="0"/>
              <w:ind w:left="0" w:right="0" w:firstLine="420" w:firstLineChars="200"/>
              <w:rPr>
                <w:rFonts w:hint="eastAsia" w:ascii="宋体" w:hAnsi="宋体" w:eastAsia="宋体"/>
                <w:szCs w:val="21"/>
                <w:lang w:val="en-US" w:eastAsia="zh-CN"/>
              </w:rPr>
            </w:pPr>
            <w:r>
              <w:rPr>
                <w:rFonts w:hint="eastAsia" w:ascii="宋体" w:hAnsi="宋体" w:eastAsia="宋体"/>
                <w:szCs w:val="21"/>
                <w:lang w:val="en-US" w:eastAsia="zh-CN"/>
              </w:rPr>
              <w:t>按服务行业划分，公司ToB业务实现收入11,175.53万元，占总收入比例为53.47%，同比减少9.15%；ToG业务实现收入9,711.95万元，占总收入比例为46.47%，同比减少36.77%。</w:t>
            </w:r>
          </w:p>
          <w:p w14:paraId="12ECDBB9">
            <w:pPr>
              <w:keepNext w:val="0"/>
              <w:keepLines w:val="0"/>
              <w:suppressLineNumbers w:val="0"/>
              <w:spacing w:before="0" w:beforeAutospacing="0" w:after="0" w:afterAutospacing="0"/>
              <w:ind w:left="0" w:right="0" w:firstLine="420" w:firstLineChars="200"/>
              <w:rPr>
                <w:rFonts w:hint="eastAsia" w:ascii="宋体" w:hAnsi="宋体" w:eastAsia="宋体"/>
                <w:szCs w:val="21"/>
                <w:lang w:val="en-US" w:eastAsia="zh-CN"/>
              </w:rPr>
            </w:pPr>
            <w:r>
              <w:rPr>
                <w:rFonts w:hint="eastAsia" w:ascii="宋体" w:hAnsi="宋体" w:eastAsia="宋体"/>
                <w:szCs w:val="21"/>
                <w:lang w:val="en-US" w:eastAsia="zh-CN"/>
              </w:rPr>
              <w:t>按服务领域划分，公司高品质饮用水领域实现收入661.96万元，占总收入比例为3.17%，同比减少90.19%；污废水资源化领域实现收入20,225.52万元，占总收入比例为96.77%，同比减少3.30%。</w:t>
            </w:r>
          </w:p>
          <w:p w14:paraId="02879D9D">
            <w:pPr>
              <w:keepNext w:val="0"/>
              <w:keepLines w:val="0"/>
              <w:numPr>
                <w:ilvl w:val="0"/>
                <w:numId w:val="0"/>
              </w:numPr>
              <w:suppressLineNumbers w:val="0"/>
              <w:spacing w:before="0" w:beforeAutospacing="0" w:after="0" w:afterAutospacing="0"/>
              <w:ind w:left="0" w:right="0" w:firstLine="422" w:firstLineChars="200"/>
              <w:rPr>
                <w:rFonts w:hint="eastAsia" w:ascii="宋体" w:hAnsi="宋体" w:eastAsia="宋体" w:cs="宋体"/>
                <w:b/>
                <w:bCs w:val="0"/>
                <w:color w:val="auto"/>
                <w:kern w:val="2"/>
                <w:sz w:val="21"/>
                <w:szCs w:val="21"/>
                <w:lang w:val="en-US" w:eastAsia="zh-CN" w:bidi="ar-SA"/>
              </w:rPr>
            </w:pPr>
          </w:p>
          <w:p w14:paraId="1FA05992">
            <w:pPr>
              <w:keepNext w:val="0"/>
              <w:keepLines w:val="0"/>
              <w:widowControl w:val="0"/>
              <w:numPr>
                <w:ilvl w:val="0"/>
                <w:numId w:val="0"/>
              </w:numPr>
              <w:suppressLineNumbers w:val="0"/>
              <w:spacing w:before="0" w:beforeAutospacing="0" w:after="0" w:afterAutospacing="0"/>
              <w:ind w:left="0" w:right="0" w:rightChars="0" w:firstLine="422" w:firstLineChars="200"/>
              <w:jc w:val="both"/>
              <w:rPr>
                <w:rFonts w:hint="default" w:ascii="宋体" w:hAnsi="宋体" w:eastAsia="宋体" w:cs="宋体"/>
                <w:b/>
                <w:bCs w:val="0"/>
                <w:color w:val="auto"/>
                <w:kern w:val="2"/>
                <w:sz w:val="21"/>
                <w:szCs w:val="21"/>
                <w:lang w:val="en-US" w:eastAsia="zh-CN" w:bidi="ar-SA"/>
              </w:rPr>
            </w:pPr>
            <w:r>
              <w:rPr>
                <w:rFonts w:hint="eastAsia" w:ascii="宋体" w:hAnsi="宋体" w:eastAsia="宋体" w:cs="宋体"/>
                <w:b/>
                <w:bCs w:val="0"/>
                <w:color w:val="auto"/>
                <w:kern w:val="2"/>
                <w:sz w:val="21"/>
                <w:szCs w:val="21"/>
                <w:lang w:val="en-US" w:eastAsia="zh-CN" w:bidi="ar-SA"/>
              </w:rPr>
              <w:t>7.</w:t>
            </w:r>
            <w:r>
              <w:rPr>
                <w:rFonts w:hint="eastAsia" w:ascii="宋体" w:hAnsi="宋体" w:eastAsia="宋体" w:cs="宋体"/>
                <w:b/>
                <w:bCs w:val="0"/>
                <w:color w:val="auto"/>
                <w:szCs w:val="21"/>
                <w:u w:val="none"/>
                <w:lang w:val="en-US" w:eastAsia="zh-CN"/>
              </w:rPr>
              <w:t>请问公司目前在手订单的规模如何？中长期业务的收入预期及毛利水平表现怎样？</w:t>
            </w:r>
          </w:p>
          <w:p w14:paraId="0CC473A0">
            <w:pPr>
              <w:keepNext w:val="0"/>
              <w:keepLines w:val="0"/>
              <w:numPr>
                <w:ilvl w:val="0"/>
                <w:numId w:val="0"/>
              </w:numPr>
              <w:suppressLineNumbers w:val="0"/>
              <w:spacing w:before="0" w:beforeAutospacing="0" w:after="0" w:afterAutospacing="0"/>
              <w:ind w:left="0" w:right="0" w:firstLine="420" w:firstLineChars="200"/>
              <w:rPr>
                <w:rFonts w:hint="eastAsia" w:ascii="Times New Roman" w:hAnsi="Times New Roman" w:eastAsia="宋体" w:cs="Times New Roman"/>
                <w:sz w:val="21"/>
                <w:szCs w:val="21"/>
                <w:highlight w:val="none"/>
                <w:lang w:val="en-US" w:eastAsia="zh-CN" w:bidi="ar"/>
              </w:rPr>
            </w:pPr>
            <w:r>
              <w:rPr>
                <w:rFonts w:hint="eastAsia" w:ascii="宋体" w:hAnsi="宋体" w:eastAsia="宋体" w:cs="宋体"/>
                <w:b w:val="0"/>
                <w:bCs/>
                <w:color w:val="auto"/>
                <w:kern w:val="2"/>
                <w:sz w:val="21"/>
                <w:szCs w:val="21"/>
                <w:lang w:val="en-US" w:eastAsia="zh-CN" w:bidi="ar-SA"/>
              </w:rPr>
              <w:t>答：</w:t>
            </w:r>
            <w:r>
              <w:rPr>
                <w:rFonts w:hint="eastAsia" w:ascii="Times New Roman" w:hAnsi="Times New Roman" w:eastAsia="宋体" w:cs="Times New Roman"/>
                <w:sz w:val="21"/>
                <w:szCs w:val="21"/>
                <w:lang w:val="en-US" w:eastAsia="zh-CN" w:bidi="ar"/>
              </w:rPr>
              <w:t>截至</w:t>
            </w:r>
            <w:r>
              <w:rPr>
                <w:rFonts w:hint="default" w:ascii="Times New Roman" w:hAnsi="Times New Roman" w:eastAsia="宋体" w:cs="Times New Roman"/>
                <w:sz w:val="21"/>
                <w:szCs w:val="21"/>
                <w:lang w:val="en-US" w:eastAsia="zh-CN" w:bidi="ar"/>
              </w:rPr>
              <w:t>2026</w:t>
            </w:r>
            <w:r>
              <w:rPr>
                <w:rFonts w:hint="eastAsia" w:ascii="Times New Roman" w:hAnsi="Times New Roman" w:eastAsia="宋体" w:cs="Times New Roman"/>
                <w:sz w:val="21"/>
                <w:szCs w:val="21"/>
                <w:lang w:val="en-US" w:eastAsia="zh-CN" w:bidi="ar"/>
              </w:rPr>
              <w:t>年</w:t>
            </w:r>
            <w:r>
              <w:rPr>
                <w:rFonts w:hint="default" w:ascii="Times New Roman" w:hAnsi="Times New Roman" w:eastAsia="宋体" w:cs="Times New Roman"/>
                <w:sz w:val="21"/>
                <w:szCs w:val="21"/>
                <w:lang w:val="en-US" w:eastAsia="zh-CN" w:bidi="ar"/>
              </w:rPr>
              <w:t>6</w:t>
            </w:r>
            <w:r>
              <w:rPr>
                <w:rFonts w:hint="eastAsia" w:ascii="Times New Roman" w:hAnsi="Times New Roman" w:eastAsia="宋体" w:cs="Times New Roman"/>
                <w:sz w:val="21"/>
                <w:szCs w:val="21"/>
                <w:lang w:val="en-US" w:eastAsia="zh-CN" w:bidi="ar"/>
              </w:rPr>
              <w:t>月</w:t>
            </w:r>
            <w:r>
              <w:rPr>
                <w:rFonts w:hint="default" w:ascii="Times New Roman" w:hAnsi="Times New Roman" w:eastAsia="宋体" w:cs="Times New Roman"/>
                <w:sz w:val="21"/>
                <w:szCs w:val="21"/>
                <w:lang w:val="en-US" w:eastAsia="zh-CN" w:bidi="ar"/>
              </w:rPr>
              <w:t>30</w:t>
            </w:r>
            <w:r>
              <w:rPr>
                <w:rFonts w:hint="eastAsia" w:ascii="Times New Roman" w:hAnsi="Times New Roman" w:eastAsia="宋体" w:cs="Times New Roman"/>
                <w:sz w:val="21"/>
                <w:szCs w:val="21"/>
                <w:lang w:val="en-US" w:eastAsia="zh-CN" w:bidi="ar"/>
              </w:rPr>
              <w:t>日，公司在手订单合计</w:t>
            </w:r>
            <w:r>
              <w:rPr>
                <w:rFonts w:hint="default" w:ascii="Times New Roman" w:hAnsi="Times New Roman" w:eastAsia="宋体" w:cs="Times New Roman"/>
                <w:sz w:val="21"/>
                <w:szCs w:val="21"/>
                <w:lang w:val="en-US" w:eastAsia="zh-CN" w:bidi="ar"/>
              </w:rPr>
              <w:t>61,448.79</w:t>
            </w:r>
            <w:r>
              <w:rPr>
                <w:rFonts w:hint="eastAsia" w:ascii="Times New Roman" w:hAnsi="Times New Roman" w:eastAsia="宋体" w:cs="Times New Roman"/>
                <w:sz w:val="21"/>
                <w:szCs w:val="21"/>
                <w:lang w:val="en-US" w:eastAsia="zh-CN" w:bidi="ar"/>
              </w:rPr>
              <w:t>万元。新水岛</w:t>
            </w:r>
            <w:r>
              <w:rPr>
                <w:rFonts w:hint="default" w:ascii="Times New Roman" w:hAnsi="Times New Roman" w:eastAsia="宋体" w:cs="Times New Roman"/>
                <w:sz w:val="21"/>
                <w:szCs w:val="21"/>
                <w:vertAlign w:val="superscript"/>
                <w:lang w:val="en-US" w:eastAsia="zh-CN" w:bidi="ar"/>
              </w:rPr>
              <w:t>®</w:t>
            </w:r>
            <w:r>
              <w:rPr>
                <w:rFonts w:hint="eastAsia" w:ascii="Times New Roman" w:hAnsi="Times New Roman" w:eastAsia="宋体" w:cs="Times New Roman"/>
                <w:sz w:val="21"/>
                <w:szCs w:val="21"/>
                <w:lang w:val="en-US" w:eastAsia="zh-CN" w:bidi="ar"/>
              </w:rPr>
              <w:t>及工艺包产品销售业务在手订单为</w:t>
            </w:r>
            <w:r>
              <w:rPr>
                <w:rFonts w:hint="default" w:ascii="Times New Roman" w:hAnsi="Times New Roman" w:eastAsia="宋体" w:cs="Times New Roman"/>
                <w:sz w:val="21"/>
                <w:szCs w:val="21"/>
                <w:lang w:val="en-US" w:eastAsia="zh-CN" w:bidi="ar"/>
              </w:rPr>
              <w:t>24,125.18</w:t>
            </w:r>
            <w:r>
              <w:rPr>
                <w:rFonts w:hint="eastAsia" w:ascii="Times New Roman" w:hAnsi="Times New Roman" w:eastAsia="宋体" w:cs="Times New Roman"/>
                <w:sz w:val="21"/>
                <w:szCs w:val="21"/>
                <w:lang w:val="en-US" w:eastAsia="zh-CN" w:bidi="ar"/>
              </w:rPr>
              <w:t>万元，其中新水岛</w:t>
            </w:r>
            <w:r>
              <w:rPr>
                <w:rFonts w:hint="default" w:ascii="Times New Roman" w:hAnsi="Times New Roman" w:eastAsia="宋体" w:cs="Times New Roman"/>
                <w:sz w:val="21"/>
                <w:szCs w:val="21"/>
                <w:vertAlign w:val="superscript"/>
                <w:lang w:val="en-US" w:eastAsia="zh-CN" w:bidi="ar"/>
              </w:rPr>
              <w:t>®</w:t>
            </w:r>
            <w:r>
              <w:rPr>
                <w:rFonts w:hint="eastAsia" w:ascii="Times New Roman" w:hAnsi="Times New Roman" w:eastAsia="宋体" w:cs="Times New Roman"/>
                <w:sz w:val="21"/>
                <w:szCs w:val="21"/>
                <w:lang w:val="en-US" w:eastAsia="zh-CN" w:bidi="ar"/>
              </w:rPr>
              <w:t>产品销售的订单金额占比突</w:t>
            </w:r>
            <w:r>
              <w:rPr>
                <w:rFonts w:hint="eastAsia" w:ascii="Times New Roman" w:hAnsi="Times New Roman" w:eastAsia="宋体" w:cs="Times New Roman"/>
                <w:sz w:val="21"/>
                <w:szCs w:val="21"/>
                <w:highlight w:val="none"/>
                <w:lang w:val="en-US" w:eastAsia="zh-CN" w:bidi="ar"/>
              </w:rPr>
              <w:t>破同类业务的</w:t>
            </w:r>
            <w:r>
              <w:rPr>
                <w:rFonts w:hint="default" w:ascii="Times New Roman" w:hAnsi="Times New Roman" w:eastAsia="宋体" w:cs="Times New Roman"/>
                <w:sz w:val="21"/>
                <w:szCs w:val="21"/>
                <w:highlight w:val="none"/>
                <w:lang w:val="en-US" w:eastAsia="zh-CN" w:bidi="ar"/>
              </w:rPr>
              <w:t>56.41%</w:t>
            </w:r>
            <w:r>
              <w:rPr>
                <w:rFonts w:hint="eastAsia" w:ascii="Times New Roman" w:hAnsi="Times New Roman" w:eastAsia="宋体" w:cs="Times New Roman"/>
                <w:sz w:val="21"/>
                <w:szCs w:val="21"/>
                <w:highlight w:val="none"/>
                <w:lang w:val="en-US" w:eastAsia="zh-CN" w:bidi="ar"/>
              </w:rPr>
              <w:t>；中长期业务在手订单37,323.61万元。</w:t>
            </w:r>
          </w:p>
          <w:p w14:paraId="7B6711A6">
            <w:pPr>
              <w:keepNext w:val="0"/>
              <w:keepLines w:val="0"/>
              <w:numPr>
                <w:ilvl w:val="0"/>
                <w:numId w:val="0"/>
              </w:numPr>
              <w:suppressLineNumbers w:val="0"/>
              <w:spacing w:before="0" w:beforeAutospacing="0" w:after="0" w:afterAutospacing="0"/>
              <w:ind w:left="0" w:right="0" w:firstLine="420" w:firstLineChars="200"/>
              <w:rPr>
                <w:rFonts w:hint="eastAsia" w:ascii="Times New Roman" w:hAnsi="Times New Roman" w:eastAsia="宋体" w:cs="Times New Roman"/>
                <w:sz w:val="21"/>
                <w:szCs w:val="21"/>
                <w:highlight w:val="none"/>
                <w:lang w:val="en-US" w:eastAsia="zh-CN" w:bidi="ar"/>
              </w:rPr>
            </w:pPr>
            <w:r>
              <w:rPr>
                <w:rFonts w:hint="eastAsia" w:ascii="Times New Roman" w:hAnsi="Times New Roman" w:eastAsia="宋体" w:cs="Times New Roman"/>
                <w:sz w:val="21"/>
                <w:szCs w:val="21"/>
                <w:highlight w:val="none"/>
                <w:lang w:val="en-US" w:eastAsia="zh-CN" w:bidi="ar"/>
              </w:rPr>
              <w:t>2026年上半年，公司新水岛</w:t>
            </w:r>
            <w:r>
              <w:rPr>
                <w:rFonts w:hint="eastAsia" w:ascii="Times New Roman" w:hAnsi="Times New Roman" w:eastAsia="宋体" w:cs="Times New Roman"/>
                <w:sz w:val="21"/>
                <w:szCs w:val="21"/>
                <w:highlight w:val="none"/>
                <w:vertAlign w:val="superscript"/>
                <w:lang w:val="en-US" w:eastAsia="zh-CN" w:bidi="ar"/>
              </w:rPr>
              <w:t>®</w:t>
            </w:r>
            <w:r>
              <w:rPr>
                <w:rFonts w:hint="eastAsia" w:ascii="Times New Roman" w:hAnsi="Times New Roman" w:eastAsia="宋体" w:cs="Times New Roman"/>
                <w:sz w:val="21"/>
                <w:szCs w:val="21"/>
                <w:highlight w:val="none"/>
                <w:lang w:val="en-US" w:eastAsia="zh-CN" w:bidi="ar"/>
              </w:rPr>
              <w:t>及水厂运维服务整体收入和利润贡献稳步提升，共实现收入16,668.82万元，毛利6,432.36万元，对公司研发、销售和管理费用支出形成有力支撑。</w:t>
            </w:r>
          </w:p>
          <w:p w14:paraId="46063155">
            <w:pPr>
              <w:keepNext w:val="0"/>
              <w:keepLines w:val="0"/>
              <w:numPr>
                <w:ilvl w:val="0"/>
                <w:numId w:val="0"/>
              </w:numPr>
              <w:suppressLineNumbers w:val="0"/>
              <w:spacing w:before="0" w:beforeAutospacing="0" w:after="0" w:afterAutospacing="0"/>
              <w:ind w:left="0" w:right="0"/>
              <w:rPr>
                <w:rFonts w:hint="eastAsia" w:ascii="Times New Roman" w:hAnsi="Times New Roman" w:eastAsia="宋体" w:cs="Times New Roman"/>
                <w:sz w:val="21"/>
                <w:szCs w:val="21"/>
                <w:lang w:val="en-US" w:eastAsia="zh-CN" w:bidi="ar"/>
              </w:rPr>
            </w:pPr>
          </w:p>
          <w:p w14:paraId="77DE65B3">
            <w:pPr>
              <w:keepNext w:val="0"/>
              <w:keepLines w:val="0"/>
              <w:widowControl w:val="0"/>
              <w:numPr>
                <w:ilvl w:val="0"/>
                <w:numId w:val="0"/>
              </w:numPr>
              <w:suppressLineNumbers w:val="0"/>
              <w:spacing w:before="0" w:beforeAutospacing="0" w:after="0" w:afterAutospacing="0"/>
              <w:ind w:left="0" w:right="0" w:rightChars="0" w:firstLine="422" w:firstLineChars="200"/>
              <w:jc w:val="both"/>
              <w:rPr>
                <w:rFonts w:hint="eastAsia" w:ascii="宋体" w:hAnsi="宋体" w:eastAsia="宋体" w:cs="宋体"/>
                <w:b/>
                <w:bCs w:val="0"/>
                <w:color w:val="auto"/>
                <w:szCs w:val="21"/>
                <w:u w:val="none"/>
                <w:lang w:val="en-US" w:eastAsia="zh-CN"/>
              </w:rPr>
            </w:pPr>
            <w:r>
              <w:rPr>
                <w:rFonts w:hint="eastAsia" w:ascii="宋体" w:hAnsi="宋体" w:eastAsia="宋体" w:cs="宋体"/>
                <w:b/>
                <w:bCs w:val="0"/>
                <w:color w:val="auto"/>
                <w:szCs w:val="21"/>
                <w:u w:val="none"/>
                <w:lang w:val="en-US" w:eastAsia="zh-CN"/>
              </w:rPr>
              <w:t>8.新水岛</w:t>
            </w:r>
            <w:r>
              <w:rPr>
                <w:rFonts w:hint="default" w:ascii="宋体" w:hAnsi="宋体" w:eastAsia="宋体" w:cs="宋体"/>
                <w:b/>
                <w:bCs w:val="0"/>
                <w:color w:val="auto"/>
                <w:szCs w:val="21"/>
                <w:u w:val="none"/>
                <w:lang w:val="en-US" w:eastAsia="zh-CN"/>
              </w:rPr>
              <w:t>®</w:t>
            </w:r>
            <w:r>
              <w:rPr>
                <w:rFonts w:hint="eastAsia" w:ascii="宋体" w:hAnsi="宋体" w:eastAsia="宋体" w:cs="宋体"/>
                <w:b/>
                <w:bCs w:val="0"/>
                <w:color w:val="auto"/>
                <w:szCs w:val="21"/>
                <w:u w:val="none"/>
                <w:lang w:val="en-US" w:eastAsia="zh-CN"/>
              </w:rPr>
              <w:t>产品目前主要适配并应用于哪些具体的业务场景与行业领域？</w:t>
            </w:r>
          </w:p>
          <w:p w14:paraId="1968F8B4">
            <w:pPr>
              <w:keepNext w:val="0"/>
              <w:keepLines w:val="0"/>
              <w:suppressLineNumbers w:val="0"/>
              <w:spacing w:before="0" w:beforeAutospacing="0" w:after="0" w:afterAutospacing="0"/>
              <w:ind w:left="0" w:right="0" w:firstLine="420" w:firstLineChars="200"/>
              <w:rPr>
                <w:rFonts w:hint="eastAsia" w:ascii="宋体" w:hAnsi="宋体" w:eastAsia="宋体"/>
                <w:szCs w:val="21"/>
              </w:rPr>
            </w:pPr>
            <w:r>
              <w:rPr>
                <w:rFonts w:hint="eastAsia" w:ascii="宋体" w:hAnsi="宋体" w:eastAsia="宋体"/>
                <w:szCs w:val="21"/>
              </w:rPr>
              <w:t>答：新水岛®广泛适用于工业、园区、城镇海水淡化等应用场景，可作为高品质供水基础设施（城镇、园区、工业）的替代方案，以常规水源（水库水、地下水、河道水等）和非常规水源（污水、矿井水、苦咸水等），为工业企业、工业园区和城镇提供高品质供水，成本和安全性方面更具竞争力。</w:t>
            </w:r>
          </w:p>
          <w:p w14:paraId="48459954">
            <w:pPr>
              <w:keepNext w:val="0"/>
              <w:keepLines w:val="0"/>
              <w:numPr>
                <w:ilvl w:val="0"/>
                <w:numId w:val="0"/>
              </w:numPr>
              <w:suppressLineNumbers w:val="0"/>
              <w:spacing w:before="0" w:beforeAutospacing="0" w:after="0" w:afterAutospacing="0"/>
              <w:ind w:left="0" w:right="0"/>
              <w:rPr>
                <w:rFonts w:hint="eastAsia" w:ascii="Times New Roman" w:hAnsi="Times New Roman" w:eastAsia="宋体" w:cs="Times New Roman"/>
                <w:sz w:val="21"/>
                <w:szCs w:val="21"/>
                <w:lang w:val="en-US" w:eastAsia="zh-CN" w:bidi="ar"/>
              </w:rPr>
            </w:pPr>
          </w:p>
          <w:p w14:paraId="0B35CD2C">
            <w:pPr>
              <w:keepNext w:val="0"/>
              <w:keepLines w:val="0"/>
              <w:numPr>
                <w:ilvl w:val="0"/>
                <w:numId w:val="0"/>
              </w:numPr>
              <w:suppressLineNumbers w:val="0"/>
              <w:spacing w:before="0" w:beforeAutospacing="0" w:after="0" w:afterAutospacing="0"/>
              <w:ind w:left="0" w:right="0" w:firstLine="422" w:firstLineChars="200"/>
              <w:rPr>
                <w:rFonts w:hint="eastAsia" w:ascii="宋体" w:hAnsi="宋体" w:eastAsia="宋体" w:cs="宋体"/>
                <w:b/>
                <w:bCs w:val="0"/>
                <w:color w:val="auto"/>
                <w:szCs w:val="21"/>
                <w:u w:val="none"/>
                <w:lang w:eastAsia="zh-CN"/>
              </w:rPr>
            </w:pPr>
            <w:r>
              <w:rPr>
                <w:rFonts w:hint="eastAsia" w:ascii="宋体" w:hAnsi="宋体" w:eastAsia="宋体" w:cs="宋体"/>
                <w:b/>
                <w:bCs w:val="0"/>
                <w:color w:val="auto"/>
                <w:kern w:val="2"/>
                <w:sz w:val="21"/>
                <w:szCs w:val="21"/>
                <w:lang w:val="en-US" w:eastAsia="zh-CN" w:bidi="ar-SA"/>
              </w:rPr>
              <w:t>9.新水岛®相比传统工程水厂的核心优势是什么？</w:t>
            </w:r>
          </w:p>
          <w:p w14:paraId="0EC1AF7F">
            <w:pPr>
              <w:keepNext w:val="0"/>
              <w:keepLines w:val="0"/>
              <w:numPr>
                <w:ilvl w:val="0"/>
                <w:numId w:val="0"/>
              </w:numPr>
              <w:suppressLineNumbers w:val="0"/>
              <w:spacing w:before="0" w:beforeAutospacing="0" w:after="0" w:afterAutospacing="0"/>
              <w:ind w:left="0" w:right="0" w:firstLine="420" w:firstLineChars="200"/>
              <w:rPr>
                <w:rFonts w:hint="eastAsia" w:ascii="Times New Roman" w:hAnsi="Times New Roman" w:eastAsia="宋体" w:cs="Times New Roman"/>
                <w:sz w:val="21"/>
                <w:szCs w:val="21"/>
                <w:lang w:val="en-US" w:eastAsia="zh-CN" w:bidi="ar"/>
              </w:rPr>
            </w:pPr>
            <w:r>
              <w:rPr>
                <w:rFonts w:hint="eastAsia" w:ascii="Times New Roman" w:hAnsi="Times New Roman" w:eastAsia="宋体" w:cs="Times New Roman"/>
                <w:sz w:val="21"/>
                <w:szCs w:val="21"/>
                <w:lang w:val="en-US" w:eastAsia="zh-CN" w:bidi="ar"/>
              </w:rPr>
              <w:t>答：通过分布式部署，新水岛</w:t>
            </w:r>
            <w:r>
              <w:rPr>
                <w:rFonts w:hint="eastAsia" w:ascii="Times New Roman" w:hAnsi="Times New Roman" w:eastAsia="宋体" w:cs="Times New Roman"/>
                <w:sz w:val="21"/>
                <w:szCs w:val="21"/>
                <w:vertAlign w:val="superscript"/>
                <w:lang w:val="en-US" w:eastAsia="zh-CN" w:bidi="ar"/>
              </w:rPr>
              <w:t>®</w:t>
            </w:r>
            <w:r>
              <w:rPr>
                <w:rFonts w:hint="eastAsia" w:ascii="Times New Roman" w:hAnsi="Times New Roman" w:eastAsia="宋体" w:cs="Times New Roman"/>
                <w:sz w:val="21"/>
                <w:szCs w:val="21"/>
                <w:lang w:val="en-US" w:eastAsia="zh-CN" w:bidi="ar"/>
              </w:rPr>
              <w:t>可节省巨额配套管网投资；工业品流水线的批量生产模式以规模效应带来吨水成本的降低；同时，新水岛</w:t>
            </w:r>
            <w:r>
              <w:rPr>
                <w:rFonts w:hint="eastAsia" w:ascii="Times New Roman" w:hAnsi="Times New Roman" w:eastAsia="宋体" w:cs="Times New Roman"/>
                <w:sz w:val="21"/>
                <w:szCs w:val="21"/>
                <w:vertAlign w:val="superscript"/>
                <w:lang w:val="en-US" w:eastAsia="zh-CN" w:bidi="ar"/>
              </w:rPr>
              <w:t>®</w:t>
            </w:r>
            <w:r>
              <w:rPr>
                <w:rFonts w:hint="eastAsia" w:ascii="Times New Roman" w:hAnsi="Times New Roman" w:eastAsia="宋体" w:cs="Times New Roman"/>
                <w:sz w:val="21"/>
                <w:szCs w:val="21"/>
                <w:lang w:val="en-US" w:eastAsia="zh-CN" w:bidi="ar"/>
              </w:rPr>
              <w:t>实现了从不同工艺单元相互割裂的“组合工艺”向有机融合成一体的“融合工艺”转变突破，为“稳定可靠的短流程工艺”替代“打补丁式的长流程”奠定了坚实基础，进一步削减冗余配置，优化建设成本。此外，新水岛</w:t>
            </w:r>
            <w:bookmarkStart w:id="0" w:name="_GoBack"/>
            <w:r>
              <w:rPr>
                <w:rFonts w:hint="eastAsia" w:ascii="Times New Roman" w:hAnsi="Times New Roman" w:eastAsia="宋体" w:cs="Times New Roman"/>
                <w:sz w:val="21"/>
                <w:szCs w:val="21"/>
                <w:vertAlign w:val="superscript"/>
                <w:lang w:val="en-US" w:eastAsia="zh-CN" w:bidi="ar"/>
              </w:rPr>
              <w:t>®</w:t>
            </w:r>
            <w:bookmarkEnd w:id="0"/>
            <w:r>
              <w:rPr>
                <w:rFonts w:hint="eastAsia" w:ascii="Times New Roman" w:hAnsi="Times New Roman" w:eastAsia="宋体" w:cs="Times New Roman"/>
                <w:sz w:val="21"/>
                <w:szCs w:val="21"/>
                <w:lang w:val="en-US" w:eastAsia="zh-CN" w:bidi="ar"/>
              </w:rPr>
              <w:t>应用人工智能（AI）技术取代了人员运营管理工作，重构并优化了水厂生产运营流程，有效保障水质水量稳定达标，延长设备寿命，显著降低运营成本。</w:t>
            </w:r>
          </w:p>
          <w:p w14:paraId="0A46BD33">
            <w:pPr>
              <w:keepNext w:val="0"/>
              <w:keepLines w:val="0"/>
              <w:numPr>
                <w:ilvl w:val="0"/>
                <w:numId w:val="0"/>
              </w:numPr>
              <w:suppressLineNumbers w:val="0"/>
              <w:spacing w:before="0" w:beforeAutospacing="0" w:after="0" w:afterAutospacing="0"/>
              <w:ind w:left="0" w:right="0" w:firstLine="420" w:firstLineChars="200"/>
              <w:rPr>
                <w:rFonts w:hint="eastAsia" w:ascii="Times New Roman" w:hAnsi="Times New Roman" w:eastAsia="宋体" w:cs="Times New Roman"/>
                <w:sz w:val="21"/>
                <w:szCs w:val="21"/>
                <w:lang w:val="en-US" w:eastAsia="zh-CN" w:bidi="ar"/>
              </w:rPr>
            </w:pPr>
            <w:r>
              <w:rPr>
                <w:rFonts w:hint="eastAsia" w:ascii="Times New Roman" w:hAnsi="Times New Roman" w:eastAsia="宋体" w:cs="Times New Roman"/>
                <w:sz w:val="21"/>
                <w:szCs w:val="21"/>
                <w:lang w:val="en-US" w:eastAsia="zh-CN" w:bidi="ar"/>
              </w:rPr>
              <w:t>相较传统工程水厂，新水岛</w:t>
            </w:r>
            <w:r>
              <w:rPr>
                <w:rFonts w:hint="eastAsia" w:ascii="Times New Roman" w:hAnsi="Times New Roman" w:eastAsia="宋体" w:cs="Times New Roman"/>
                <w:sz w:val="21"/>
                <w:szCs w:val="21"/>
                <w:vertAlign w:val="superscript"/>
                <w:lang w:val="en-US" w:eastAsia="zh-CN" w:bidi="ar"/>
              </w:rPr>
              <w:t>®</w:t>
            </w:r>
            <w:r>
              <w:rPr>
                <w:rFonts w:hint="eastAsia" w:ascii="Times New Roman" w:hAnsi="Times New Roman" w:eastAsia="宋体" w:cs="Times New Roman"/>
                <w:sz w:val="21"/>
                <w:szCs w:val="21"/>
                <w:lang w:val="en-US" w:eastAsia="zh-CN" w:bidi="ar"/>
              </w:rPr>
              <w:t>实现占地面积节省 90%、交付时间缩短 90%、运营人员精简 90%，全生命周期成本大幅降低。公司通过产品化的水厂、分布式布置、资源化再生循环、智能化运营的组合实施，可以让社会获得可持续的、充足的、可靠的、可负担的高品质水，为人类带来水自由。</w:t>
            </w:r>
          </w:p>
          <w:p w14:paraId="1A56E779">
            <w:pPr>
              <w:keepNext w:val="0"/>
              <w:keepLines w:val="0"/>
              <w:numPr>
                <w:ilvl w:val="0"/>
                <w:numId w:val="0"/>
              </w:numPr>
              <w:suppressLineNumbers w:val="0"/>
              <w:spacing w:before="0" w:beforeAutospacing="0" w:after="0" w:afterAutospacing="0"/>
              <w:ind w:left="0" w:right="0" w:firstLine="420" w:firstLineChars="200"/>
              <w:rPr>
                <w:rFonts w:hint="eastAsia" w:ascii="Times New Roman" w:hAnsi="Times New Roman" w:eastAsia="宋体" w:cs="Times New Roman"/>
                <w:sz w:val="21"/>
                <w:szCs w:val="21"/>
                <w:lang w:val="en-US" w:eastAsia="zh-CN" w:bidi="ar"/>
              </w:rPr>
            </w:pPr>
          </w:p>
          <w:p w14:paraId="4B3C4012">
            <w:pPr>
              <w:keepNext w:val="0"/>
              <w:keepLines w:val="0"/>
              <w:widowControl w:val="0"/>
              <w:numPr>
                <w:ilvl w:val="0"/>
                <w:numId w:val="0"/>
              </w:numPr>
              <w:suppressLineNumbers w:val="0"/>
              <w:spacing w:before="0" w:beforeAutospacing="0" w:after="0" w:afterAutospacing="0"/>
              <w:ind w:left="0" w:right="0" w:rightChars="0" w:firstLine="422" w:firstLineChars="200"/>
              <w:jc w:val="both"/>
              <w:rPr>
                <w:rFonts w:hint="eastAsia" w:ascii="宋体" w:hAnsi="宋体" w:eastAsia="宋体" w:cs="宋体"/>
                <w:b/>
                <w:bCs w:val="0"/>
                <w:color w:val="auto"/>
                <w:kern w:val="2"/>
                <w:sz w:val="21"/>
                <w:szCs w:val="21"/>
                <w:lang w:val="en-US" w:eastAsia="zh-CN" w:bidi="ar-SA"/>
              </w:rPr>
            </w:pPr>
            <w:r>
              <w:rPr>
                <w:rFonts w:hint="eastAsia" w:ascii="宋体" w:hAnsi="宋体" w:eastAsia="宋体" w:cs="宋体"/>
                <w:b/>
                <w:bCs w:val="0"/>
                <w:color w:val="auto"/>
                <w:kern w:val="2"/>
                <w:sz w:val="21"/>
                <w:szCs w:val="21"/>
                <w:lang w:val="en-US" w:eastAsia="zh-CN" w:bidi="ar-SA"/>
              </w:rPr>
              <w:t>10.</w:t>
            </w:r>
            <w:r>
              <w:rPr>
                <w:rFonts w:hint="eastAsia" w:ascii="宋体" w:hAnsi="宋体" w:eastAsia="宋体" w:cs="宋体"/>
                <w:b/>
                <w:bCs w:val="0"/>
                <w:color w:val="auto"/>
                <w:szCs w:val="21"/>
                <w:u w:val="none"/>
                <w:lang w:val="en-US" w:eastAsia="zh-CN"/>
              </w:rPr>
              <w:t>请问水萝卜</w:t>
            </w:r>
            <w:r>
              <w:rPr>
                <w:rFonts w:hint="eastAsia" w:ascii="宋体" w:hAnsi="宋体" w:eastAsia="宋体" w:cs="宋体"/>
                <w:b/>
                <w:bCs w:val="0"/>
                <w:color w:val="auto"/>
                <w:kern w:val="2"/>
                <w:sz w:val="21"/>
                <w:szCs w:val="21"/>
                <w:lang w:val="en-US" w:eastAsia="zh-CN" w:bidi="ar-SA"/>
              </w:rPr>
              <w:t>®</w:t>
            </w:r>
            <w:r>
              <w:rPr>
                <w:rFonts w:hint="eastAsia" w:ascii="宋体" w:hAnsi="宋体" w:eastAsia="宋体" w:cs="宋体"/>
                <w:b/>
                <w:bCs w:val="0"/>
                <w:color w:val="auto"/>
                <w:szCs w:val="21"/>
                <w:u w:val="none"/>
                <w:lang w:val="en-US" w:eastAsia="zh-CN"/>
              </w:rPr>
              <w:t>AI智能体S系列产品目前有落地应用吗？</w:t>
            </w:r>
          </w:p>
          <w:p w14:paraId="06A3E3B9">
            <w:pPr>
              <w:keepNext w:val="0"/>
              <w:keepLines w:val="0"/>
              <w:widowControl/>
              <w:suppressLineNumbers w:val="0"/>
              <w:spacing w:before="0" w:beforeAutospacing="0" w:after="0" w:afterAutospacing="0" w:line="268" w:lineRule="auto"/>
              <w:ind w:left="0" w:right="0" w:firstLine="420" w:firstLineChars="200"/>
              <w:jc w:val="left"/>
              <w:rPr>
                <w:rFonts w:hint="eastAsia" w:ascii="宋体" w:hAnsi="宋体" w:eastAsia="宋体" w:cs="宋体"/>
                <w:kern w:val="0"/>
                <w:sz w:val="21"/>
                <w:szCs w:val="21"/>
                <w:lang w:val="en-US" w:eastAsia="zh-CN" w:bidi="ar"/>
              </w:rPr>
            </w:pPr>
            <w:r>
              <w:rPr>
                <w:rFonts w:hint="eastAsia" w:ascii="宋体" w:hAnsi="宋体" w:eastAsia="宋体" w:cs="宋体"/>
                <w:b w:val="0"/>
                <w:bCs/>
                <w:color w:val="auto"/>
                <w:kern w:val="2"/>
                <w:sz w:val="21"/>
                <w:szCs w:val="21"/>
                <w:lang w:val="en-US" w:eastAsia="zh-CN" w:bidi="ar-SA"/>
              </w:rPr>
              <w:t>答：2026年上半年</w:t>
            </w:r>
            <w:r>
              <w:rPr>
                <w:rFonts w:hint="eastAsia" w:ascii="宋体" w:hAnsi="宋体" w:eastAsia="宋体" w:cs="宋体"/>
                <w:kern w:val="0"/>
                <w:sz w:val="21"/>
                <w:szCs w:val="21"/>
                <w:lang w:val="en-US" w:eastAsia="zh-CN" w:bidi="ar"/>
              </w:rPr>
              <w:t>，水萝卜®AI智能体S系列已在龙亭新水岛®项目、南堡再生水项目开展部署验证，重点围绕设备预测性维护、环境异常感知、AI自主巡检及边缘智能分析等应用场景持续优化算法模型及产品配置，不断完善标准化产品体系，为公司AI智能体规模化推广提供统一的感知硬件平台和边缘AI基础设施。</w:t>
            </w:r>
          </w:p>
          <w:p w14:paraId="4E383937">
            <w:pPr>
              <w:keepNext w:val="0"/>
              <w:keepLines w:val="0"/>
              <w:widowControl/>
              <w:suppressLineNumbers w:val="0"/>
              <w:spacing w:before="0" w:beforeAutospacing="0" w:after="0" w:afterAutospacing="0" w:line="268" w:lineRule="auto"/>
              <w:ind w:left="0" w:right="0" w:firstLine="420" w:firstLineChars="200"/>
              <w:jc w:val="left"/>
              <w:rPr>
                <w:rFonts w:hint="default" w:ascii="宋体" w:hAnsi="宋体" w:eastAsia="宋体" w:cs="宋体"/>
                <w:kern w:val="0"/>
                <w:sz w:val="21"/>
                <w:szCs w:val="21"/>
                <w:lang w:val="en-US" w:eastAsia="zh-CN" w:bidi="ar"/>
              </w:rPr>
            </w:pPr>
          </w:p>
          <w:p w14:paraId="38BB0EEF">
            <w:pPr>
              <w:keepNext w:val="0"/>
              <w:keepLines w:val="0"/>
              <w:widowControl w:val="0"/>
              <w:numPr>
                <w:ilvl w:val="0"/>
                <w:numId w:val="0"/>
              </w:numPr>
              <w:suppressLineNumbers w:val="0"/>
              <w:spacing w:before="0" w:beforeAutospacing="0" w:after="0" w:afterAutospacing="0"/>
              <w:ind w:left="0" w:right="0" w:rightChars="0" w:firstLine="422" w:firstLineChars="200"/>
              <w:jc w:val="both"/>
              <w:rPr>
                <w:rFonts w:hint="eastAsia" w:ascii="宋体" w:hAnsi="宋体" w:eastAsia="宋体" w:cs="宋体"/>
                <w:b/>
                <w:bCs w:val="0"/>
                <w:color w:val="auto"/>
                <w:kern w:val="2"/>
                <w:sz w:val="21"/>
                <w:szCs w:val="21"/>
                <w:lang w:val="en-US" w:eastAsia="zh-CN" w:bidi="ar-SA"/>
              </w:rPr>
            </w:pPr>
            <w:r>
              <w:rPr>
                <w:rFonts w:hint="eastAsia" w:ascii="宋体" w:hAnsi="宋体" w:eastAsia="宋体" w:cs="宋体"/>
                <w:b/>
                <w:bCs w:val="0"/>
                <w:color w:val="auto"/>
                <w:kern w:val="2"/>
                <w:sz w:val="21"/>
                <w:szCs w:val="21"/>
                <w:lang w:val="en-US" w:eastAsia="zh-CN" w:bidi="ar-SA"/>
              </w:rPr>
              <w:t>11.请问贵公司未来盈利增长的主要驱动因素有哪些？</w:t>
            </w:r>
          </w:p>
          <w:p w14:paraId="2F8ACCD8">
            <w:pPr>
              <w:keepNext w:val="0"/>
              <w:keepLines w:val="0"/>
              <w:widowControl w:val="0"/>
              <w:numPr>
                <w:ilvl w:val="0"/>
                <w:numId w:val="0"/>
              </w:numPr>
              <w:suppressLineNumbers w:val="0"/>
              <w:spacing w:before="0" w:beforeAutospacing="0" w:after="0" w:afterAutospacing="0"/>
              <w:ind w:left="0" w:right="0" w:rightChars="0" w:firstLine="420" w:firstLineChars="200"/>
              <w:jc w:val="both"/>
              <w:rPr>
                <w:rFonts w:hint="eastAsia" w:ascii="宋体" w:hAnsi="宋体" w:eastAsia="宋体" w:cs="宋体"/>
                <w:b w:val="0"/>
                <w:bCs/>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答：金科环境作为大型水处理机器人的开发者和应用者，以“AI为人类带来水自由”为使命，坚持用AI实现无人值守和工程产品化的理念，持续专注新水岛®水处理机器人的创新迭代和推广应用；通过产品化的水厂、分布式布置、资源化再生循环、智能化运营的组合实施，让社会获得可持续的、充足的、可靠的、可负担的高品质水，为人类带来水自由；努力实现“有价值的增长，有现金的利润”核心战略目标。</w:t>
            </w:r>
          </w:p>
          <w:p w14:paraId="6624FE81">
            <w:pPr>
              <w:keepNext w:val="0"/>
              <w:keepLines w:val="0"/>
              <w:widowControl w:val="0"/>
              <w:numPr>
                <w:ilvl w:val="0"/>
                <w:numId w:val="0"/>
              </w:numPr>
              <w:suppressLineNumbers w:val="0"/>
              <w:spacing w:before="0" w:beforeAutospacing="0" w:after="0" w:afterAutospacing="0"/>
              <w:ind w:left="0" w:right="0" w:rightChars="0" w:firstLine="420" w:firstLineChars="200"/>
              <w:jc w:val="both"/>
              <w:rPr>
                <w:rFonts w:hint="default" w:ascii="宋体" w:hAnsi="宋体" w:eastAsia="宋体" w:cs="宋体"/>
                <w:b/>
                <w:bCs w:val="0"/>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目前，公司正处于从“战略验证”向“规模化增长”跨越的关键拐点，公司将以“新水岛®规模化交付”驱动营收恢复增长，以“国内深耕+海外突破”拓宽市场边界，以“持续研发”巩固技术壁垒，以“稳健财务”保证公司持续健康发展。</w:t>
            </w:r>
          </w:p>
          <w:p w14:paraId="0CCBAB6E">
            <w:pPr>
              <w:keepNext w:val="0"/>
              <w:keepLines w:val="0"/>
              <w:widowControl w:val="0"/>
              <w:numPr>
                <w:ilvl w:val="0"/>
                <w:numId w:val="0"/>
              </w:numPr>
              <w:suppressLineNumbers w:val="0"/>
              <w:spacing w:before="0" w:beforeAutospacing="0" w:after="0" w:afterAutospacing="0"/>
              <w:ind w:left="0" w:right="0" w:rightChars="0" w:firstLine="420" w:firstLineChars="200"/>
              <w:jc w:val="both"/>
              <w:rPr>
                <w:rFonts w:hint="default" w:ascii="宋体" w:hAnsi="宋体" w:eastAsia="宋体" w:cs="宋体"/>
                <w:b w:val="0"/>
                <w:bCs/>
                <w:color w:val="auto"/>
                <w:kern w:val="2"/>
                <w:sz w:val="21"/>
                <w:szCs w:val="21"/>
                <w:lang w:val="en-US" w:eastAsia="zh-CN" w:bidi="ar-SA"/>
              </w:rPr>
            </w:pPr>
          </w:p>
          <w:p w14:paraId="274242E5">
            <w:pPr>
              <w:keepNext w:val="0"/>
              <w:keepLines w:val="0"/>
              <w:widowControl w:val="0"/>
              <w:numPr>
                <w:ilvl w:val="0"/>
                <w:numId w:val="0"/>
              </w:numPr>
              <w:suppressLineNumbers w:val="0"/>
              <w:spacing w:before="0" w:beforeAutospacing="0" w:after="0" w:afterAutospacing="0"/>
              <w:ind w:left="0" w:right="0" w:rightChars="0" w:firstLine="422" w:firstLineChars="200"/>
              <w:jc w:val="both"/>
              <w:rPr>
                <w:rFonts w:hint="default" w:ascii="宋体" w:hAnsi="宋体" w:eastAsia="宋体" w:cs="宋体"/>
                <w:b/>
                <w:bCs w:val="0"/>
                <w:color w:val="auto"/>
                <w:kern w:val="2"/>
                <w:sz w:val="21"/>
                <w:szCs w:val="21"/>
                <w:lang w:val="en-US" w:eastAsia="zh-CN" w:bidi="ar-SA"/>
              </w:rPr>
            </w:pPr>
            <w:r>
              <w:rPr>
                <w:rFonts w:hint="eastAsia" w:ascii="宋体" w:hAnsi="宋体" w:eastAsia="宋体" w:cs="宋体"/>
                <w:b/>
                <w:bCs w:val="0"/>
                <w:color w:val="auto"/>
                <w:kern w:val="2"/>
                <w:sz w:val="21"/>
                <w:szCs w:val="21"/>
                <w:lang w:val="en-US" w:eastAsia="zh-CN" w:bidi="ar-SA"/>
              </w:rPr>
              <w:t>12.</w:t>
            </w:r>
            <w:r>
              <w:rPr>
                <w:rFonts w:ascii="siyuan" w:hAnsi="siyuan" w:eastAsia="siyuan" w:cs="siyuan"/>
                <w:b/>
                <w:bCs w:val="0"/>
                <w:i w:val="0"/>
                <w:iCs w:val="0"/>
                <w:caps w:val="0"/>
                <w:color w:val="00040D"/>
                <w:spacing w:val="0"/>
                <w:sz w:val="21"/>
                <w:szCs w:val="21"/>
                <w:shd w:val="clear" w:fill="FFFFFF"/>
              </w:rPr>
              <w:t>请问公司目前的股东人数？</w:t>
            </w:r>
          </w:p>
          <w:p w14:paraId="2D307663">
            <w:pPr>
              <w:keepNext w:val="0"/>
              <w:keepLines w:val="0"/>
              <w:widowControl w:val="0"/>
              <w:numPr>
                <w:ilvl w:val="0"/>
                <w:numId w:val="0"/>
              </w:numPr>
              <w:suppressLineNumbers w:val="0"/>
              <w:spacing w:before="0" w:beforeAutospacing="0" w:after="0" w:afterAutospacing="0"/>
              <w:ind w:left="0" w:right="0" w:rightChars="0" w:firstLine="420" w:firstLineChars="200"/>
              <w:jc w:val="both"/>
              <w:rPr>
                <w:rFonts w:hint="default" w:ascii="宋体" w:hAnsi="宋体" w:eastAsia="宋体" w:cs="宋体"/>
                <w:b/>
                <w:bCs w:val="0"/>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答：截至2026年6月30日，公司普通股股东总数为5,029户。</w:t>
            </w:r>
          </w:p>
          <w:p w14:paraId="17E9E49F">
            <w:pPr>
              <w:keepNext w:val="0"/>
              <w:keepLines w:val="0"/>
              <w:widowControl w:val="0"/>
              <w:numPr>
                <w:ilvl w:val="0"/>
                <w:numId w:val="0"/>
              </w:numPr>
              <w:suppressLineNumbers w:val="0"/>
              <w:spacing w:before="0" w:beforeAutospacing="0" w:after="0" w:afterAutospacing="0"/>
              <w:ind w:left="0" w:right="0" w:rightChars="0" w:firstLine="420" w:firstLineChars="200"/>
              <w:jc w:val="both"/>
              <w:rPr>
                <w:rFonts w:hint="default" w:ascii="宋体" w:hAnsi="宋体" w:eastAsia="宋体" w:cs="宋体"/>
                <w:b w:val="0"/>
                <w:bCs/>
                <w:color w:val="auto"/>
                <w:kern w:val="2"/>
                <w:sz w:val="21"/>
                <w:szCs w:val="21"/>
                <w:lang w:val="en-US" w:eastAsia="zh-CN" w:bidi="ar-SA"/>
              </w:rPr>
            </w:pPr>
          </w:p>
          <w:p w14:paraId="739CF876">
            <w:pPr>
              <w:keepNext w:val="0"/>
              <w:keepLines w:val="0"/>
              <w:widowControl w:val="0"/>
              <w:numPr>
                <w:ilvl w:val="0"/>
                <w:numId w:val="0"/>
              </w:numPr>
              <w:suppressLineNumbers w:val="0"/>
              <w:spacing w:before="0" w:beforeAutospacing="0" w:after="0" w:afterAutospacing="0"/>
              <w:ind w:left="0" w:right="0" w:rightChars="0" w:firstLine="422" w:firstLineChars="200"/>
              <w:jc w:val="both"/>
              <w:rPr>
                <w:rFonts w:hint="default" w:ascii="宋体" w:hAnsi="宋体" w:eastAsia="宋体" w:cs="宋体"/>
                <w:b/>
                <w:bCs w:val="0"/>
                <w:color w:val="auto"/>
                <w:kern w:val="2"/>
                <w:sz w:val="21"/>
                <w:szCs w:val="21"/>
                <w:lang w:val="en-US" w:eastAsia="zh-CN" w:bidi="ar-SA"/>
              </w:rPr>
            </w:pPr>
            <w:r>
              <w:rPr>
                <w:rFonts w:hint="eastAsia" w:ascii="宋体" w:hAnsi="宋体" w:eastAsia="宋体" w:cs="宋体"/>
                <w:b/>
                <w:bCs w:val="0"/>
                <w:color w:val="auto"/>
                <w:kern w:val="2"/>
                <w:sz w:val="21"/>
                <w:szCs w:val="21"/>
                <w:lang w:val="en-US" w:eastAsia="zh-CN" w:bidi="ar-SA"/>
              </w:rPr>
              <w:t>13.</w:t>
            </w:r>
            <w:r>
              <w:rPr>
                <w:rFonts w:ascii="siyuan" w:hAnsi="siyuan" w:eastAsia="siyuan" w:cs="siyuan"/>
                <w:b/>
                <w:bCs w:val="0"/>
                <w:i w:val="0"/>
                <w:iCs w:val="0"/>
                <w:caps w:val="0"/>
                <w:color w:val="00040D"/>
                <w:spacing w:val="0"/>
                <w:sz w:val="21"/>
                <w:szCs w:val="21"/>
                <w:shd w:val="clear" w:fill="FFFFFF"/>
              </w:rPr>
              <w:t>请问公司未来的分红计划和派息政策？</w:t>
            </w:r>
          </w:p>
          <w:p w14:paraId="3E8A3C21">
            <w:pPr>
              <w:keepNext w:val="0"/>
              <w:keepLines w:val="0"/>
              <w:widowControl w:val="0"/>
              <w:numPr>
                <w:ilvl w:val="0"/>
                <w:numId w:val="0"/>
              </w:numPr>
              <w:suppressLineNumbers w:val="0"/>
              <w:spacing w:before="0" w:beforeAutospacing="0" w:after="0" w:afterAutospacing="0"/>
              <w:ind w:left="0" w:right="0" w:rightChars="0" w:firstLine="420" w:firstLineChars="200"/>
              <w:jc w:val="both"/>
              <w:rPr>
                <w:rFonts w:hint="default" w:ascii="宋体" w:hAnsi="宋体" w:eastAsia="宋体" w:cs="宋体"/>
                <w:b/>
                <w:bCs w:val="0"/>
                <w:color w:val="auto"/>
                <w:kern w:val="2"/>
                <w:sz w:val="21"/>
                <w:szCs w:val="21"/>
                <w:lang w:val="en-US" w:eastAsia="zh-CN" w:bidi="ar-SA"/>
              </w:rPr>
            </w:pPr>
            <w:r>
              <w:rPr>
                <w:rFonts w:hint="eastAsia" w:ascii="宋体" w:hAnsi="宋体" w:eastAsia="宋体" w:cs="宋体"/>
                <w:b w:val="0"/>
                <w:bCs/>
                <w:color w:val="auto"/>
                <w:kern w:val="2"/>
                <w:sz w:val="21"/>
                <w:szCs w:val="21"/>
                <w:lang w:val="en-US" w:eastAsia="zh-CN" w:bidi="ar-SA"/>
              </w:rPr>
              <w:t>答：公司将在兼顾公司生产经营的资金需求及可持续发展原则的基础上，科学平衡安排股东回报和公司长期发展，真正体现“以投资者为本”的公司发展理念。</w:t>
            </w:r>
          </w:p>
          <w:p w14:paraId="23D8C27C">
            <w:pPr>
              <w:keepNext w:val="0"/>
              <w:keepLines w:val="0"/>
              <w:widowControl/>
              <w:numPr>
                <w:ilvl w:val="0"/>
                <w:numId w:val="0"/>
              </w:numPr>
              <w:suppressLineNumbers w:val="0"/>
              <w:spacing w:before="0" w:beforeAutospacing="0" w:after="0" w:afterAutospacing="0" w:line="268" w:lineRule="auto"/>
              <w:ind w:right="0" w:rightChars="0"/>
              <w:jc w:val="left"/>
              <w:rPr>
                <w:rFonts w:hint="default" w:ascii="siyuan" w:hAnsi="siyuan" w:eastAsia="siyuan" w:cs="siyuan"/>
                <w:i w:val="0"/>
                <w:iCs w:val="0"/>
                <w:caps w:val="0"/>
                <w:color w:val="00040D"/>
                <w:spacing w:val="0"/>
                <w:sz w:val="21"/>
                <w:szCs w:val="21"/>
                <w:shd w:val="clear" w:fill="FFFFFF"/>
                <w:lang w:val="en-US" w:eastAsia="zh-CN"/>
              </w:rPr>
            </w:pPr>
          </w:p>
        </w:tc>
      </w:tr>
      <w:tr w14:paraId="3B951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1844" w:type="dxa"/>
            <w:vAlign w:val="center"/>
          </w:tcPr>
          <w:p w14:paraId="4AAB5B85">
            <w:pPr>
              <w:spacing w:line="240" w:lineRule="auto"/>
              <w:jc w:val="center"/>
              <w:rPr>
                <w:rFonts w:hint="eastAsia" w:ascii="宋体" w:hAnsi="宋体" w:eastAsia="宋体" w:cs="宋体"/>
                <w:b/>
                <w:bCs/>
                <w:color w:val="auto"/>
                <w:szCs w:val="21"/>
                <w:u w:val="none"/>
              </w:rPr>
            </w:pPr>
            <w:r>
              <w:rPr>
                <w:rFonts w:hint="eastAsia" w:ascii="宋体" w:hAnsi="宋体" w:eastAsia="宋体" w:cs="宋体"/>
                <w:b/>
                <w:bCs/>
                <w:color w:val="auto"/>
                <w:szCs w:val="21"/>
                <w:u w:val="none"/>
              </w:rPr>
              <w:t>附件清单</w:t>
            </w:r>
          </w:p>
          <w:p w14:paraId="2AE2E17F">
            <w:pPr>
              <w:spacing w:line="240" w:lineRule="auto"/>
              <w:jc w:val="center"/>
              <w:rPr>
                <w:rFonts w:hint="eastAsia" w:ascii="宋体" w:hAnsi="宋体" w:eastAsia="宋体" w:cs="宋体"/>
                <w:color w:val="auto"/>
                <w:szCs w:val="21"/>
                <w:u w:val="none"/>
              </w:rPr>
            </w:pPr>
            <w:r>
              <w:rPr>
                <w:rFonts w:hint="eastAsia" w:ascii="宋体" w:hAnsi="宋体" w:eastAsia="宋体" w:cs="宋体"/>
                <w:b/>
                <w:bCs/>
                <w:color w:val="auto"/>
                <w:szCs w:val="21"/>
                <w:u w:val="none"/>
              </w:rPr>
              <w:t>（如有）</w:t>
            </w:r>
          </w:p>
        </w:tc>
        <w:tc>
          <w:tcPr>
            <w:tcW w:w="7229" w:type="dxa"/>
            <w:vAlign w:val="center"/>
          </w:tcPr>
          <w:p w14:paraId="5CF1995B">
            <w:pPr>
              <w:spacing w:line="240" w:lineRule="auto"/>
              <w:rPr>
                <w:rFonts w:hint="eastAsia" w:ascii="宋体" w:hAnsi="宋体" w:eastAsia="宋体" w:cs="宋体"/>
                <w:color w:val="auto"/>
                <w:szCs w:val="21"/>
                <w:u w:val="none"/>
              </w:rPr>
            </w:pPr>
            <w:r>
              <w:rPr>
                <w:rFonts w:hint="eastAsia" w:ascii="宋体" w:hAnsi="宋体" w:eastAsia="宋体" w:cs="宋体"/>
                <w:color w:val="auto"/>
                <w:szCs w:val="21"/>
                <w:u w:val="none"/>
              </w:rPr>
              <w:t>无</w:t>
            </w:r>
          </w:p>
        </w:tc>
      </w:tr>
      <w:tr w14:paraId="13AE9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844" w:type="dxa"/>
            <w:vAlign w:val="center"/>
          </w:tcPr>
          <w:p w14:paraId="61CDEB5D">
            <w:pPr>
              <w:spacing w:line="240" w:lineRule="auto"/>
              <w:jc w:val="center"/>
              <w:rPr>
                <w:rFonts w:hint="eastAsia" w:ascii="宋体" w:hAnsi="宋体" w:eastAsia="宋体" w:cs="宋体"/>
                <w:b/>
                <w:bCs/>
                <w:color w:val="auto"/>
                <w:szCs w:val="21"/>
                <w:u w:val="none"/>
              </w:rPr>
            </w:pPr>
            <w:r>
              <w:rPr>
                <w:rFonts w:hint="eastAsia" w:ascii="宋体" w:hAnsi="宋体" w:eastAsia="宋体" w:cs="宋体"/>
                <w:b/>
                <w:bCs/>
                <w:color w:val="auto"/>
                <w:szCs w:val="21"/>
                <w:u w:val="none"/>
              </w:rPr>
              <w:t>日期</w:t>
            </w:r>
          </w:p>
        </w:tc>
        <w:tc>
          <w:tcPr>
            <w:tcW w:w="7229" w:type="dxa"/>
            <w:vAlign w:val="center"/>
          </w:tcPr>
          <w:p w14:paraId="33CB2747">
            <w:pPr>
              <w:spacing w:line="240" w:lineRule="auto"/>
              <w:rPr>
                <w:rFonts w:hint="eastAsia" w:ascii="宋体" w:hAnsi="宋体" w:eastAsia="宋体" w:cs="宋体"/>
                <w:color w:val="auto"/>
                <w:szCs w:val="21"/>
                <w:u w:val="none"/>
              </w:rPr>
            </w:pPr>
            <w:r>
              <w:rPr>
                <w:rFonts w:hint="eastAsia" w:ascii="宋体" w:hAnsi="宋体" w:eastAsia="宋体" w:cs="宋体"/>
                <w:color w:val="auto"/>
                <w:szCs w:val="21"/>
                <w:u w:val="none"/>
              </w:rPr>
              <w:t>202</w:t>
            </w:r>
            <w:r>
              <w:rPr>
                <w:rFonts w:hint="eastAsia" w:ascii="宋体" w:hAnsi="宋体" w:eastAsia="宋体" w:cs="宋体"/>
                <w:color w:val="auto"/>
                <w:szCs w:val="21"/>
                <w:u w:val="none"/>
                <w:lang w:val="en-US" w:eastAsia="zh-CN"/>
              </w:rPr>
              <w:t>6</w:t>
            </w:r>
            <w:r>
              <w:rPr>
                <w:rFonts w:hint="eastAsia" w:ascii="宋体" w:hAnsi="宋体" w:eastAsia="宋体" w:cs="宋体"/>
                <w:color w:val="auto"/>
                <w:szCs w:val="21"/>
                <w:u w:val="none"/>
              </w:rPr>
              <w:t>年</w:t>
            </w:r>
            <w:r>
              <w:rPr>
                <w:rFonts w:hint="eastAsia" w:ascii="宋体" w:hAnsi="宋体" w:eastAsia="宋体" w:cs="宋体"/>
                <w:color w:val="auto"/>
                <w:szCs w:val="21"/>
                <w:u w:val="none"/>
                <w:lang w:val="en-US" w:eastAsia="zh-CN"/>
              </w:rPr>
              <w:t>9</w:t>
            </w:r>
            <w:r>
              <w:rPr>
                <w:rFonts w:hint="eastAsia" w:ascii="宋体" w:hAnsi="宋体" w:eastAsia="宋体" w:cs="宋体"/>
                <w:color w:val="auto"/>
                <w:szCs w:val="21"/>
                <w:u w:val="none"/>
              </w:rPr>
              <w:t>月</w:t>
            </w:r>
            <w:r>
              <w:rPr>
                <w:rFonts w:hint="eastAsia" w:ascii="宋体" w:hAnsi="宋体" w:eastAsia="宋体" w:cs="宋体"/>
                <w:color w:val="auto"/>
                <w:szCs w:val="21"/>
                <w:u w:val="none"/>
                <w:lang w:val="en-US" w:eastAsia="zh-CN"/>
              </w:rPr>
              <w:t>1</w:t>
            </w:r>
            <w:r>
              <w:rPr>
                <w:rFonts w:hint="default" w:ascii="宋体" w:hAnsi="宋体" w:eastAsia="宋体" w:cs="宋体"/>
                <w:color w:val="auto"/>
                <w:szCs w:val="21"/>
                <w:u w:val="none"/>
                <w:lang w:val="en-US" w:eastAsia="zh-CN"/>
              </w:rPr>
              <w:t>6</w:t>
            </w:r>
            <w:r>
              <w:rPr>
                <w:rFonts w:hint="eastAsia" w:ascii="宋体" w:hAnsi="宋体" w:eastAsia="宋体" w:cs="宋体"/>
                <w:color w:val="auto"/>
                <w:szCs w:val="21"/>
                <w:u w:val="none"/>
              </w:rPr>
              <w:t>日</w:t>
            </w:r>
          </w:p>
        </w:tc>
      </w:tr>
    </w:tbl>
    <w:p w14:paraId="2BC22078">
      <w:pPr>
        <w:rPr>
          <w:rFonts w:ascii="宋体" w:hAnsi="宋体" w:eastAsia="宋体"/>
          <w:sz w:val="20"/>
        </w:rPr>
      </w:pPr>
    </w:p>
    <w:sectPr>
      <w:headerReference r:id="rId3"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iyuan">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BE048">
    <w:pPr>
      <w:pStyle w:val="9"/>
      <w:rPr>
        <w:rFonts w:ascii="宋体" w:hAnsi="宋体" w:eastAsia="宋体"/>
      </w:rPr>
    </w:pPr>
    <w:r>
      <w:rPr>
        <w:rFonts w:hint="eastAsia" w:ascii="宋体" w:hAnsi="宋体" w:eastAsia="宋体"/>
      </w:rPr>
      <w:t>证券代码：6</w:t>
    </w:r>
    <w:r>
      <w:rPr>
        <w:rFonts w:ascii="宋体" w:hAnsi="宋体" w:eastAsia="宋体"/>
      </w:rPr>
      <w:t>88466</w:t>
    </w:r>
    <w:r>
      <w:rPr>
        <w:rFonts w:ascii="宋体" w:hAnsi="宋体" w:eastAsia="宋体"/>
      </w:rPr>
      <w:ptab w:relativeTo="margin" w:alignment="center" w:leader="none"/>
    </w:r>
    <w:r>
      <w:rPr>
        <w:rFonts w:ascii="宋体" w:hAnsi="宋体" w:eastAsia="宋体"/>
      </w:rPr>
      <w:ptab w:relativeTo="margin" w:alignment="right" w:leader="none"/>
    </w:r>
    <w:r>
      <w:rPr>
        <w:rFonts w:hint="eastAsia" w:ascii="宋体" w:hAnsi="宋体" w:eastAsia="宋体"/>
      </w:rPr>
      <w:t>证券简称：</w:t>
    </w:r>
    <w:r>
      <w:rPr>
        <w:rFonts w:hint="eastAsia" w:ascii="宋体" w:hAnsi="宋体" w:eastAsia="宋体"/>
        <w:lang w:eastAsia="zh-Hans"/>
      </w:rPr>
      <w:t>金科环境</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BF6"/>
    <w:rsid w:val="000035D7"/>
    <w:rsid w:val="0001078F"/>
    <w:rsid w:val="00011C93"/>
    <w:rsid w:val="00014375"/>
    <w:rsid w:val="00027983"/>
    <w:rsid w:val="000442AF"/>
    <w:rsid w:val="000565EF"/>
    <w:rsid w:val="00056D76"/>
    <w:rsid w:val="00065DB5"/>
    <w:rsid w:val="00071508"/>
    <w:rsid w:val="00076595"/>
    <w:rsid w:val="00076BD8"/>
    <w:rsid w:val="00082E2E"/>
    <w:rsid w:val="00095562"/>
    <w:rsid w:val="000971E0"/>
    <w:rsid w:val="00097DEE"/>
    <w:rsid w:val="000A33AC"/>
    <w:rsid w:val="000B0FD6"/>
    <w:rsid w:val="000D1531"/>
    <w:rsid w:val="000D2076"/>
    <w:rsid w:val="000D632A"/>
    <w:rsid w:val="000E591F"/>
    <w:rsid w:val="000F1269"/>
    <w:rsid w:val="000F135B"/>
    <w:rsid w:val="000F2333"/>
    <w:rsid w:val="000F78F5"/>
    <w:rsid w:val="00101B38"/>
    <w:rsid w:val="0010454E"/>
    <w:rsid w:val="00104F5B"/>
    <w:rsid w:val="001127F4"/>
    <w:rsid w:val="00116CAB"/>
    <w:rsid w:val="001217AD"/>
    <w:rsid w:val="001221B2"/>
    <w:rsid w:val="00124A62"/>
    <w:rsid w:val="00125CBE"/>
    <w:rsid w:val="001276AE"/>
    <w:rsid w:val="0013199C"/>
    <w:rsid w:val="00133E52"/>
    <w:rsid w:val="00134AF2"/>
    <w:rsid w:val="001413A8"/>
    <w:rsid w:val="001546BD"/>
    <w:rsid w:val="00162C87"/>
    <w:rsid w:val="001648E4"/>
    <w:rsid w:val="001664B0"/>
    <w:rsid w:val="00172570"/>
    <w:rsid w:val="001A19CE"/>
    <w:rsid w:val="001A37B1"/>
    <w:rsid w:val="001A3BD7"/>
    <w:rsid w:val="001B0E3F"/>
    <w:rsid w:val="001B2F8E"/>
    <w:rsid w:val="001B4BAC"/>
    <w:rsid w:val="001B5391"/>
    <w:rsid w:val="001B66A6"/>
    <w:rsid w:val="001C295B"/>
    <w:rsid w:val="001C431B"/>
    <w:rsid w:val="001C6429"/>
    <w:rsid w:val="001D71AA"/>
    <w:rsid w:val="001E3743"/>
    <w:rsid w:val="001E4762"/>
    <w:rsid w:val="001E4764"/>
    <w:rsid w:val="001E55CE"/>
    <w:rsid w:val="001E616A"/>
    <w:rsid w:val="001E7A36"/>
    <w:rsid w:val="001F3569"/>
    <w:rsid w:val="001F610A"/>
    <w:rsid w:val="002015B6"/>
    <w:rsid w:val="00203F23"/>
    <w:rsid w:val="00207D0F"/>
    <w:rsid w:val="00216477"/>
    <w:rsid w:val="00217D95"/>
    <w:rsid w:val="00221BB6"/>
    <w:rsid w:val="00223383"/>
    <w:rsid w:val="002378D8"/>
    <w:rsid w:val="00242F65"/>
    <w:rsid w:val="00250DEF"/>
    <w:rsid w:val="002638A1"/>
    <w:rsid w:val="00263FE5"/>
    <w:rsid w:val="00270E7E"/>
    <w:rsid w:val="00277CB8"/>
    <w:rsid w:val="0028017B"/>
    <w:rsid w:val="0029105D"/>
    <w:rsid w:val="00293E9E"/>
    <w:rsid w:val="002A025F"/>
    <w:rsid w:val="002A0966"/>
    <w:rsid w:val="002B7308"/>
    <w:rsid w:val="002D26B4"/>
    <w:rsid w:val="002D42FE"/>
    <w:rsid w:val="002D518A"/>
    <w:rsid w:val="002E0EE2"/>
    <w:rsid w:val="002E273A"/>
    <w:rsid w:val="002E56B0"/>
    <w:rsid w:val="002F12C1"/>
    <w:rsid w:val="002F726C"/>
    <w:rsid w:val="002F7E43"/>
    <w:rsid w:val="00306E8D"/>
    <w:rsid w:val="003126C1"/>
    <w:rsid w:val="0033152E"/>
    <w:rsid w:val="00333EFB"/>
    <w:rsid w:val="00350BAF"/>
    <w:rsid w:val="00355AC8"/>
    <w:rsid w:val="00362922"/>
    <w:rsid w:val="00364AB3"/>
    <w:rsid w:val="00367F53"/>
    <w:rsid w:val="003716F9"/>
    <w:rsid w:val="00383C35"/>
    <w:rsid w:val="00390F65"/>
    <w:rsid w:val="00396B0C"/>
    <w:rsid w:val="003A01A7"/>
    <w:rsid w:val="003A4DDB"/>
    <w:rsid w:val="003B1E5C"/>
    <w:rsid w:val="003B30F1"/>
    <w:rsid w:val="003C0BAE"/>
    <w:rsid w:val="003C2E12"/>
    <w:rsid w:val="003D664C"/>
    <w:rsid w:val="003E61F0"/>
    <w:rsid w:val="003F2AE0"/>
    <w:rsid w:val="003F669C"/>
    <w:rsid w:val="00401373"/>
    <w:rsid w:val="00401817"/>
    <w:rsid w:val="0040374D"/>
    <w:rsid w:val="004104AE"/>
    <w:rsid w:val="004120D8"/>
    <w:rsid w:val="00425670"/>
    <w:rsid w:val="00432EED"/>
    <w:rsid w:val="0044643C"/>
    <w:rsid w:val="004523E5"/>
    <w:rsid w:val="004561F6"/>
    <w:rsid w:val="004575CD"/>
    <w:rsid w:val="0046353E"/>
    <w:rsid w:val="00473152"/>
    <w:rsid w:val="004914DB"/>
    <w:rsid w:val="0049469C"/>
    <w:rsid w:val="004A1210"/>
    <w:rsid w:val="004A4107"/>
    <w:rsid w:val="004A6937"/>
    <w:rsid w:val="004B143B"/>
    <w:rsid w:val="004C2DAC"/>
    <w:rsid w:val="004C3CCF"/>
    <w:rsid w:val="004D11BB"/>
    <w:rsid w:val="004D4B02"/>
    <w:rsid w:val="004F2B6C"/>
    <w:rsid w:val="004F4A5D"/>
    <w:rsid w:val="004F55FC"/>
    <w:rsid w:val="00507F63"/>
    <w:rsid w:val="005114CD"/>
    <w:rsid w:val="00513FBA"/>
    <w:rsid w:val="0052664D"/>
    <w:rsid w:val="0053128B"/>
    <w:rsid w:val="00533E1B"/>
    <w:rsid w:val="00543305"/>
    <w:rsid w:val="005445F5"/>
    <w:rsid w:val="00562D66"/>
    <w:rsid w:val="00565297"/>
    <w:rsid w:val="005839F5"/>
    <w:rsid w:val="005841A3"/>
    <w:rsid w:val="00586AB0"/>
    <w:rsid w:val="00587F6A"/>
    <w:rsid w:val="00590094"/>
    <w:rsid w:val="00590208"/>
    <w:rsid w:val="005978B8"/>
    <w:rsid w:val="005A1BCA"/>
    <w:rsid w:val="005A6AD7"/>
    <w:rsid w:val="005B37E3"/>
    <w:rsid w:val="005B4595"/>
    <w:rsid w:val="005B4BF0"/>
    <w:rsid w:val="005B55AC"/>
    <w:rsid w:val="005B6123"/>
    <w:rsid w:val="005B7952"/>
    <w:rsid w:val="005C0D11"/>
    <w:rsid w:val="005C6999"/>
    <w:rsid w:val="005D6956"/>
    <w:rsid w:val="005D76D0"/>
    <w:rsid w:val="005E1706"/>
    <w:rsid w:val="005E2633"/>
    <w:rsid w:val="006017D6"/>
    <w:rsid w:val="00601E1A"/>
    <w:rsid w:val="006139C4"/>
    <w:rsid w:val="00615609"/>
    <w:rsid w:val="0062025D"/>
    <w:rsid w:val="00622C51"/>
    <w:rsid w:val="00622CFD"/>
    <w:rsid w:val="00627061"/>
    <w:rsid w:val="0063081D"/>
    <w:rsid w:val="00630FA6"/>
    <w:rsid w:val="00633381"/>
    <w:rsid w:val="006364F2"/>
    <w:rsid w:val="00637038"/>
    <w:rsid w:val="00643A33"/>
    <w:rsid w:val="0065021A"/>
    <w:rsid w:val="00651F36"/>
    <w:rsid w:val="006555DD"/>
    <w:rsid w:val="0066615A"/>
    <w:rsid w:val="006726E0"/>
    <w:rsid w:val="00677480"/>
    <w:rsid w:val="00687211"/>
    <w:rsid w:val="00690C7A"/>
    <w:rsid w:val="00691884"/>
    <w:rsid w:val="0069765E"/>
    <w:rsid w:val="006A05AF"/>
    <w:rsid w:val="006A1B6A"/>
    <w:rsid w:val="006B415A"/>
    <w:rsid w:val="006B7B02"/>
    <w:rsid w:val="006C7BB1"/>
    <w:rsid w:val="006D0EB1"/>
    <w:rsid w:val="006D5B34"/>
    <w:rsid w:val="006D5F17"/>
    <w:rsid w:val="006E3DFD"/>
    <w:rsid w:val="006F1C9C"/>
    <w:rsid w:val="006F29C4"/>
    <w:rsid w:val="006F7643"/>
    <w:rsid w:val="007002D9"/>
    <w:rsid w:val="00703F23"/>
    <w:rsid w:val="00705B63"/>
    <w:rsid w:val="00707759"/>
    <w:rsid w:val="0072061B"/>
    <w:rsid w:val="007276CB"/>
    <w:rsid w:val="007328AA"/>
    <w:rsid w:val="00743CD2"/>
    <w:rsid w:val="00750EAB"/>
    <w:rsid w:val="007614AC"/>
    <w:rsid w:val="007718C6"/>
    <w:rsid w:val="0077224B"/>
    <w:rsid w:val="00774BFA"/>
    <w:rsid w:val="00780AB7"/>
    <w:rsid w:val="00790A89"/>
    <w:rsid w:val="007942F4"/>
    <w:rsid w:val="007A180F"/>
    <w:rsid w:val="007A76E3"/>
    <w:rsid w:val="007B1165"/>
    <w:rsid w:val="007B30B4"/>
    <w:rsid w:val="007B4C3F"/>
    <w:rsid w:val="007C3789"/>
    <w:rsid w:val="007C3D18"/>
    <w:rsid w:val="007C48E3"/>
    <w:rsid w:val="007C60DE"/>
    <w:rsid w:val="007C6146"/>
    <w:rsid w:val="007D1B32"/>
    <w:rsid w:val="007D6CD9"/>
    <w:rsid w:val="007E0003"/>
    <w:rsid w:val="007E556F"/>
    <w:rsid w:val="007F3E49"/>
    <w:rsid w:val="0080490D"/>
    <w:rsid w:val="00804BD5"/>
    <w:rsid w:val="00804DE4"/>
    <w:rsid w:val="008206D0"/>
    <w:rsid w:val="00823D01"/>
    <w:rsid w:val="008250DE"/>
    <w:rsid w:val="00827A8F"/>
    <w:rsid w:val="008324A0"/>
    <w:rsid w:val="00837FAC"/>
    <w:rsid w:val="008431D3"/>
    <w:rsid w:val="008534E5"/>
    <w:rsid w:val="00855380"/>
    <w:rsid w:val="00863245"/>
    <w:rsid w:val="00865BC6"/>
    <w:rsid w:val="00867E8E"/>
    <w:rsid w:val="00871ECC"/>
    <w:rsid w:val="00876EBC"/>
    <w:rsid w:val="00882EBD"/>
    <w:rsid w:val="00885B40"/>
    <w:rsid w:val="0089250B"/>
    <w:rsid w:val="008950FE"/>
    <w:rsid w:val="008953F8"/>
    <w:rsid w:val="00895FCF"/>
    <w:rsid w:val="00897A9D"/>
    <w:rsid w:val="008B18A0"/>
    <w:rsid w:val="008B27FB"/>
    <w:rsid w:val="008B4B8F"/>
    <w:rsid w:val="008B58AC"/>
    <w:rsid w:val="008B741F"/>
    <w:rsid w:val="008C027A"/>
    <w:rsid w:val="008C1D2A"/>
    <w:rsid w:val="008C46C8"/>
    <w:rsid w:val="008C67F4"/>
    <w:rsid w:val="008D2F49"/>
    <w:rsid w:val="008D570A"/>
    <w:rsid w:val="008E3189"/>
    <w:rsid w:val="008F0280"/>
    <w:rsid w:val="008F1A39"/>
    <w:rsid w:val="008F2CFF"/>
    <w:rsid w:val="008F3912"/>
    <w:rsid w:val="008F63AD"/>
    <w:rsid w:val="00906893"/>
    <w:rsid w:val="0091193C"/>
    <w:rsid w:val="0092325E"/>
    <w:rsid w:val="00940F7C"/>
    <w:rsid w:val="009413A3"/>
    <w:rsid w:val="00943CF7"/>
    <w:rsid w:val="00963367"/>
    <w:rsid w:val="00965EAE"/>
    <w:rsid w:val="00970EF0"/>
    <w:rsid w:val="009955CA"/>
    <w:rsid w:val="00996753"/>
    <w:rsid w:val="009A34A7"/>
    <w:rsid w:val="009A6FE9"/>
    <w:rsid w:val="009B64F6"/>
    <w:rsid w:val="009C17C6"/>
    <w:rsid w:val="009C6013"/>
    <w:rsid w:val="009C70D1"/>
    <w:rsid w:val="009D2DAA"/>
    <w:rsid w:val="009D5683"/>
    <w:rsid w:val="009E3C92"/>
    <w:rsid w:val="009F5E4D"/>
    <w:rsid w:val="00A03FF6"/>
    <w:rsid w:val="00A06A5F"/>
    <w:rsid w:val="00A07BC9"/>
    <w:rsid w:val="00A136BA"/>
    <w:rsid w:val="00A31DAD"/>
    <w:rsid w:val="00A41632"/>
    <w:rsid w:val="00A44791"/>
    <w:rsid w:val="00A5109B"/>
    <w:rsid w:val="00A52F30"/>
    <w:rsid w:val="00A57596"/>
    <w:rsid w:val="00A62B73"/>
    <w:rsid w:val="00A644DC"/>
    <w:rsid w:val="00A656BE"/>
    <w:rsid w:val="00A6713B"/>
    <w:rsid w:val="00A7095B"/>
    <w:rsid w:val="00A7391B"/>
    <w:rsid w:val="00A747DF"/>
    <w:rsid w:val="00A80CB0"/>
    <w:rsid w:val="00A81C51"/>
    <w:rsid w:val="00A83BE0"/>
    <w:rsid w:val="00A97D70"/>
    <w:rsid w:val="00AB40C8"/>
    <w:rsid w:val="00AC6DD6"/>
    <w:rsid w:val="00AC7277"/>
    <w:rsid w:val="00AC76C9"/>
    <w:rsid w:val="00AD3A09"/>
    <w:rsid w:val="00AE09CC"/>
    <w:rsid w:val="00AE3BEF"/>
    <w:rsid w:val="00AE5C21"/>
    <w:rsid w:val="00AE6E7E"/>
    <w:rsid w:val="00B06C95"/>
    <w:rsid w:val="00B10A42"/>
    <w:rsid w:val="00B161D3"/>
    <w:rsid w:val="00B2287F"/>
    <w:rsid w:val="00B306A5"/>
    <w:rsid w:val="00B318EF"/>
    <w:rsid w:val="00B36D64"/>
    <w:rsid w:val="00B42F3D"/>
    <w:rsid w:val="00B516CB"/>
    <w:rsid w:val="00B53E6C"/>
    <w:rsid w:val="00B541EF"/>
    <w:rsid w:val="00B56783"/>
    <w:rsid w:val="00B62825"/>
    <w:rsid w:val="00B63392"/>
    <w:rsid w:val="00B641FD"/>
    <w:rsid w:val="00B7558D"/>
    <w:rsid w:val="00B76ECC"/>
    <w:rsid w:val="00B91F5B"/>
    <w:rsid w:val="00BA4F14"/>
    <w:rsid w:val="00BA6751"/>
    <w:rsid w:val="00BB0085"/>
    <w:rsid w:val="00BC0989"/>
    <w:rsid w:val="00BC1550"/>
    <w:rsid w:val="00BC7B87"/>
    <w:rsid w:val="00BD044B"/>
    <w:rsid w:val="00BD2790"/>
    <w:rsid w:val="00BE00B1"/>
    <w:rsid w:val="00BE0EED"/>
    <w:rsid w:val="00BF2AC6"/>
    <w:rsid w:val="00BF603E"/>
    <w:rsid w:val="00BF6A58"/>
    <w:rsid w:val="00C01B19"/>
    <w:rsid w:val="00C036D6"/>
    <w:rsid w:val="00C038FE"/>
    <w:rsid w:val="00C051EE"/>
    <w:rsid w:val="00C05792"/>
    <w:rsid w:val="00C0724F"/>
    <w:rsid w:val="00C15B17"/>
    <w:rsid w:val="00C15CD5"/>
    <w:rsid w:val="00C165F4"/>
    <w:rsid w:val="00C24E88"/>
    <w:rsid w:val="00C253D9"/>
    <w:rsid w:val="00C260C1"/>
    <w:rsid w:val="00C3257E"/>
    <w:rsid w:val="00C35DFE"/>
    <w:rsid w:val="00C500E8"/>
    <w:rsid w:val="00C51214"/>
    <w:rsid w:val="00C515F1"/>
    <w:rsid w:val="00C64711"/>
    <w:rsid w:val="00C71E0C"/>
    <w:rsid w:val="00C73F21"/>
    <w:rsid w:val="00C93138"/>
    <w:rsid w:val="00C93874"/>
    <w:rsid w:val="00C95507"/>
    <w:rsid w:val="00CA05E7"/>
    <w:rsid w:val="00CA4DB0"/>
    <w:rsid w:val="00CA5C16"/>
    <w:rsid w:val="00CC1830"/>
    <w:rsid w:val="00CC27F0"/>
    <w:rsid w:val="00CC6701"/>
    <w:rsid w:val="00CE2BF6"/>
    <w:rsid w:val="00CE311C"/>
    <w:rsid w:val="00CE5AD1"/>
    <w:rsid w:val="00CF09B9"/>
    <w:rsid w:val="00CF13D7"/>
    <w:rsid w:val="00CF5DAF"/>
    <w:rsid w:val="00D105AF"/>
    <w:rsid w:val="00D11961"/>
    <w:rsid w:val="00D15234"/>
    <w:rsid w:val="00D159F1"/>
    <w:rsid w:val="00D172E2"/>
    <w:rsid w:val="00D20A01"/>
    <w:rsid w:val="00D21B68"/>
    <w:rsid w:val="00D232D2"/>
    <w:rsid w:val="00D26244"/>
    <w:rsid w:val="00D26DBF"/>
    <w:rsid w:val="00D341FD"/>
    <w:rsid w:val="00D34471"/>
    <w:rsid w:val="00D34A33"/>
    <w:rsid w:val="00D3615F"/>
    <w:rsid w:val="00D406DE"/>
    <w:rsid w:val="00D41DAA"/>
    <w:rsid w:val="00D433F3"/>
    <w:rsid w:val="00D517DB"/>
    <w:rsid w:val="00D6476F"/>
    <w:rsid w:val="00D6613A"/>
    <w:rsid w:val="00D706B5"/>
    <w:rsid w:val="00D81EAF"/>
    <w:rsid w:val="00D84BA2"/>
    <w:rsid w:val="00D85AF2"/>
    <w:rsid w:val="00D90E2C"/>
    <w:rsid w:val="00D96FF4"/>
    <w:rsid w:val="00D972CA"/>
    <w:rsid w:val="00DA1B06"/>
    <w:rsid w:val="00DA3DB3"/>
    <w:rsid w:val="00DC13E5"/>
    <w:rsid w:val="00DC16A6"/>
    <w:rsid w:val="00DC49DF"/>
    <w:rsid w:val="00DC7823"/>
    <w:rsid w:val="00DD1361"/>
    <w:rsid w:val="00DD4AC4"/>
    <w:rsid w:val="00DF6423"/>
    <w:rsid w:val="00E00594"/>
    <w:rsid w:val="00E0612D"/>
    <w:rsid w:val="00E11464"/>
    <w:rsid w:val="00E20781"/>
    <w:rsid w:val="00E425A1"/>
    <w:rsid w:val="00E42829"/>
    <w:rsid w:val="00E448D9"/>
    <w:rsid w:val="00E456C1"/>
    <w:rsid w:val="00E47721"/>
    <w:rsid w:val="00E77D85"/>
    <w:rsid w:val="00E87A78"/>
    <w:rsid w:val="00E90D0D"/>
    <w:rsid w:val="00EB14B2"/>
    <w:rsid w:val="00EB22D9"/>
    <w:rsid w:val="00EB2D2B"/>
    <w:rsid w:val="00EB62E3"/>
    <w:rsid w:val="00EC0A6E"/>
    <w:rsid w:val="00EE2025"/>
    <w:rsid w:val="00EE6956"/>
    <w:rsid w:val="00EF6AEF"/>
    <w:rsid w:val="00F0175E"/>
    <w:rsid w:val="00F14DF7"/>
    <w:rsid w:val="00F179C2"/>
    <w:rsid w:val="00F214CD"/>
    <w:rsid w:val="00F229D9"/>
    <w:rsid w:val="00F27C2E"/>
    <w:rsid w:val="00F302D5"/>
    <w:rsid w:val="00F32CB8"/>
    <w:rsid w:val="00F340D0"/>
    <w:rsid w:val="00F542E4"/>
    <w:rsid w:val="00F55D07"/>
    <w:rsid w:val="00F56CF5"/>
    <w:rsid w:val="00F57369"/>
    <w:rsid w:val="00F70CA7"/>
    <w:rsid w:val="00F71553"/>
    <w:rsid w:val="00F740C3"/>
    <w:rsid w:val="00F75341"/>
    <w:rsid w:val="00F85411"/>
    <w:rsid w:val="00F87C48"/>
    <w:rsid w:val="00F93EE2"/>
    <w:rsid w:val="00F94A55"/>
    <w:rsid w:val="00FA432B"/>
    <w:rsid w:val="00FA73EB"/>
    <w:rsid w:val="00FB0864"/>
    <w:rsid w:val="00FB19DB"/>
    <w:rsid w:val="00FB3E0E"/>
    <w:rsid w:val="00FB5338"/>
    <w:rsid w:val="00FE3D97"/>
    <w:rsid w:val="00FF35B4"/>
    <w:rsid w:val="00FF44A8"/>
    <w:rsid w:val="018E79D1"/>
    <w:rsid w:val="01D9415D"/>
    <w:rsid w:val="028130F9"/>
    <w:rsid w:val="02921956"/>
    <w:rsid w:val="03126D81"/>
    <w:rsid w:val="034321D6"/>
    <w:rsid w:val="037E7D41"/>
    <w:rsid w:val="038A1E69"/>
    <w:rsid w:val="03B66504"/>
    <w:rsid w:val="04137DFA"/>
    <w:rsid w:val="05FB7B8F"/>
    <w:rsid w:val="076F3599"/>
    <w:rsid w:val="07FF58E5"/>
    <w:rsid w:val="08397703"/>
    <w:rsid w:val="08451471"/>
    <w:rsid w:val="08F0070A"/>
    <w:rsid w:val="0A0A75A9"/>
    <w:rsid w:val="0A105BB1"/>
    <w:rsid w:val="0A340409"/>
    <w:rsid w:val="0A456F14"/>
    <w:rsid w:val="0A635827"/>
    <w:rsid w:val="0A7333A0"/>
    <w:rsid w:val="0AB067D0"/>
    <w:rsid w:val="0ABA32CD"/>
    <w:rsid w:val="0AC92FC0"/>
    <w:rsid w:val="0B2E5519"/>
    <w:rsid w:val="0B9E3927"/>
    <w:rsid w:val="0BB7550F"/>
    <w:rsid w:val="0BD0037E"/>
    <w:rsid w:val="0CBE467B"/>
    <w:rsid w:val="0CC021A1"/>
    <w:rsid w:val="0CCE2B10"/>
    <w:rsid w:val="0CF71BB6"/>
    <w:rsid w:val="104430E9"/>
    <w:rsid w:val="10582315"/>
    <w:rsid w:val="10EA0134"/>
    <w:rsid w:val="110C2FB3"/>
    <w:rsid w:val="123478B9"/>
    <w:rsid w:val="131F376E"/>
    <w:rsid w:val="13837789"/>
    <w:rsid w:val="138E4DA7"/>
    <w:rsid w:val="13EB3FA7"/>
    <w:rsid w:val="13F617A7"/>
    <w:rsid w:val="143C1C0B"/>
    <w:rsid w:val="14F25809"/>
    <w:rsid w:val="15001CD4"/>
    <w:rsid w:val="156C1118"/>
    <w:rsid w:val="15C251DC"/>
    <w:rsid w:val="15E0651D"/>
    <w:rsid w:val="15EB4733"/>
    <w:rsid w:val="1644258F"/>
    <w:rsid w:val="168453DE"/>
    <w:rsid w:val="168F3833"/>
    <w:rsid w:val="178579C1"/>
    <w:rsid w:val="182A4579"/>
    <w:rsid w:val="18461C09"/>
    <w:rsid w:val="1A312930"/>
    <w:rsid w:val="1A43097D"/>
    <w:rsid w:val="1B245FF1"/>
    <w:rsid w:val="1B3B0DC7"/>
    <w:rsid w:val="1CAB61AD"/>
    <w:rsid w:val="1CCE39BD"/>
    <w:rsid w:val="1CF4787B"/>
    <w:rsid w:val="1D1A02EF"/>
    <w:rsid w:val="1D641DA6"/>
    <w:rsid w:val="1E4A2212"/>
    <w:rsid w:val="1E876FC3"/>
    <w:rsid w:val="1E9F35DC"/>
    <w:rsid w:val="1EB47F43"/>
    <w:rsid w:val="1F3802BD"/>
    <w:rsid w:val="1F845C8A"/>
    <w:rsid w:val="1FCF12B9"/>
    <w:rsid w:val="204A0C14"/>
    <w:rsid w:val="204C04C4"/>
    <w:rsid w:val="20E3151B"/>
    <w:rsid w:val="20E97FF5"/>
    <w:rsid w:val="21A34113"/>
    <w:rsid w:val="21C62001"/>
    <w:rsid w:val="221E379A"/>
    <w:rsid w:val="22E12FB7"/>
    <w:rsid w:val="22E66A75"/>
    <w:rsid w:val="233D5EA2"/>
    <w:rsid w:val="23454BFB"/>
    <w:rsid w:val="23627FFE"/>
    <w:rsid w:val="239A3F95"/>
    <w:rsid w:val="23DC1928"/>
    <w:rsid w:val="23F87E1D"/>
    <w:rsid w:val="24182F4A"/>
    <w:rsid w:val="253B75C0"/>
    <w:rsid w:val="257A0B00"/>
    <w:rsid w:val="259A582D"/>
    <w:rsid w:val="25BF7732"/>
    <w:rsid w:val="262B0778"/>
    <w:rsid w:val="272C4530"/>
    <w:rsid w:val="27B2542E"/>
    <w:rsid w:val="284512D8"/>
    <w:rsid w:val="284970BE"/>
    <w:rsid w:val="2971584D"/>
    <w:rsid w:val="297217F3"/>
    <w:rsid w:val="2A893B2D"/>
    <w:rsid w:val="2B8E01D9"/>
    <w:rsid w:val="2C163734"/>
    <w:rsid w:val="2C2F6C5B"/>
    <w:rsid w:val="2C732934"/>
    <w:rsid w:val="2C953F6B"/>
    <w:rsid w:val="2CE00FBB"/>
    <w:rsid w:val="2D2D6F87"/>
    <w:rsid w:val="2D9577C3"/>
    <w:rsid w:val="2EA82944"/>
    <w:rsid w:val="2EB53028"/>
    <w:rsid w:val="2EB76E64"/>
    <w:rsid w:val="2F0957D2"/>
    <w:rsid w:val="30C64EDF"/>
    <w:rsid w:val="313C4787"/>
    <w:rsid w:val="315A5F63"/>
    <w:rsid w:val="31605B7D"/>
    <w:rsid w:val="31887AB3"/>
    <w:rsid w:val="31A14BE6"/>
    <w:rsid w:val="31C74AB4"/>
    <w:rsid w:val="31E05C3F"/>
    <w:rsid w:val="3220759D"/>
    <w:rsid w:val="3239599B"/>
    <w:rsid w:val="323D48CA"/>
    <w:rsid w:val="3267118D"/>
    <w:rsid w:val="32F26CA9"/>
    <w:rsid w:val="335858DF"/>
    <w:rsid w:val="33774B00"/>
    <w:rsid w:val="337F0EBB"/>
    <w:rsid w:val="338D1533"/>
    <w:rsid w:val="33BD3E8D"/>
    <w:rsid w:val="348A654E"/>
    <w:rsid w:val="34A01C20"/>
    <w:rsid w:val="34A54654"/>
    <w:rsid w:val="35137922"/>
    <w:rsid w:val="353C245D"/>
    <w:rsid w:val="35B5229C"/>
    <w:rsid w:val="35EF5721"/>
    <w:rsid w:val="36181FEB"/>
    <w:rsid w:val="37807D45"/>
    <w:rsid w:val="37976071"/>
    <w:rsid w:val="381A2375"/>
    <w:rsid w:val="381B2168"/>
    <w:rsid w:val="38AA5930"/>
    <w:rsid w:val="397E3EE0"/>
    <w:rsid w:val="39BB15AB"/>
    <w:rsid w:val="3A6C43F3"/>
    <w:rsid w:val="3AB143E9"/>
    <w:rsid w:val="3B781D15"/>
    <w:rsid w:val="3C286585"/>
    <w:rsid w:val="3D51281E"/>
    <w:rsid w:val="3D8E3A72"/>
    <w:rsid w:val="3DF77869"/>
    <w:rsid w:val="3E515386"/>
    <w:rsid w:val="3EBF114C"/>
    <w:rsid w:val="3F0227F8"/>
    <w:rsid w:val="3F0476FF"/>
    <w:rsid w:val="3FC8440B"/>
    <w:rsid w:val="3FEB51AC"/>
    <w:rsid w:val="408A03D2"/>
    <w:rsid w:val="40BD4BD4"/>
    <w:rsid w:val="40BE2FFC"/>
    <w:rsid w:val="41033FED"/>
    <w:rsid w:val="4140499F"/>
    <w:rsid w:val="41A516CD"/>
    <w:rsid w:val="41B2577E"/>
    <w:rsid w:val="41DA655F"/>
    <w:rsid w:val="421B33FA"/>
    <w:rsid w:val="42294FF0"/>
    <w:rsid w:val="429A07C3"/>
    <w:rsid w:val="42BF4E51"/>
    <w:rsid w:val="431E13F4"/>
    <w:rsid w:val="4326474D"/>
    <w:rsid w:val="43296A35"/>
    <w:rsid w:val="436865A2"/>
    <w:rsid w:val="43F851E1"/>
    <w:rsid w:val="44A04633"/>
    <w:rsid w:val="451D72EC"/>
    <w:rsid w:val="454B049A"/>
    <w:rsid w:val="45D63A33"/>
    <w:rsid w:val="45F813BF"/>
    <w:rsid w:val="469B0FAE"/>
    <w:rsid w:val="46B1432D"/>
    <w:rsid w:val="46C914EA"/>
    <w:rsid w:val="47405F0D"/>
    <w:rsid w:val="47411B55"/>
    <w:rsid w:val="479954ED"/>
    <w:rsid w:val="47DB3DAD"/>
    <w:rsid w:val="48095C89"/>
    <w:rsid w:val="488F069E"/>
    <w:rsid w:val="48EE2DE0"/>
    <w:rsid w:val="491737F8"/>
    <w:rsid w:val="4970793B"/>
    <w:rsid w:val="49795019"/>
    <w:rsid w:val="49883A05"/>
    <w:rsid w:val="4994021E"/>
    <w:rsid w:val="4A635BBB"/>
    <w:rsid w:val="4ACF53D6"/>
    <w:rsid w:val="4ADF76BB"/>
    <w:rsid w:val="4AE37EC1"/>
    <w:rsid w:val="4AF3760A"/>
    <w:rsid w:val="4B06354E"/>
    <w:rsid w:val="4B2F47FC"/>
    <w:rsid w:val="4B484601"/>
    <w:rsid w:val="4B644064"/>
    <w:rsid w:val="4BC15012"/>
    <w:rsid w:val="4BC95DE3"/>
    <w:rsid w:val="4BD14343"/>
    <w:rsid w:val="4BE218A0"/>
    <w:rsid w:val="4C142A09"/>
    <w:rsid w:val="4C2630C7"/>
    <w:rsid w:val="4C406A42"/>
    <w:rsid w:val="4C975D73"/>
    <w:rsid w:val="4CFB211F"/>
    <w:rsid w:val="4E5263F6"/>
    <w:rsid w:val="4E53492C"/>
    <w:rsid w:val="4E710F72"/>
    <w:rsid w:val="4E8D1FA1"/>
    <w:rsid w:val="4F102F31"/>
    <w:rsid w:val="4F2D0697"/>
    <w:rsid w:val="501D04CE"/>
    <w:rsid w:val="5043693E"/>
    <w:rsid w:val="50BE7D72"/>
    <w:rsid w:val="51A27B33"/>
    <w:rsid w:val="51EE6435"/>
    <w:rsid w:val="5200299A"/>
    <w:rsid w:val="52342BF7"/>
    <w:rsid w:val="52A03BD4"/>
    <w:rsid w:val="53195734"/>
    <w:rsid w:val="532A16EF"/>
    <w:rsid w:val="53501657"/>
    <w:rsid w:val="53F51CFD"/>
    <w:rsid w:val="541F4CBA"/>
    <w:rsid w:val="54AD6A7C"/>
    <w:rsid w:val="54E35FFA"/>
    <w:rsid w:val="54FB51DA"/>
    <w:rsid w:val="553857AD"/>
    <w:rsid w:val="558B13B2"/>
    <w:rsid w:val="56615433"/>
    <w:rsid w:val="5662719C"/>
    <w:rsid w:val="56D93B58"/>
    <w:rsid w:val="581806B0"/>
    <w:rsid w:val="582F7907"/>
    <w:rsid w:val="5859176A"/>
    <w:rsid w:val="58964AAD"/>
    <w:rsid w:val="58AE63FA"/>
    <w:rsid w:val="5979517E"/>
    <w:rsid w:val="59E44380"/>
    <w:rsid w:val="5A2212C8"/>
    <w:rsid w:val="5A281AE1"/>
    <w:rsid w:val="5ACC12DE"/>
    <w:rsid w:val="5AD07876"/>
    <w:rsid w:val="5AFC1BC3"/>
    <w:rsid w:val="5BCE57BB"/>
    <w:rsid w:val="5BFD3E45"/>
    <w:rsid w:val="5C6C0922"/>
    <w:rsid w:val="5C843150"/>
    <w:rsid w:val="5CCC3660"/>
    <w:rsid w:val="5CFD2A65"/>
    <w:rsid w:val="5D506DDA"/>
    <w:rsid w:val="5E631F59"/>
    <w:rsid w:val="5E8D3FB3"/>
    <w:rsid w:val="5F5B0FFC"/>
    <w:rsid w:val="5F724D3E"/>
    <w:rsid w:val="5F977ABF"/>
    <w:rsid w:val="601F4F1B"/>
    <w:rsid w:val="608E5A3C"/>
    <w:rsid w:val="61F25ACE"/>
    <w:rsid w:val="62361E5F"/>
    <w:rsid w:val="624A76B8"/>
    <w:rsid w:val="62775FD3"/>
    <w:rsid w:val="62E70F5B"/>
    <w:rsid w:val="631F430C"/>
    <w:rsid w:val="63683E26"/>
    <w:rsid w:val="63DC64F9"/>
    <w:rsid w:val="64B85A8B"/>
    <w:rsid w:val="64C319A4"/>
    <w:rsid w:val="64DF660A"/>
    <w:rsid w:val="65166422"/>
    <w:rsid w:val="67592B2E"/>
    <w:rsid w:val="67DC2FF0"/>
    <w:rsid w:val="67E452A7"/>
    <w:rsid w:val="67F31335"/>
    <w:rsid w:val="6821251A"/>
    <w:rsid w:val="683B7D82"/>
    <w:rsid w:val="68AA7102"/>
    <w:rsid w:val="69014CB8"/>
    <w:rsid w:val="690C4557"/>
    <w:rsid w:val="694240A7"/>
    <w:rsid w:val="69BE3E7E"/>
    <w:rsid w:val="6ADA0C61"/>
    <w:rsid w:val="6B3B5FB2"/>
    <w:rsid w:val="6BAA5389"/>
    <w:rsid w:val="6C2F6884"/>
    <w:rsid w:val="6C9F4AA4"/>
    <w:rsid w:val="6CFF4E40"/>
    <w:rsid w:val="6D716441"/>
    <w:rsid w:val="6D7A79CA"/>
    <w:rsid w:val="6D861361"/>
    <w:rsid w:val="6F2311AD"/>
    <w:rsid w:val="6FF9E366"/>
    <w:rsid w:val="70A408DB"/>
    <w:rsid w:val="70C93A69"/>
    <w:rsid w:val="71120427"/>
    <w:rsid w:val="71414DC4"/>
    <w:rsid w:val="718A5D23"/>
    <w:rsid w:val="725C51B7"/>
    <w:rsid w:val="74225BD5"/>
    <w:rsid w:val="74896B26"/>
    <w:rsid w:val="750722DF"/>
    <w:rsid w:val="764A76DD"/>
    <w:rsid w:val="771F0CBB"/>
    <w:rsid w:val="77485275"/>
    <w:rsid w:val="7775656E"/>
    <w:rsid w:val="77CC4815"/>
    <w:rsid w:val="78393FFF"/>
    <w:rsid w:val="78623556"/>
    <w:rsid w:val="7869130D"/>
    <w:rsid w:val="78760DAF"/>
    <w:rsid w:val="78B06666"/>
    <w:rsid w:val="79F96A09"/>
    <w:rsid w:val="7A4138AF"/>
    <w:rsid w:val="7A8F7F06"/>
    <w:rsid w:val="7AA02113"/>
    <w:rsid w:val="7B3F2277"/>
    <w:rsid w:val="7BA75723"/>
    <w:rsid w:val="7BE6705F"/>
    <w:rsid w:val="7C377F63"/>
    <w:rsid w:val="7C6D0F22"/>
    <w:rsid w:val="7CEC5AE4"/>
    <w:rsid w:val="7E8F153A"/>
    <w:rsid w:val="7EAB19DB"/>
    <w:rsid w:val="7EF42A2E"/>
    <w:rsid w:val="7EF50554"/>
    <w:rsid w:val="7F7D6EC7"/>
    <w:rsid w:val="7F8C2C66"/>
    <w:rsid w:val="7F9D4713"/>
    <w:rsid w:val="CEEFA1B1"/>
    <w:rsid w:val="F6633EF2"/>
    <w:rsid w:val="FFFD3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6"/>
    <w:semiHidden/>
    <w:unhideWhenUsed/>
    <w:qFormat/>
    <w:uiPriority w:val="99"/>
    <w:pPr>
      <w:jc w:val="left"/>
    </w:pPr>
  </w:style>
  <w:style w:type="paragraph" w:styleId="7">
    <w:name w:val="Balloon Text"/>
    <w:basedOn w:val="1"/>
    <w:link w:val="23"/>
    <w:unhideWhenUsed/>
    <w:qFormat/>
    <w:uiPriority w:val="99"/>
    <w:rPr>
      <w:sz w:val="18"/>
      <w:szCs w:val="18"/>
    </w:rPr>
  </w:style>
  <w:style w:type="paragraph" w:styleId="8">
    <w:name w:val="footer"/>
    <w:basedOn w:val="1"/>
    <w:link w:val="19"/>
    <w:unhideWhenUsed/>
    <w:qFormat/>
    <w:uiPriority w:val="99"/>
    <w:pPr>
      <w:tabs>
        <w:tab w:val="center" w:pos="4153"/>
        <w:tab w:val="right" w:pos="8306"/>
      </w:tabs>
      <w:snapToGrid w:val="0"/>
      <w:jc w:val="left"/>
    </w:pPr>
    <w:rPr>
      <w:sz w:val="18"/>
      <w:szCs w:val="18"/>
    </w:rPr>
  </w:style>
  <w:style w:type="paragraph" w:styleId="9">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1">
    <w:name w:val="Title"/>
    <w:basedOn w:val="1"/>
    <w:next w:val="1"/>
    <w:link w:val="25"/>
    <w:qFormat/>
    <w:uiPriority w:val="10"/>
    <w:pPr>
      <w:spacing w:before="120" w:after="120"/>
      <w:ind w:firstLine="200" w:firstLineChars="200"/>
      <w:jc w:val="left"/>
      <w:outlineLvl w:val="0"/>
    </w:pPr>
    <w:rPr>
      <w:rFonts w:asciiTheme="majorHAnsi" w:hAnsiTheme="majorHAnsi" w:cstheme="majorBidi"/>
      <w:bCs/>
      <w:szCs w:val="32"/>
    </w:rPr>
  </w:style>
  <w:style w:type="paragraph" w:styleId="12">
    <w:name w:val="annotation subject"/>
    <w:basedOn w:val="6"/>
    <w:next w:val="6"/>
    <w:link w:val="27"/>
    <w:semiHidden/>
    <w:unhideWhenUsed/>
    <w:qFormat/>
    <w:uiPriority w:val="99"/>
    <w:rPr>
      <w:b/>
      <w:bCs/>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mphasis"/>
    <w:basedOn w:val="15"/>
    <w:qFormat/>
    <w:uiPriority w:val="20"/>
    <w:rPr>
      <w:i/>
    </w:rPr>
  </w:style>
  <w:style w:type="character" w:styleId="17">
    <w:name w:val="Hyperlink"/>
    <w:basedOn w:val="15"/>
    <w:semiHidden/>
    <w:unhideWhenUsed/>
    <w:qFormat/>
    <w:uiPriority w:val="99"/>
    <w:rPr>
      <w:color w:val="0000FF"/>
      <w:u w:val="single"/>
    </w:rPr>
  </w:style>
  <w:style w:type="character" w:styleId="18">
    <w:name w:val="annotation reference"/>
    <w:basedOn w:val="15"/>
    <w:semiHidden/>
    <w:unhideWhenUsed/>
    <w:qFormat/>
    <w:uiPriority w:val="99"/>
    <w:rPr>
      <w:sz w:val="21"/>
      <w:szCs w:val="21"/>
    </w:rPr>
  </w:style>
  <w:style w:type="character" w:customStyle="1" w:styleId="19">
    <w:name w:val="页脚 字符"/>
    <w:basedOn w:val="15"/>
    <w:link w:val="8"/>
    <w:qFormat/>
    <w:uiPriority w:val="99"/>
    <w:rPr>
      <w:sz w:val="18"/>
      <w:szCs w:val="18"/>
    </w:rPr>
  </w:style>
  <w:style w:type="paragraph" w:customStyle="1" w:styleId="20">
    <w:name w:val="Default"/>
    <w:qFormat/>
    <w:uiPriority w:val="0"/>
    <w:pPr>
      <w:widowControl w:val="0"/>
      <w:autoSpaceDE w:val="0"/>
      <w:autoSpaceDN w:val="0"/>
      <w:adjustRightInd w:val="0"/>
    </w:pPr>
    <w:rPr>
      <w:rFonts w:ascii="Calibri" w:hAnsi="Calibri" w:cs="Calibri" w:eastAsiaTheme="minorEastAsia"/>
      <w:color w:val="000000"/>
      <w:sz w:val="24"/>
      <w:szCs w:val="24"/>
      <w:lang w:val="en-US" w:eastAsia="zh-CN" w:bidi="ar-SA"/>
    </w:rPr>
  </w:style>
  <w:style w:type="table" w:customStyle="1" w:styleId="21">
    <w:name w:val="网格型1"/>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
    <w:name w:val="页眉 字符"/>
    <w:basedOn w:val="15"/>
    <w:link w:val="9"/>
    <w:qFormat/>
    <w:uiPriority w:val="99"/>
    <w:rPr>
      <w:sz w:val="18"/>
      <w:szCs w:val="18"/>
    </w:rPr>
  </w:style>
  <w:style w:type="character" w:customStyle="1" w:styleId="23">
    <w:name w:val="批注框文本 字符"/>
    <w:basedOn w:val="15"/>
    <w:link w:val="7"/>
    <w:semiHidden/>
    <w:qFormat/>
    <w:uiPriority w:val="99"/>
    <w:rPr>
      <w:sz w:val="18"/>
      <w:szCs w:val="18"/>
    </w:rPr>
  </w:style>
  <w:style w:type="paragraph" w:customStyle="1" w:styleId="24">
    <w:name w:val="列出段落1"/>
    <w:basedOn w:val="1"/>
    <w:qFormat/>
    <w:uiPriority w:val="34"/>
    <w:pPr>
      <w:ind w:firstLine="420" w:firstLineChars="200"/>
    </w:pPr>
  </w:style>
  <w:style w:type="character" w:customStyle="1" w:styleId="25">
    <w:name w:val="标题 字符"/>
    <w:basedOn w:val="15"/>
    <w:link w:val="11"/>
    <w:qFormat/>
    <w:uiPriority w:val="10"/>
    <w:rPr>
      <w:rFonts w:asciiTheme="majorHAnsi" w:hAnsiTheme="majorHAnsi" w:cstheme="majorBidi"/>
      <w:bCs/>
      <w:szCs w:val="32"/>
    </w:rPr>
  </w:style>
  <w:style w:type="character" w:customStyle="1" w:styleId="26">
    <w:name w:val="批注文字 字符"/>
    <w:basedOn w:val="15"/>
    <w:link w:val="6"/>
    <w:semiHidden/>
    <w:qFormat/>
    <w:uiPriority w:val="99"/>
    <w:rPr>
      <w:kern w:val="2"/>
      <w:sz w:val="21"/>
      <w:szCs w:val="22"/>
    </w:rPr>
  </w:style>
  <w:style w:type="character" w:customStyle="1" w:styleId="27">
    <w:name w:val="批注主题 字符"/>
    <w:basedOn w:val="26"/>
    <w:link w:val="12"/>
    <w:semiHidden/>
    <w:qFormat/>
    <w:uiPriority w:val="99"/>
    <w:rPr>
      <w:b/>
      <w:bCs/>
      <w:kern w:val="2"/>
      <w:sz w:val="21"/>
      <w:szCs w:val="22"/>
    </w:rPr>
  </w:style>
  <w:style w:type="paragraph" w:customStyle="1" w:styleId="28">
    <w:name w:val="61"/>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a16ce497-df9c-45f5-a2da-de96db1286f4</errorID>
      <errorWord>-</errorWord>
      <group>L1_Format</group>
      <groupName>格式问题</groupName>
      <ability>L2_HalfPunc</ability>
      <abilityName>全半角检查</abilityName>
      <candidateList>
        <item>－</item>
      </candidateList>
      <explain>文本全半角错误。</explain>
      <paraID>6EEF30E1</paraID>
      <start>147</start>
      <end>148</end>
      <status>unmodified</status>
      <modifiedWord/>
      <trackRevisions>false</trackRevisions>
    </reviewItem>
    <reviewItem>
      <errorID>c99934f0-2857-4bb0-bd40-fd162b4810bc</errorID>
      <errorWord>,</errorWord>
      <group>L1_Format</group>
      <groupName>格式问题</groupName>
      <ability>L2_HalfPunc</ability>
      <abilityName>全半角检查</abilityName>
      <candidateList>
        <item>，</item>
      </candidateList>
      <explain>文本全半角错误。</explain>
      <paraID>7D5B073E</paraID>
      <start>7</start>
      <end>8</end>
      <status>unmodified</status>
      <modifiedWord/>
      <trackRevisions>false</trackRevisions>
    </reviewItem>
    <reviewItem>
      <errorID>f3c77741-9494-4e82-b683-73167978c862</errorID>
      <errorWord>-</errorWord>
      <group>L1_Format</group>
      <groupName>格式问题</groupName>
      <ability>L2_HalfPunc</ability>
      <abilityName>全半角检查</abilityName>
      <candidateList>
        <item>－</item>
      </candidateList>
      <explain>文本全半角错误。</explain>
      <paraID>7D5B073E</paraID>
      <start>21</start>
      <end>22</end>
      <status>unmodified</status>
      <modifiedWord/>
      <trackRevisions>false</trackRevisions>
    </reviewItem>
    <reviewItem>
      <errorID>d76a39b3-bc28-4cb7-aabd-ad30cebbe60e</errorID>
      <errorWord>进入到</errorWord>
      <group>L1_Word</group>
      <groupName>字词问题</groupName>
      <ability>L2_Typo</ability>
      <abilityName>字词错误</abilityName>
      <candidateList>
        <item>进入</item>
      </candidateList>
      <explain>〈动〉支进到某个范围或某个时期里：～学校｜～新阶段◇～角色。</explain>
      <paraID>6805EC63</paraID>
      <start>70</start>
      <end>73</end>
      <status>unmodified</status>
      <modifiedWord/>
      <trackRevisions>false</trackRevisions>
    </reviewItem>
    <reviewItem>
      <errorID>ef4fd1df-cfec-43fb-8c16-0ecc24b7bd3f</errorID>
      <errorWord>：</errorWord>
      <group>L1_Word</group>
      <groupName>字词问题</groupName>
      <ability>L2_Typo</ability>
      <abilityName>字词错误</abilityName>
      <candidateList>
        <item>：在</item>
      </candidateList>
      <explain/>
      <paraID>60643196</paraID>
      <start>70</start>
      <end>71</end>
      <status>unmodified</status>
      <modifiedWord/>
      <trackRevisions>false</trackRevisions>
    </reviewItem>
    <reviewItem>
      <errorID>79012575-45f9-44eb-baad-490aa729c2b6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6E92E3C</paraID>
      <start>0</start>
      <end>2</end>
      <status>unmodified</status>
      <modifiedWord/>
      <trackRevisions>false</trackRevisions>
    </reviewItem>
    <reviewItem>
      <errorID>52a02663-1698-463c-9709-9c3bcc3f0e60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589036A8</paraID>
      <start>0</start>
      <end>2</end>
      <status>unmodified</status>
      <modifiedWord/>
      <trackRevisions>false</trackRevisions>
    </reviewItem>
    <reviewItem>
      <errorID>37902ae3-54b4-48f8-bde5-5ab5f1da0c0e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684C868D</paraID>
      <start>0</start>
      <end>2</end>
      <status>unmodified</status>
      <modifiedWord/>
      <trackRevisions>false</trackRevisions>
    </reviewItem>
    <reviewItem>
      <errorID>f77802db-4269-4c92-9e29-f10522ef17d3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5F40A1F6</paraID>
      <start>0</start>
      <end>2</end>
      <status>unmodified</status>
      <modifiedWord/>
      <trackRevisions>false</trackRevisions>
    </reviewItem>
    <reviewItem>
      <errorID>1050e4b4-3825-4162-8547-2e49e2451081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6699E215</paraID>
      <start>0</start>
      <end>2</end>
      <status>unmodified</status>
      <modifiedWord/>
      <trackRevisions>false</trackRevisions>
    </reviewItem>
    <reviewItem>
      <errorID>6e85a300-f7ef-43ae-8d56-0f980d2758f9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4C8E3C28</paraID>
      <start>0</start>
      <end>2</end>
      <status>unmodified</status>
      <modifiedWord/>
      <trackRevisions>false</trackRevisions>
    </reviewItem>
    <reviewItem>
      <errorID>2f161c28-39ed-41e7-a5ef-2282361cfdab</errorID>
      <errorWord>价</errorWord>
      <group>L1_Word</group>
      <groupName>字词问题</groupName>
      <ability>L2_Typo</ability>
      <abilityName>字词错误</abilityName>
      <candidateList>
        <item>价格</item>
      </candidateList>
      <explain/>
      <paraID>301C9E59</paraID>
      <start>101</start>
      <end>102</end>
      <status>unmodified</status>
      <modifiedWord/>
      <trackRevisions>false</trackRevisions>
    </reviewItem>
    <reviewItem>
      <errorID>f1023756-0980-4f9c-aaaa-7b97ce47f031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2893A183</paraID>
      <start>0</start>
      <end>2</end>
      <status>unmodified</status>
      <modifiedWord/>
      <trackRevisions>false</trackRevisions>
    </reviewItem>
    <reviewItem>
      <errorID>01c8d5c0-9d63-4749-8f55-8dccd8c7da90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5B92322D</paraID>
      <start>0</start>
      <end>2</end>
      <status>unmodified</status>
      <modifiedWord/>
      <trackRevisions>false</trackRevisions>
    </reviewItem>
    <reviewItem>
      <errorID>14d67384-a39e-4fe5-a335-d12657689b63</errorID>
      <errorWord>(</errorWord>
      <group>L1_Format</group>
      <groupName>格式问题</groupName>
      <ability>L2_HalfPunc</ability>
      <abilityName>全半角检查</abilityName>
      <candidateList>
        <item>（</item>
      </candidateList>
      <explain>文本全半角错误。</explain>
      <paraID>18FD6C66</paraID>
      <start>20</start>
      <end>21</end>
      <status>unmodified</status>
      <modifiedWord/>
      <trackRevisions>false</trackRevisions>
    </reviewItem>
    <reviewItem>
      <errorID>17ec8dc1-a5c2-42f8-bf21-59291d40b654</errorID>
      <errorWord>)</errorWord>
      <group>L1_Format</group>
      <groupName>格式问题</groupName>
      <ability>L2_HalfPunc</ability>
      <abilityName>全半角检查</abilityName>
      <candidateList>
        <item>）</item>
      </candidateList>
      <explain>文本全半角错误。</explain>
      <paraID>18FD6C66</paraID>
      <start>24</start>
      <end>25</end>
      <status>unmodified</status>
      <modifiedWord/>
      <trackRevisions>false</trackRevisions>
    </reviewItem>
    <reviewItem>
      <errorID>9bd0eb40-bb0b-481b-99bb-5f07cec4d01e</errorID>
      <errorWord>,</errorWord>
      <group>L1_Format</group>
      <groupName>格式问题</groupName>
      <ability>L2_HalfPunc</ability>
      <abilityName>全半角检查</abilityName>
      <candidateList>
        <item>，</item>
      </candidateList>
      <explain>文本全半角错误。</explain>
      <paraID>18FD6C66</paraID>
      <start>209</start>
      <end>210</end>
      <status>unmodified</status>
      <modifiedWord/>
      <trackRevisions>false</trackRevisions>
    </reviewItem>
    <reviewItem>
      <errorID>793f10f1-f98a-4265-a6ea-87a196911cb7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38E4A6AF</paraID>
      <start>0</start>
      <end>2</end>
      <status>unmodified</status>
      <modifiedWord/>
      <trackRevisions>false</trackRevisions>
    </reviewItem>
    <reviewItem>
      <errorID>a21031db-8d91-4ca7-9f99-5c00f30e5ff0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3DF8BBB8</paraID>
      <start>0</start>
      <end>3</end>
      <status>unmodified</status>
      <modifiedWord/>
      <trackRevisions>false</trackRevisions>
    </reviewItem>
    <reviewItem>
      <errorID>66550b7f-b712-4671-8bd0-0dfdac823fd9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2D936B6B</paraID>
      <start>0</start>
      <end>3</end>
      <status>unmodified</status>
      <modifiedWord/>
      <trackRevisions>false</trackRevisions>
    </reviewItem>
    <reviewItem>
      <errorID>ae5ee567-a159-4c03-8c3e-51b360710965</errorID>
      <errorWord>。；</errorWord>
      <group>L1_Punc</group>
      <groupName>标点问题</groupName>
      <ability>L2_Punc</ability>
      <abilityName>标点符号检查</abilityName>
      <candidateList>
        <item>。</item>
      </candidateList>
      <explain/>
      <paraID>25E21223</paraID>
      <start>68</start>
      <end>70</end>
      <status>unmodified</status>
      <modifiedWord/>
      <trackRevisions>false</trackRevisions>
    </reviewItem>
    <reviewItem>
      <errorID>7550be80-b5de-4401-84c2-c91a71118fb6</errorID>
      <errorWord>噪音</errorWord>
      <group>L1_Word</group>
      <groupName>字词问题</groupName>
      <ability>L2_Alias</ability>
      <abilityName>也作/曾用词</abilityName>
      <candidateList>
        <item>噪声</item>
      </candidateList>
      <explain>词汇[噪音]为不规范表述或旧称，其规范书面表述为[噪声]。</explain>
      <paraID>3A758B4F</paraID>
      <start>231</start>
      <end>233</end>
      <status>unmodified</status>
      <modifiedWord/>
      <trackRevisions>false</trackRevisions>
    </reviewItem>
    <reviewItem>
      <errorID>1501ab60-200c-40bd-a006-49475d704d9a</errorID>
      <errorWord>噪音</errorWord>
      <group>L1_Word</group>
      <groupName>字词问题</groupName>
      <ability>L2_Alias</ability>
      <abilityName>也作/曾用词</abilityName>
      <candidateList>
        <item>噪声</item>
      </candidateList>
      <explain>词汇[噪音]为不规范表述或旧称，其规范书面表述为[噪声]。</explain>
      <paraID>3A758B4F</paraID>
      <start>252</start>
      <end>254</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659ba-66f4-45a6-804a-93ae7ee4bcd9}">
  <ds:schemaRefs/>
</ds:datastoreItem>
</file>

<file path=customXml/itemProps2.xml><?xml version="1.0" encoding="utf-8"?>
<ds:datastoreItem xmlns:ds="http://schemas.openxmlformats.org/officeDocument/2006/customXml" ds:itemID="{94E44456-92EA-4044-827D-0B9D73C4EC90}">
  <ds:schemaRefs/>
</ds:datastoreItem>
</file>

<file path=docProps/app.xml><?xml version="1.0" encoding="utf-8"?>
<Properties xmlns="http://schemas.openxmlformats.org/officeDocument/2006/extended-properties" xmlns:vt="http://schemas.openxmlformats.org/officeDocument/2006/docPropsVTypes">
  <Template>Normal.dotm</Template>
  <Pages>7</Pages>
  <Words>5920</Words>
  <Characters>6644</Characters>
  <Lines>52</Lines>
  <Paragraphs>14</Paragraphs>
  <TotalTime>51</TotalTime>
  <ScaleCrop>false</ScaleCrop>
  <LinksUpToDate>false</LinksUpToDate>
  <CharactersWithSpaces>6695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2023-05-06T03:21:00Z</dcterms:created>
  <dc:creator>mao olivia</dc:creator>
  <cp:lastModifiedBy>Z</cp:lastModifiedBy>
  <cp:lastPrinted>2026-05-09T07:52:00Z</cp:lastPrinted>
  <dcterms:modified xsi:type="dcterms:W3CDTF">2026-09-16T08:50:34Z</dcterms:modified>
  <cp:revision>235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eyJoZGlkIjoiNTg3YWI2ZGM2NjRlMWQxMmE0MmRjZjU2MTNlOWQ4ZDIiLCJ1c2VySWQiOiIzODI0ODA0MDcifQ==</vt:lpwstr>
  </property>
  <property fmtid="{D5CDD505-2E9C-101B-9397-08002B2CF9AE}" pid="4" name="ICV">
    <vt:lpwstr>BEB4A39D87D74692B819E220F31EAAB6_12</vt:lpwstr>
  </property>
</Properties>
</file>