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2E120">
      <w:pPr>
        <w:snapToGrid w:val="0"/>
        <w:spacing w:line="360" w:lineRule="auto"/>
        <w:rPr>
          <w:rFonts w:hint="eastAsia" w:ascii="宋体" w:hAnsi="宋体" w:eastAsia="宋体"/>
          <w:bCs/>
          <w:iCs/>
          <w:color w:val="000000"/>
          <w:sz w:val="24"/>
          <w:szCs w:val="24"/>
          <w:lang w:eastAsia="zh-CN"/>
        </w:rPr>
      </w:pPr>
      <w:r>
        <w:rPr>
          <w:rFonts w:hint="eastAsia" w:ascii="宋体" w:hAnsi="宋体"/>
          <w:bCs/>
          <w:iCs/>
          <w:color w:val="000000"/>
          <w:sz w:val="24"/>
          <w:szCs w:val="24"/>
        </w:rPr>
        <w:t>证券代码：6</w:t>
      </w:r>
      <w:r>
        <w:rPr>
          <w:rFonts w:ascii="宋体" w:hAnsi="宋体"/>
          <w:bCs/>
          <w:iCs/>
          <w:color w:val="000000"/>
          <w:sz w:val="24"/>
          <w:szCs w:val="24"/>
        </w:rPr>
        <w:t>00</w:t>
      </w:r>
      <w:r>
        <w:rPr>
          <w:rFonts w:hint="eastAsia" w:ascii="宋体" w:hAnsi="宋体"/>
          <w:bCs/>
          <w:iCs/>
          <w:color w:val="000000"/>
          <w:sz w:val="24"/>
          <w:szCs w:val="24"/>
          <w:lang w:val="en-US" w:eastAsia="zh-CN"/>
        </w:rPr>
        <w:t>826</w:t>
      </w:r>
      <w:r>
        <w:rPr>
          <w:rFonts w:hint="eastAsia" w:ascii="宋体" w:hAnsi="宋体"/>
          <w:bCs/>
          <w:iCs/>
          <w:color w:val="000000"/>
          <w:sz w:val="24"/>
          <w:szCs w:val="24"/>
        </w:rPr>
        <w:t xml:space="preserve">                         </w:t>
      </w:r>
      <w:r>
        <w:rPr>
          <w:rFonts w:ascii="宋体" w:hAnsi="宋体"/>
          <w:bCs/>
          <w:iCs/>
          <w:color w:val="000000"/>
          <w:sz w:val="24"/>
          <w:szCs w:val="24"/>
        </w:rPr>
        <w:t xml:space="preserve">          </w:t>
      </w:r>
      <w:r>
        <w:rPr>
          <w:rFonts w:hint="eastAsia" w:ascii="宋体" w:hAnsi="宋体"/>
          <w:bCs/>
          <w:iCs/>
          <w:color w:val="000000"/>
          <w:sz w:val="24"/>
          <w:szCs w:val="24"/>
        </w:rPr>
        <w:t>证券简称：</w:t>
      </w:r>
      <w:r>
        <w:rPr>
          <w:rFonts w:hint="eastAsia" w:ascii="宋体" w:hAnsi="宋体"/>
          <w:bCs/>
          <w:iCs/>
          <w:color w:val="000000"/>
          <w:sz w:val="24"/>
          <w:szCs w:val="24"/>
          <w:lang w:eastAsia="zh-CN"/>
        </w:rPr>
        <w:t>兰生股份</w:t>
      </w:r>
    </w:p>
    <w:p w14:paraId="48C6C2AF">
      <w:pPr>
        <w:snapToGrid w:val="0"/>
        <w:spacing w:line="360" w:lineRule="auto"/>
        <w:rPr>
          <w:rFonts w:ascii="仿宋" w:hAnsi="仿宋" w:eastAsia="仿宋"/>
          <w:bCs/>
          <w:iCs/>
          <w:color w:val="000000"/>
          <w:sz w:val="28"/>
          <w:szCs w:val="28"/>
        </w:rPr>
      </w:pPr>
    </w:p>
    <w:p w14:paraId="656222B9">
      <w:pPr>
        <w:adjustRightInd w:val="0"/>
        <w:snapToGrid w:val="0"/>
        <w:spacing w:line="360" w:lineRule="auto"/>
        <w:jc w:val="center"/>
        <w:rPr>
          <w:rFonts w:ascii="华文中宋" w:hAnsi="华文中宋" w:eastAsia="华文中宋"/>
          <w:b/>
          <w:bCs/>
          <w:iCs/>
          <w:color w:val="000000"/>
          <w:sz w:val="32"/>
          <w:szCs w:val="32"/>
        </w:rPr>
      </w:pPr>
      <w:r>
        <w:rPr>
          <w:rFonts w:hint="eastAsia" w:ascii="华文中宋" w:hAnsi="华文中宋" w:eastAsia="华文中宋"/>
          <w:b/>
          <w:bCs/>
          <w:iCs/>
          <w:color w:val="000000"/>
          <w:sz w:val="32"/>
          <w:szCs w:val="32"/>
        </w:rPr>
        <w:t>东浩兰生会展集团股份有限公司</w:t>
      </w:r>
    </w:p>
    <w:p w14:paraId="268351C2">
      <w:pPr>
        <w:adjustRightInd w:val="0"/>
        <w:snapToGrid w:val="0"/>
        <w:spacing w:line="360" w:lineRule="auto"/>
        <w:jc w:val="center"/>
        <w:rPr>
          <w:rFonts w:ascii="华文中宋" w:hAnsi="华文中宋" w:eastAsia="华文中宋"/>
          <w:b/>
          <w:bCs/>
          <w:iCs/>
          <w:color w:val="000000"/>
          <w:sz w:val="32"/>
          <w:szCs w:val="32"/>
        </w:rPr>
      </w:pPr>
      <w:r>
        <w:rPr>
          <w:rFonts w:hint="eastAsia" w:ascii="华文中宋" w:hAnsi="华文中宋" w:eastAsia="华文中宋"/>
          <w:b/>
          <w:bCs/>
          <w:iCs/>
          <w:color w:val="000000"/>
          <w:sz w:val="32"/>
          <w:szCs w:val="32"/>
        </w:rPr>
        <w:t>投资者关系活动记录表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458"/>
      </w:tblGrid>
      <w:tr w14:paraId="55A4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shd w:val="clear" w:color="auto" w:fill="auto"/>
          </w:tcPr>
          <w:p w14:paraId="26066788">
            <w:pPr>
              <w:adjustRightInd w:val="0"/>
              <w:snapToGrid w:val="0"/>
              <w:spacing w:line="360" w:lineRule="auto"/>
              <w:rPr>
                <w:rFonts w:hint="eastAsia" w:asciiTheme="minorEastAsia" w:hAnsiTheme="minorEastAsia" w:eastAsiaTheme="minorEastAsia"/>
                <w:bCs/>
                <w:iCs/>
                <w:color w:val="000000"/>
                <w:sz w:val="28"/>
                <w:szCs w:val="28"/>
              </w:rPr>
            </w:pPr>
            <w:r>
              <w:rPr>
                <w:rFonts w:hint="eastAsia" w:asciiTheme="minorEastAsia" w:hAnsiTheme="minorEastAsia" w:eastAsiaTheme="minorEastAsia"/>
                <w:bCs/>
                <w:iCs/>
                <w:color w:val="000000"/>
                <w:sz w:val="28"/>
                <w:szCs w:val="28"/>
              </w:rPr>
              <w:t xml:space="preserve">                                                     </w:t>
            </w:r>
          </w:p>
          <w:p w14:paraId="4D2179B0">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投资者关系活动类别</w:t>
            </w:r>
          </w:p>
          <w:p w14:paraId="184642B6">
            <w:pPr>
              <w:adjustRightInd w:val="0"/>
              <w:snapToGrid w:val="0"/>
              <w:spacing w:line="360" w:lineRule="auto"/>
              <w:rPr>
                <w:rFonts w:asciiTheme="minorEastAsia" w:hAnsiTheme="minorEastAsia" w:eastAsiaTheme="minorEastAsia"/>
                <w:bCs/>
                <w:iCs/>
                <w:color w:val="000000"/>
                <w:sz w:val="24"/>
                <w:szCs w:val="24"/>
              </w:rPr>
            </w:pPr>
          </w:p>
        </w:tc>
        <w:tc>
          <w:tcPr>
            <w:tcW w:w="6458" w:type="dxa"/>
            <w:tcBorders>
              <w:top w:val="single" w:color="auto" w:sz="4" w:space="0"/>
              <w:left w:val="single" w:color="auto" w:sz="4" w:space="0"/>
              <w:bottom w:val="single" w:color="auto" w:sz="4" w:space="0"/>
              <w:right w:val="single" w:color="auto" w:sz="4" w:space="0"/>
            </w:tcBorders>
            <w:shd w:val="clear" w:color="auto" w:fill="auto"/>
          </w:tcPr>
          <w:p w14:paraId="5A79F790">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lang w:eastAsia="zh-CN"/>
              </w:rPr>
              <w:t>□</w:t>
            </w:r>
            <w:r>
              <w:rPr>
                <w:rFonts w:hint="eastAsia" w:asciiTheme="minorEastAsia" w:hAnsiTheme="minorEastAsia" w:eastAsiaTheme="minorEastAsia"/>
                <w:color w:val="000000"/>
                <w:sz w:val="24"/>
                <w:szCs w:val="24"/>
              </w:rPr>
              <w:t xml:space="preserve">特定对象调研        </w:t>
            </w:r>
            <w:r>
              <w:rPr>
                <w:rFonts w:hint="eastAsia" w:asciiTheme="minorEastAsia" w:hAnsiTheme="minorEastAsia" w:eastAsiaTheme="minorEastAsia"/>
                <w:bCs/>
                <w:iCs/>
                <w:color w:val="000000"/>
                <w:sz w:val="24"/>
                <w:szCs w:val="24"/>
                <w:lang w:eastAsia="zh-CN"/>
              </w:rPr>
              <w:t>□</w:t>
            </w:r>
            <w:r>
              <w:rPr>
                <w:rFonts w:hint="eastAsia" w:asciiTheme="minorEastAsia" w:hAnsiTheme="minorEastAsia" w:eastAsiaTheme="minorEastAsia"/>
                <w:color w:val="000000"/>
                <w:sz w:val="24"/>
                <w:szCs w:val="24"/>
              </w:rPr>
              <w:t>分析师会议</w:t>
            </w:r>
          </w:p>
          <w:p w14:paraId="141B390A">
            <w:pPr>
              <w:adjustRightInd w:val="0"/>
              <w:snapToGrid w:val="0"/>
              <w:spacing w:line="360" w:lineRule="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w:t>
            </w:r>
            <w:r>
              <w:rPr>
                <w:rFonts w:hint="eastAsia" w:asciiTheme="minorEastAsia" w:hAnsiTheme="minorEastAsia" w:eastAsiaTheme="minorEastAsia"/>
                <w:color w:val="000000"/>
                <w:sz w:val="24"/>
                <w:szCs w:val="24"/>
              </w:rPr>
              <w:t xml:space="preserve">媒体采访            </w:t>
            </w:r>
            <w:r>
              <w:rPr>
                <w:rFonts w:hint="eastAsia" w:asciiTheme="minorEastAsia" w:hAnsiTheme="minorEastAsia" w:eastAsiaTheme="minorEastAsia"/>
                <w:bCs/>
                <w:iCs/>
                <w:color w:val="000000"/>
                <w:sz w:val="24"/>
                <w:szCs w:val="24"/>
                <w:lang w:eastAsia="zh-CN"/>
              </w:rPr>
              <w:t>☑</w:t>
            </w:r>
            <w:r>
              <w:rPr>
                <w:rFonts w:hint="eastAsia" w:asciiTheme="minorEastAsia" w:hAnsiTheme="minorEastAsia" w:eastAsiaTheme="minorEastAsia"/>
                <w:color w:val="000000"/>
                <w:sz w:val="24"/>
                <w:szCs w:val="24"/>
              </w:rPr>
              <w:t>业绩说明会</w:t>
            </w:r>
          </w:p>
          <w:p w14:paraId="7367F36B">
            <w:pPr>
              <w:adjustRightInd w:val="0"/>
              <w:snapToGrid w:val="0"/>
              <w:spacing w:line="360" w:lineRule="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w:t>
            </w:r>
            <w:r>
              <w:rPr>
                <w:rFonts w:hint="eastAsia" w:asciiTheme="minorEastAsia" w:hAnsiTheme="minorEastAsia" w:eastAsiaTheme="minorEastAsia"/>
                <w:color w:val="000000"/>
                <w:sz w:val="24"/>
                <w:szCs w:val="24"/>
              </w:rPr>
              <w:t xml:space="preserve">新闻发布会          </w:t>
            </w:r>
            <w:r>
              <w:rPr>
                <w:rFonts w:hint="eastAsia" w:asciiTheme="minorEastAsia" w:hAnsiTheme="minorEastAsia" w:eastAsiaTheme="minorEastAsia"/>
                <w:bCs/>
                <w:iCs/>
                <w:color w:val="000000"/>
                <w:sz w:val="24"/>
                <w:szCs w:val="24"/>
                <w:lang w:eastAsia="zh-CN"/>
              </w:rPr>
              <w:t>□</w:t>
            </w:r>
            <w:r>
              <w:rPr>
                <w:rFonts w:hint="eastAsia" w:asciiTheme="minorEastAsia" w:hAnsiTheme="minorEastAsia" w:eastAsiaTheme="minorEastAsia"/>
                <w:color w:val="000000"/>
                <w:sz w:val="24"/>
                <w:szCs w:val="24"/>
              </w:rPr>
              <w:t>路演活动</w:t>
            </w:r>
          </w:p>
          <w:p w14:paraId="75F25850">
            <w:pPr>
              <w:tabs>
                <w:tab w:val="left" w:pos="3045"/>
                <w:tab w:val="center" w:pos="3199"/>
              </w:tabs>
              <w:adjustRightInd w:val="0"/>
              <w:snapToGrid w:val="0"/>
              <w:spacing w:line="360" w:lineRule="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lang w:eastAsia="zh-CN"/>
              </w:rPr>
              <w:t>□</w:t>
            </w:r>
            <w:r>
              <w:rPr>
                <w:rFonts w:hint="eastAsia" w:asciiTheme="minorEastAsia" w:hAnsiTheme="minorEastAsia" w:eastAsiaTheme="minorEastAsia"/>
                <w:color w:val="000000"/>
                <w:sz w:val="24"/>
                <w:szCs w:val="24"/>
              </w:rPr>
              <w:t>现场参观</w:t>
            </w:r>
            <w:r>
              <w:rPr>
                <w:rFonts w:hint="eastAsia" w:asciiTheme="minorEastAsia" w:hAnsiTheme="minorEastAsia" w:eastAsiaTheme="minorEastAsia"/>
                <w:bCs/>
                <w:iCs/>
                <w:color w:val="000000"/>
                <w:sz w:val="24"/>
                <w:szCs w:val="24"/>
              </w:rPr>
              <w:tab/>
            </w:r>
          </w:p>
          <w:p w14:paraId="6D32EC6C">
            <w:pPr>
              <w:tabs>
                <w:tab w:val="center" w:pos="3199"/>
              </w:tabs>
              <w:adjustRightInd w:val="0"/>
              <w:snapToGrid w:val="0"/>
              <w:spacing w:line="360" w:lineRule="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w:t>
            </w:r>
            <w:r>
              <w:rPr>
                <w:rFonts w:hint="eastAsia" w:asciiTheme="minorEastAsia" w:hAnsiTheme="minorEastAsia" w:eastAsiaTheme="minorEastAsia"/>
                <w:color w:val="000000"/>
                <w:sz w:val="24"/>
                <w:szCs w:val="24"/>
              </w:rPr>
              <w:t>其他 （</w:t>
            </w:r>
            <w:r>
              <w:rPr>
                <w:rFonts w:hint="eastAsia" w:asciiTheme="minorEastAsia" w:hAnsiTheme="minorEastAsia" w:eastAsiaTheme="minorEastAsia"/>
                <w:color w:val="000000"/>
                <w:sz w:val="24"/>
                <w:szCs w:val="24"/>
                <w:u w:val="single"/>
              </w:rPr>
              <w:t>请文字说明其他活动内容）</w:t>
            </w:r>
          </w:p>
        </w:tc>
      </w:tr>
      <w:tr w14:paraId="558C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2F34641D">
            <w:pPr>
              <w:adjustRightInd w:val="0"/>
              <w:snapToGrid w:val="0"/>
              <w:spacing w:line="360" w:lineRule="auto"/>
              <w:rPr>
                <w:rFonts w:asciiTheme="minorEastAsia" w:hAnsiTheme="minorEastAsia" w:eastAsiaTheme="minorEastAsia"/>
                <w:bCs/>
                <w:iCs/>
                <w:color w:val="000000"/>
                <w:sz w:val="24"/>
                <w:szCs w:val="24"/>
                <w:highlight w:val="none"/>
              </w:rPr>
            </w:pPr>
            <w:r>
              <w:rPr>
                <w:rFonts w:hint="eastAsia" w:asciiTheme="minorEastAsia" w:hAnsiTheme="minorEastAsia" w:eastAsiaTheme="minorEastAsia"/>
                <w:bCs/>
                <w:iCs/>
                <w:sz w:val="24"/>
                <w:szCs w:val="24"/>
                <w:highlight w:val="none"/>
              </w:rPr>
              <w:t>参与人员</w:t>
            </w:r>
          </w:p>
        </w:tc>
        <w:tc>
          <w:tcPr>
            <w:tcW w:w="6458" w:type="dxa"/>
            <w:tcBorders>
              <w:top w:val="single" w:color="auto" w:sz="4" w:space="0"/>
              <w:left w:val="single" w:color="auto" w:sz="4" w:space="0"/>
              <w:bottom w:val="single" w:color="auto" w:sz="4" w:space="0"/>
              <w:right w:val="single" w:color="auto" w:sz="4" w:space="0"/>
            </w:tcBorders>
            <w:shd w:val="clear" w:color="auto" w:fill="auto"/>
            <w:vAlign w:val="center"/>
          </w:tcPr>
          <w:p w14:paraId="07F177C4">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heme="minorEastAsia" w:hAnsiTheme="minorEastAsia" w:eastAsiaTheme="minorEastAsia"/>
                <w:bCs/>
                <w:iCs/>
                <w:color w:val="000000"/>
                <w:sz w:val="24"/>
                <w:szCs w:val="24"/>
                <w:highlight w:val="none"/>
              </w:rPr>
            </w:pPr>
            <w:r>
              <w:rPr>
                <w:rFonts w:hint="eastAsia"/>
                <w:bCs/>
                <w:iCs/>
                <w:color w:val="000000"/>
                <w:sz w:val="24"/>
                <w:lang w:val="en-GB"/>
              </w:rPr>
              <w:t>投资者网上提问</w:t>
            </w:r>
          </w:p>
        </w:tc>
      </w:tr>
      <w:tr w14:paraId="390F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04A94593">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会议时间</w:t>
            </w:r>
          </w:p>
        </w:tc>
        <w:tc>
          <w:tcPr>
            <w:tcW w:w="6458" w:type="dxa"/>
            <w:tcBorders>
              <w:top w:val="single" w:color="auto" w:sz="4" w:space="0"/>
              <w:left w:val="single" w:color="auto" w:sz="4" w:space="0"/>
              <w:bottom w:val="single" w:color="auto" w:sz="4" w:space="0"/>
              <w:right w:val="single" w:color="auto" w:sz="4" w:space="0"/>
            </w:tcBorders>
            <w:shd w:val="clear" w:color="auto" w:fill="auto"/>
            <w:vAlign w:val="center"/>
          </w:tcPr>
          <w:p w14:paraId="6CDEC3EF">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heme="minorEastAsia" w:hAnsiTheme="minorEastAsia" w:eastAsiaTheme="minorEastAsia"/>
                <w:bCs/>
                <w:iCs/>
                <w:color w:val="000000"/>
                <w:sz w:val="24"/>
                <w:szCs w:val="24"/>
                <w:highlight w:val="yellow"/>
                <w:lang w:val="en-US" w:eastAsia="zh-CN"/>
              </w:rPr>
            </w:pPr>
            <w:r>
              <w:rPr>
                <w:rFonts w:hint="eastAsia" w:ascii="宋体" w:hAnsi="宋体" w:eastAsia="宋体" w:cs="宋体"/>
                <w:bCs/>
                <w:iCs/>
                <w:color w:val="000000"/>
                <w:sz w:val="24"/>
              </w:rPr>
              <w:t>202</w:t>
            </w:r>
            <w:r>
              <w:rPr>
                <w:rFonts w:hint="eastAsia" w:ascii="宋体" w:hAnsi="宋体" w:eastAsia="宋体" w:cs="宋体"/>
                <w:bCs/>
                <w:iCs/>
                <w:color w:val="000000"/>
                <w:sz w:val="24"/>
                <w:lang w:val="en-US" w:eastAsia="zh-CN"/>
              </w:rPr>
              <w:t>6</w:t>
            </w:r>
            <w:r>
              <w:rPr>
                <w:rFonts w:hint="eastAsia" w:ascii="宋体" w:hAnsi="宋体" w:eastAsia="宋体" w:cs="宋体"/>
                <w:bCs/>
                <w:iCs/>
                <w:color w:val="000000"/>
                <w:sz w:val="24"/>
              </w:rPr>
              <w:t>年9月1</w:t>
            </w:r>
            <w:r>
              <w:rPr>
                <w:rFonts w:hint="eastAsia" w:ascii="宋体" w:hAnsi="宋体" w:eastAsia="宋体" w:cs="宋体"/>
                <w:bCs/>
                <w:iCs/>
                <w:color w:val="000000"/>
                <w:sz w:val="24"/>
                <w:lang w:val="en-US" w:eastAsia="zh-CN"/>
              </w:rPr>
              <w:t>6</w:t>
            </w:r>
            <w:r>
              <w:rPr>
                <w:rFonts w:hint="eastAsia" w:ascii="宋体" w:hAnsi="宋体" w:eastAsia="宋体" w:cs="宋体"/>
                <w:bCs/>
                <w:iCs/>
                <w:color w:val="000000"/>
                <w:sz w:val="24"/>
              </w:rPr>
              <w:t>日 (周</w:t>
            </w:r>
            <w:r>
              <w:rPr>
                <w:rFonts w:hint="eastAsia" w:ascii="宋体" w:hAnsi="宋体" w:eastAsia="宋体" w:cs="宋体"/>
                <w:bCs/>
                <w:iCs/>
                <w:color w:val="000000"/>
                <w:sz w:val="24"/>
                <w:lang w:val="en-US" w:eastAsia="zh-CN"/>
              </w:rPr>
              <w:t>三</w:t>
            </w:r>
            <w:r>
              <w:rPr>
                <w:rFonts w:hint="eastAsia" w:ascii="宋体" w:hAnsi="宋体" w:eastAsia="宋体" w:cs="宋体"/>
                <w:bCs/>
                <w:iCs/>
                <w:color w:val="000000"/>
                <w:sz w:val="24"/>
              </w:rPr>
              <w:t>) 下午 15:00~17:00</w:t>
            </w:r>
          </w:p>
        </w:tc>
      </w:tr>
      <w:tr w14:paraId="6C47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25FEE520">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会议地点</w:t>
            </w:r>
          </w:p>
        </w:tc>
        <w:tc>
          <w:tcPr>
            <w:tcW w:w="6458" w:type="dxa"/>
            <w:tcBorders>
              <w:top w:val="single" w:color="auto" w:sz="4" w:space="0"/>
              <w:left w:val="single" w:color="auto" w:sz="4" w:space="0"/>
              <w:bottom w:val="single" w:color="auto" w:sz="4" w:space="0"/>
              <w:right w:val="single" w:color="auto" w:sz="4" w:space="0"/>
            </w:tcBorders>
            <w:shd w:val="clear" w:color="auto" w:fill="auto"/>
            <w:vAlign w:val="center"/>
          </w:tcPr>
          <w:p w14:paraId="603946E9">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left"/>
              <w:textAlignment w:val="auto"/>
              <w:rPr>
                <w:rFonts w:hint="default" w:ascii="宋体" w:hAnsi="宋体"/>
                <w:color w:val="000000"/>
                <w:sz w:val="24"/>
                <w:szCs w:val="24"/>
                <w:lang w:val="en-US" w:eastAsia="zh-CN"/>
              </w:rPr>
            </w:pPr>
            <w:r>
              <w:rPr>
                <w:rFonts w:hint="default" w:ascii="宋体" w:hAnsi="宋体"/>
                <w:color w:val="000000"/>
                <w:sz w:val="24"/>
                <w:szCs w:val="24"/>
                <w:lang w:val="en-US" w:eastAsia="zh-CN"/>
              </w:rPr>
              <w:t>公司通过全景网“投资者关系互动平台”（https://ir.p5w.net）采用网络远程的方式召开业绩说明会</w:t>
            </w:r>
          </w:p>
        </w:tc>
      </w:tr>
      <w:tr w14:paraId="6BCA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29E62029">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会议形式</w:t>
            </w:r>
          </w:p>
        </w:tc>
        <w:tc>
          <w:tcPr>
            <w:tcW w:w="6458" w:type="dxa"/>
            <w:tcBorders>
              <w:top w:val="single" w:color="auto" w:sz="4" w:space="0"/>
              <w:left w:val="single" w:color="auto" w:sz="4" w:space="0"/>
              <w:bottom w:val="single" w:color="auto" w:sz="4" w:space="0"/>
              <w:right w:val="single" w:color="auto" w:sz="4" w:space="0"/>
            </w:tcBorders>
            <w:shd w:val="clear" w:color="auto" w:fill="auto"/>
            <w:vAlign w:val="center"/>
          </w:tcPr>
          <w:p w14:paraId="7C6C8F85">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eastAsia="宋体" w:asciiTheme="minorEastAsia" w:hAnsiTheme="minorEastAsia"/>
                <w:bCs/>
                <w:iCs/>
                <w:color w:val="000000"/>
                <w:sz w:val="24"/>
                <w:szCs w:val="24"/>
                <w:lang w:val="en-US" w:eastAsia="zh-CN"/>
              </w:rPr>
            </w:pPr>
            <w:r>
              <w:rPr>
                <w:rFonts w:hint="eastAsia" w:ascii="宋体" w:hAnsi="宋体"/>
                <w:color w:val="000000"/>
                <w:sz w:val="24"/>
                <w:szCs w:val="24"/>
                <w:lang w:val="en-US" w:eastAsia="zh-CN"/>
              </w:rPr>
              <w:t>线上会议</w:t>
            </w:r>
          </w:p>
        </w:tc>
      </w:tr>
      <w:tr w14:paraId="6E23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7EEE3C38">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公司接待人员姓名</w:t>
            </w:r>
          </w:p>
        </w:tc>
        <w:tc>
          <w:tcPr>
            <w:tcW w:w="6458" w:type="dxa"/>
            <w:tcBorders>
              <w:top w:val="single" w:color="auto" w:sz="4" w:space="0"/>
              <w:left w:val="single" w:color="auto" w:sz="4" w:space="0"/>
              <w:bottom w:val="single" w:color="auto" w:sz="4" w:space="0"/>
              <w:right w:val="single" w:color="auto" w:sz="4" w:space="0"/>
            </w:tcBorders>
            <w:shd w:val="clear" w:color="auto" w:fill="auto"/>
            <w:vAlign w:val="center"/>
          </w:tcPr>
          <w:p w14:paraId="148930D9">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Theme="minorEastAsia" w:hAnsiTheme="minorEastAsia" w:eastAsiaTheme="minorEastAsia"/>
                <w:bCs/>
                <w:iCs/>
                <w:color w:val="000000"/>
                <w:sz w:val="24"/>
                <w:szCs w:val="24"/>
                <w:lang w:val="en-US" w:eastAsia="zh-CN"/>
              </w:rPr>
            </w:pPr>
            <w:r>
              <w:rPr>
                <w:rFonts w:hint="eastAsia" w:asciiTheme="minorEastAsia" w:hAnsiTheme="minorEastAsia" w:eastAsiaTheme="minorEastAsia"/>
                <w:bCs/>
                <w:iCs/>
                <w:color w:val="000000"/>
                <w:sz w:val="24"/>
                <w:szCs w:val="24"/>
              </w:rPr>
              <w:t>董事长：陈小宏</w:t>
            </w:r>
            <w:r>
              <w:rPr>
                <w:rFonts w:hint="eastAsia" w:asciiTheme="minorEastAsia" w:hAnsiTheme="minorEastAsia" w:eastAsiaTheme="minorEastAsia"/>
                <w:bCs/>
                <w:iCs/>
                <w:color w:val="000000"/>
                <w:sz w:val="24"/>
                <w:szCs w:val="24"/>
                <w:lang w:eastAsia="zh-CN"/>
              </w:rPr>
              <w:t>；</w:t>
            </w:r>
            <w:r>
              <w:rPr>
                <w:rFonts w:hint="eastAsia" w:asciiTheme="minorEastAsia" w:hAnsiTheme="minorEastAsia" w:eastAsiaTheme="minorEastAsia"/>
                <w:bCs/>
                <w:iCs/>
                <w:color w:val="000000"/>
                <w:sz w:val="24"/>
                <w:szCs w:val="24"/>
              </w:rPr>
              <w:t>董事、总裁：毕培文</w:t>
            </w:r>
            <w:r>
              <w:rPr>
                <w:rFonts w:hint="eastAsia" w:asciiTheme="minorEastAsia" w:hAnsiTheme="minorEastAsia" w:eastAsiaTheme="minorEastAsia"/>
                <w:bCs/>
                <w:iCs/>
                <w:color w:val="000000"/>
                <w:sz w:val="24"/>
                <w:szCs w:val="24"/>
                <w:lang w:eastAsia="zh-CN"/>
              </w:rPr>
              <w:t>；</w:t>
            </w:r>
            <w:r>
              <w:rPr>
                <w:rFonts w:hint="eastAsia" w:asciiTheme="minorEastAsia" w:hAnsiTheme="minorEastAsia" w:eastAsiaTheme="minorEastAsia"/>
                <w:bCs/>
                <w:iCs/>
                <w:color w:val="000000"/>
                <w:sz w:val="24"/>
                <w:szCs w:val="24"/>
              </w:rPr>
              <w:t>独立董事：</w:t>
            </w:r>
            <w:r>
              <w:rPr>
                <w:rFonts w:hint="eastAsia" w:asciiTheme="minorEastAsia" w:hAnsiTheme="minorEastAsia" w:eastAsiaTheme="minorEastAsia"/>
                <w:bCs/>
                <w:iCs/>
                <w:color w:val="000000"/>
                <w:sz w:val="24"/>
                <w:szCs w:val="24"/>
                <w:lang w:val="en-US" w:eastAsia="zh-CN"/>
              </w:rPr>
              <w:t>张敏</w:t>
            </w:r>
            <w:r>
              <w:rPr>
                <w:rFonts w:hint="eastAsia" w:asciiTheme="minorEastAsia" w:hAnsiTheme="minorEastAsia" w:eastAsiaTheme="minorEastAsia"/>
                <w:bCs/>
                <w:iCs/>
                <w:color w:val="000000"/>
                <w:sz w:val="24"/>
                <w:szCs w:val="24"/>
                <w:lang w:eastAsia="zh-CN"/>
              </w:rPr>
              <w:t>；</w:t>
            </w:r>
            <w:r>
              <w:rPr>
                <w:rFonts w:hint="eastAsia" w:asciiTheme="minorEastAsia" w:hAnsiTheme="minorEastAsia" w:eastAsiaTheme="minorEastAsia"/>
                <w:bCs/>
                <w:iCs/>
                <w:color w:val="000000"/>
                <w:sz w:val="24"/>
                <w:szCs w:val="24"/>
              </w:rPr>
              <w:t>职工董事、副总裁、董事会秘书：张荣健</w:t>
            </w:r>
            <w:r>
              <w:rPr>
                <w:rFonts w:hint="eastAsia" w:asciiTheme="minorEastAsia" w:hAnsiTheme="minorEastAsia" w:eastAsiaTheme="minorEastAsia"/>
                <w:bCs/>
                <w:iCs/>
                <w:color w:val="000000"/>
                <w:sz w:val="24"/>
                <w:szCs w:val="24"/>
                <w:lang w:eastAsia="zh-CN"/>
              </w:rPr>
              <w:t>；</w:t>
            </w:r>
            <w:r>
              <w:rPr>
                <w:rFonts w:hint="eastAsia" w:asciiTheme="minorEastAsia" w:hAnsiTheme="minorEastAsia" w:eastAsiaTheme="minorEastAsia"/>
                <w:bCs/>
                <w:iCs/>
                <w:color w:val="000000"/>
                <w:sz w:val="24"/>
                <w:szCs w:val="24"/>
                <w:lang w:val="en-US" w:eastAsia="zh-CN"/>
              </w:rPr>
              <w:t>财务总监：楼铭铭；</w:t>
            </w:r>
            <w:r>
              <w:rPr>
                <w:rFonts w:hint="eastAsia" w:asciiTheme="minorEastAsia" w:hAnsiTheme="minorEastAsia" w:eastAsiaTheme="minorEastAsia"/>
                <w:bCs/>
                <w:iCs/>
                <w:color w:val="000000"/>
                <w:sz w:val="24"/>
                <w:szCs w:val="24"/>
                <w:lang w:eastAsia="zh-CN"/>
              </w:rPr>
              <w:t>证券事务代表：俞璟贇</w:t>
            </w:r>
            <w:r>
              <w:rPr>
                <w:rFonts w:hint="eastAsia" w:asciiTheme="minorEastAsia" w:hAnsiTheme="minorEastAsia" w:eastAsiaTheme="minorEastAsia"/>
                <w:bCs/>
                <w:iCs/>
                <w:color w:val="000000"/>
                <w:sz w:val="24"/>
                <w:szCs w:val="24"/>
                <w:lang w:val="en-US" w:eastAsia="zh-CN"/>
              </w:rPr>
              <w:t>等</w:t>
            </w:r>
          </w:p>
        </w:tc>
      </w:tr>
      <w:tr w14:paraId="41EE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6BF38E3A">
            <w:pPr>
              <w:adjustRightInd w:val="0"/>
              <w:snapToGrid w:val="0"/>
              <w:spacing w:line="360" w:lineRule="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投资者关系活动主要内容介绍</w:t>
            </w:r>
          </w:p>
          <w:p w14:paraId="79A4392F">
            <w:pPr>
              <w:adjustRightInd w:val="0"/>
              <w:snapToGrid w:val="0"/>
              <w:spacing w:line="360" w:lineRule="auto"/>
              <w:rPr>
                <w:rFonts w:asciiTheme="minorEastAsia" w:hAnsiTheme="minorEastAsia" w:eastAsiaTheme="minorEastAsia"/>
                <w:bCs/>
                <w:iCs/>
                <w:color w:val="000000"/>
                <w:sz w:val="24"/>
                <w:szCs w:val="24"/>
              </w:rPr>
            </w:pPr>
          </w:p>
        </w:tc>
        <w:tc>
          <w:tcPr>
            <w:tcW w:w="6458" w:type="dxa"/>
            <w:tcBorders>
              <w:top w:val="single" w:color="auto" w:sz="4" w:space="0"/>
              <w:left w:val="single" w:color="auto" w:sz="4" w:space="0"/>
              <w:bottom w:val="single" w:color="auto" w:sz="4" w:space="0"/>
              <w:right w:val="single" w:color="auto" w:sz="4" w:space="0"/>
            </w:tcBorders>
            <w:shd w:val="clear" w:color="auto" w:fill="auto"/>
            <w:vAlign w:val="center"/>
          </w:tcPr>
          <w:p w14:paraId="0C809D31">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157" w:beforeLines="50" w:line="360" w:lineRule="auto"/>
              <w:jc w:val="both"/>
              <w:textAlignment w:val="auto"/>
              <w:rPr>
                <w:rFonts w:hint="eastAsia" w:asciiTheme="minorEastAsia" w:hAnsiTheme="minorEastAsia"/>
                <w:b/>
                <w:bCs/>
                <w:sz w:val="24"/>
                <w:szCs w:val="24"/>
                <w:highlight w:val="none"/>
                <w:lang w:val="en-US" w:eastAsia="zh-CN"/>
              </w:rPr>
            </w:pPr>
            <w:r>
              <w:rPr>
                <w:rFonts w:hint="eastAsia" w:asciiTheme="minorEastAsia" w:hAnsiTheme="minorEastAsia"/>
                <w:b/>
                <w:bCs/>
                <w:sz w:val="24"/>
                <w:szCs w:val="24"/>
                <w:highlight w:val="none"/>
                <w:lang w:val="en-US" w:eastAsia="zh-CN"/>
              </w:rPr>
              <w:t>一、公司上半年经营情况</w:t>
            </w:r>
          </w:p>
          <w:p w14:paraId="10FB269A">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157" w:beforeLines="50" w:line="360" w:lineRule="auto"/>
              <w:ind w:firstLine="480" w:firstLineChars="200"/>
              <w:jc w:val="both"/>
              <w:textAlignment w:val="auto"/>
              <w:rPr>
                <w:rFonts w:hint="default" w:eastAsia="宋体" w:cs="Times New Roman" w:asciiTheme="minorEastAsia" w:hAnsiTheme="minorEastAsia"/>
                <w:b w:val="0"/>
                <w:bCs w:val="0"/>
                <w:color w:val="auto"/>
                <w:kern w:val="2"/>
                <w:sz w:val="24"/>
                <w:szCs w:val="24"/>
                <w:highlight w:val="none"/>
                <w:lang w:val="en-US" w:eastAsia="zh-CN" w:bidi="ar-SA"/>
              </w:rPr>
            </w:pPr>
            <w:r>
              <w:rPr>
                <w:rFonts w:hint="default" w:eastAsia="宋体" w:cs="Times New Roman" w:asciiTheme="minorEastAsia" w:hAnsiTheme="minorEastAsia"/>
                <w:b w:val="0"/>
                <w:bCs w:val="0"/>
                <w:color w:val="auto"/>
                <w:kern w:val="2"/>
                <w:sz w:val="24"/>
                <w:szCs w:val="24"/>
                <w:highlight w:val="none"/>
                <w:lang w:val="en-US" w:eastAsia="zh-CN" w:bidi="ar-SA"/>
              </w:rPr>
              <w:t>公司2026年半年度实现营业收入5.36亿元，归属于上市公司股东的净利润1,737.59万元，归属于上市公司股东的扣除非经常性损益的净利润2,766.06万元。报告期末公司总资产55.08亿元，归属于上市公司股东的净资产42.37亿元。实现基本每股收益0.02元，加权平均净资产收益率为0.40%。</w:t>
            </w:r>
          </w:p>
          <w:p w14:paraId="7A173C17">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157" w:beforeLines="50" w:line="360" w:lineRule="auto"/>
              <w:ind w:firstLine="480" w:firstLineChars="200"/>
              <w:jc w:val="both"/>
              <w:textAlignment w:val="auto"/>
              <w:rPr>
                <w:rFonts w:hint="default" w:eastAsia="宋体" w:cs="Times New Roman" w:asciiTheme="minorEastAsia" w:hAnsiTheme="minorEastAsia"/>
                <w:b w:val="0"/>
                <w:bCs w:val="0"/>
                <w:color w:val="auto"/>
                <w:kern w:val="2"/>
                <w:sz w:val="24"/>
                <w:szCs w:val="24"/>
                <w:highlight w:val="none"/>
                <w:lang w:val="en-US" w:eastAsia="zh-CN" w:bidi="ar-SA"/>
              </w:rPr>
            </w:pPr>
            <w:r>
              <w:rPr>
                <w:rFonts w:hint="default" w:eastAsia="宋体" w:cs="Times New Roman" w:asciiTheme="minorEastAsia" w:hAnsiTheme="minorEastAsia"/>
                <w:b w:val="0"/>
                <w:bCs w:val="0"/>
                <w:color w:val="auto"/>
                <w:kern w:val="2"/>
                <w:sz w:val="24"/>
                <w:szCs w:val="24"/>
                <w:highlight w:val="none"/>
                <w:lang w:val="en-US" w:eastAsia="zh-CN" w:bidi="ar-SA"/>
              </w:rPr>
              <w:t>2026年，公司聚焦展览组织、体育赛事、展馆运营和会展服务等主营业务，推进品牌项目提质升级和区域化、国际化布局，发挥“展、会、赛、馆”全产业链资源优势。上半年，公司会展业务主、承办项目12场，总规模63.57万平方米，服务展商9,319家次、专业观众85.62万人次；举办体育赛事5场，服务专业跑者3万人次。公司运营的上海世博展览馆承接项目39个，租赁面积321万平方米。</w:t>
            </w:r>
          </w:p>
          <w:p w14:paraId="29CC25D7">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val="0"/>
              <w:spacing w:before="157" w:beforeLines="50" w:line="360" w:lineRule="auto"/>
              <w:jc w:val="both"/>
              <w:textAlignment w:val="auto"/>
              <w:rPr>
                <w:rFonts w:hint="default" w:asciiTheme="minorEastAsia" w:hAnsiTheme="minorEastAsia"/>
                <w:b/>
                <w:bCs/>
                <w:sz w:val="24"/>
                <w:szCs w:val="24"/>
                <w:highlight w:val="none"/>
                <w:lang w:val="en-US" w:eastAsia="zh-CN"/>
              </w:rPr>
            </w:pPr>
            <w:r>
              <w:rPr>
                <w:rFonts w:hint="eastAsia" w:asciiTheme="minorEastAsia" w:hAnsiTheme="minorEastAsia"/>
                <w:b/>
                <w:bCs/>
                <w:sz w:val="24"/>
                <w:szCs w:val="24"/>
                <w:highlight w:val="none"/>
                <w:lang w:val="en-US" w:eastAsia="zh-CN"/>
              </w:rPr>
              <w:t>二、</w:t>
            </w:r>
            <w:r>
              <w:rPr>
                <w:rFonts w:hint="default" w:asciiTheme="minorEastAsia" w:hAnsiTheme="minorEastAsia"/>
                <w:b/>
                <w:bCs/>
                <w:sz w:val="24"/>
                <w:szCs w:val="24"/>
                <w:highlight w:val="none"/>
                <w:lang w:val="en-US" w:eastAsia="zh-CN"/>
              </w:rPr>
              <w:t>问答纪要</w:t>
            </w:r>
          </w:p>
          <w:p w14:paraId="3DB86659">
            <w:pPr>
              <w:adjustRightInd w:val="0"/>
              <w:snapToGrid w:val="0"/>
              <w:spacing w:line="360" w:lineRule="auto"/>
              <w:jc w:val="both"/>
              <w:rPr>
                <w:rFonts w:hint="eastAsia" w:asciiTheme="minorEastAsia" w:hAnsiTheme="minorEastAsia"/>
                <w:b/>
                <w:bCs/>
                <w:sz w:val="24"/>
                <w:szCs w:val="24"/>
                <w:highlight w:val="none"/>
              </w:rPr>
            </w:pPr>
            <w:r>
              <w:rPr>
                <w:rFonts w:hint="eastAsia" w:asciiTheme="minorEastAsia" w:hAnsiTheme="minorEastAsia"/>
                <w:b/>
                <w:bCs/>
                <w:sz w:val="24"/>
                <w:szCs w:val="24"/>
                <w:highlight w:val="none"/>
                <w:lang w:val="en-US" w:eastAsia="zh-CN"/>
              </w:rPr>
              <w:t>1、</w:t>
            </w:r>
            <w:r>
              <w:rPr>
                <w:rFonts w:hint="eastAsia" w:asciiTheme="minorEastAsia" w:hAnsiTheme="minorEastAsia"/>
                <w:b/>
                <w:bCs/>
                <w:sz w:val="24"/>
                <w:szCs w:val="24"/>
                <w:highlight w:val="none"/>
              </w:rPr>
              <w:t>问：</w:t>
            </w:r>
            <w:r>
              <w:rPr>
                <w:rFonts w:hint="eastAsia" w:asciiTheme="minorEastAsia" w:hAnsiTheme="minorEastAsia"/>
                <w:b/>
                <w:bCs/>
                <w:sz w:val="24"/>
                <w:szCs w:val="24"/>
                <w:highlight w:val="none"/>
                <w:lang w:val="en-US" w:eastAsia="zh-CN"/>
              </w:rPr>
              <w:t>公司拥有工博会、世界人工智能大会、上海马拉松等优质IP，后续计划如何放大核心IP的衍生收益？</w:t>
            </w:r>
          </w:p>
          <w:p w14:paraId="3F488EE6">
            <w:pPr>
              <w:adjustRightInd w:val="0"/>
              <w:snapToGrid w:val="0"/>
              <w:spacing w:line="360" w:lineRule="auto"/>
              <w:ind w:firstLine="0" w:firstLineChars="0"/>
              <w:jc w:val="both"/>
              <w:rPr>
                <w:rFonts w:hint="eastAsia" w:asciiTheme="minorEastAsia" w:hAnsiTheme="minorEastAsia"/>
                <w:b w:val="0"/>
                <w:bCs w:val="0"/>
                <w:sz w:val="24"/>
                <w:szCs w:val="24"/>
                <w:highlight w:val="none"/>
                <w:lang w:val="en-US" w:eastAsia="zh-CN"/>
              </w:rPr>
            </w:pPr>
            <w:r>
              <w:rPr>
                <w:rFonts w:hint="eastAsia" w:asciiTheme="minorEastAsia" w:hAnsiTheme="minorEastAsia"/>
                <w:b/>
                <w:bCs/>
                <w:sz w:val="24"/>
                <w:szCs w:val="24"/>
                <w:highlight w:val="none"/>
              </w:rPr>
              <w:t>答：</w:t>
            </w:r>
            <w:r>
              <w:rPr>
                <w:rFonts w:hint="eastAsia" w:asciiTheme="minorEastAsia" w:hAnsiTheme="minorEastAsia"/>
                <w:b w:val="0"/>
                <w:bCs w:val="0"/>
                <w:sz w:val="24"/>
                <w:szCs w:val="24"/>
                <w:highlight w:val="none"/>
              </w:rPr>
              <w:t>在AI科技领域，公司将依托世界人工智能大会，向市场化、生态化转型，构建“4+365”全生命周期运营体系，孵化五大生态子品牌：WAIC UP！、WAIC Future Tech、WAIC CONNECT、WAIC Young和AI GRAVITY，力争将威客引力公司培育成为领先的AI产业生态服务商；在体育赛事方面，持续办好“三上”赛事，推动上海马拉松加入世界马拉松大满贯，加快构建全链条体育产业体系。此外，推动工博会等IP专业化、品牌化、资本化运作，通过品牌授权、模式输出、联合运营等方式，最大化品牌价值。</w:t>
            </w:r>
          </w:p>
          <w:p w14:paraId="0974C807">
            <w:pPr>
              <w:numPr>
                <w:ilvl w:val="0"/>
                <w:numId w:val="1"/>
              </w:numPr>
              <w:adjustRightInd w:val="0"/>
              <w:snapToGrid w:val="0"/>
              <w:spacing w:line="360" w:lineRule="auto"/>
              <w:ind w:firstLine="0" w:firstLineChars="0"/>
              <w:jc w:val="both"/>
              <w:rPr>
                <w:rFonts w:hint="eastAsia" w:asciiTheme="minorEastAsia" w:hAnsiTheme="minorEastAsia"/>
                <w:b/>
                <w:bCs/>
                <w:sz w:val="24"/>
                <w:szCs w:val="24"/>
                <w:highlight w:val="none"/>
                <w:lang w:val="en-US" w:eastAsia="zh-CN"/>
              </w:rPr>
            </w:pPr>
            <w:r>
              <w:rPr>
                <w:rFonts w:hint="eastAsia" w:asciiTheme="minorEastAsia" w:hAnsiTheme="minorEastAsia"/>
                <w:b/>
                <w:bCs/>
                <w:sz w:val="24"/>
                <w:szCs w:val="24"/>
                <w:highlight w:val="none"/>
                <w:lang w:val="en-US" w:eastAsia="zh-CN"/>
              </w:rPr>
              <w:t>问：公司聚焦AI科技展会、体育赛事赛道，请问海外会展业务后续拓展有什么规划？</w:t>
            </w:r>
          </w:p>
          <w:p w14:paraId="389E47C9">
            <w:pPr>
              <w:numPr>
                <w:ilvl w:val="0"/>
                <w:numId w:val="0"/>
              </w:numPr>
              <w:adjustRightInd w:val="0"/>
              <w:snapToGrid w:val="0"/>
              <w:spacing w:line="360" w:lineRule="auto"/>
              <w:jc w:val="both"/>
              <w:rPr>
                <w:rFonts w:hint="eastAsia" w:asciiTheme="minorEastAsia" w:hAnsiTheme="minorEastAsia"/>
                <w:b w:val="0"/>
                <w:bCs w:val="0"/>
                <w:sz w:val="24"/>
                <w:szCs w:val="24"/>
                <w:highlight w:val="none"/>
                <w:lang w:val="en-US" w:eastAsia="zh-CN"/>
              </w:rPr>
            </w:pPr>
            <w:r>
              <w:rPr>
                <w:rFonts w:hint="eastAsia" w:asciiTheme="minorEastAsia" w:hAnsiTheme="minorEastAsia"/>
                <w:b/>
                <w:bCs/>
                <w:sz w:val="24"/>
                <w:szCs w:val="24"/>
                <w:highlight w:val="none"/>
                <w:lang w:val="en-US" w:eastAsia="zh-CN"/>
              </w:rPr>
              <w:t>答：</w:t>
            </w:r>
            <w:r>
              <w:rPr>
                <w:rFonts w:hint="eastAsia" w:asciiTheme="minorEastAsia" w:hAnsiTheme="minorEastAsia"/>
                <w:b w:val="0"/>
                <w:bCs w:val="0"/>
                <w:sz w:val="24"/>
                <w:szCs w:val="24"/>
                <w:highlight w:val="none"/>
                <w:lang w:val="en-US" w:eastAsia="zh-CN"/>
              </w:rPr>
              <w:t>香港公司自成立以来，积极发挥战略支点作用，拓展境外资源链接网络。目前已与6个国家和地区的112家政府机构、行业协会、场馆运营商及企业建立联系，初步构建覆盖东南亚及亚太主要会展市场的合作网络，并先后参与支持WAIC新加坡AIMX论坛、2026 WAIC UP！全球年终盛会、WAIC CONNECT香港活动等品牌境外活动落地，为公司链接国际资源、推动品牌出海提供平台支撑。公司举办的“2026哈萨克斯坦广印展”，是中亚首个广告标识及数字印刷专业展。公司全新打造自主的海外展会品牌东南亚（泰国）智能制造展览会（IME2026）在泰国曼谷落地，标志着公司正式进军海外市场。未来，香港公司将构建海外结算中心、海外投资中心、海外运营中心三大核心功能。</w:t>
            </w:r>
          </w:p>
          <w:p w14:paraId="50EF19C7">
            <w:pPr>
              <w:numPr>
                <w:ilvl w:val="0"/>
                <w:numId w:val="1"/>
              </w:numPr>
              <w:adjustRightInd w:val="0"/>
              <w:snapToGrid w:val="0"/>
              <w:spacing w:line="360" w:lineRule="auto"/>
              <w:ind w:left="0" w:leftChars="0" w:firstLine="0" w:firstLineChars="0"/>
              <w:jc w:val="both"/>
              <w:rPr>
                <w:rFonts w:hint="eastAsia" w:asciiTheme="minorEastAsia" w:hAnsiTheme="minorEastAsia"/>
                <w:b/>
                <w:bCs/>
                <w:sz w:val="24"/>
                <w:szCs w:val="24"/>
                <w:highlight w:val="none"/>
                <w:lang w:val="en-US" w:eastAsia="zh-CN"/>
              </w:rPr>
            </w:pPr>
            <w:r>
              <w:rPr>
                <w:rFonts w:hint="eastAsia" w:asciiTheme="minorEastAsia" w:hAnsiTheme="minorEastAsia"/>
                <w:b/>
                <w:bCs/>
                <w:sz w:val="24"/>
                <w:szCs w:val="24"/>
                <w:highlight w:val="none"/>
                <w:lang w:val="en-US" w:eastAsia="zh-CN"/>
              </w:rPr>
              <w:t>问：上马今年第二阶段评估，请问去年WMM反馈的12项改进意见是否全部整改完？对标大满贯赛事，公司目前在Title冠名赞助商方面是否有国际品牌洽谈进展？除耐克外是否计划引入国际国际饮料，国际著名汽车品牌，金融保险等大公司。请问Q3公司是否会进一步压缩权益类敞口？H2公允价值变动损益预计收窄到什么区间？是否有对冲或止损安排来锁定下半年利润？如何评估它布斯全年承诺完成概率？对H2投资收益有多大？</w:t>
            </w:r>
          </w:p>
          <w:p w14:paraId="7313AA9A">
            <w:pPr>
              <w:numPr>
                <w:ilvl w:val="0"/>
                <w:numId w:val="0"/>
              </w:numPr>
              <w:adjustRightInd w:val="0"/>
              <w:snapToGrid w:val="0"/>
              <w:spacing w:line="360" w:lineRule="auto"/>
              <w:ind w:leftChars="0"/>
              <w:jc w:val="both"/>
              <w:rPr>
                <w:rFonts w:hint="eastAsia" w:asciiTheme="minorEastAsia" w:hAnsiTheme="minorEastAsia"/>
                <w:b w:val="0"/>
                <w:bCs w:val="0"/>
                <w:sz w:val="24"/>
                <w:szCs w:val="24"/>
                <w:highlight w:val="none"/>
                <w:lang w:val="en-US" w:eastAsia="zh-CN"/>
              </w:rPr>
            </w:pPr>
            <w:r>
              <w:rPr>
                <w:rFonts w:hint="eastAsia" w:asciiTheme="minorEastAsia" w:hAnsiTheme="minorEastAsia"/>
                <w:b/>
                <w:bCs/>
                <w:sz w:val="24"/>
                <w:szCs w:val="24"/>
                <w:highlight w:val="none"/>
                <w:lang w:val="en-US" w:eastAsia="zh-CN"/>
              </w:rPr>
              <w:t>答：</w:t>
            </w:r>
            <w:r>
              <w:rPr>
                <w:rFonts w:hint="eastAsia" w:asciiTheme="minorEastAsia" w:hAnsiTheme="minorEastAsia"/>
                <w:b w:val="0"/>
                <w:bCs w:val="0"/>
                <w:sz w:val="24"/>
                <w:szCs w:val="24"/>
                <w:highlight w:val="none"/>
                <w:lang w:val="en-US" w:eastAsia="zh-CN"/>
              </w:rPr>
              <w:t>2026上海马拉松目前仍在积极筹备中，公司及赛事运营团队正有序推进各项准备工作，力争通过第二阶段评估，加入世界马拉松大满贯，这对赞助商的合作将发挥积极作用。公司将及时关注证券市场变化，在时机合适、投资风险可控且不影响公司正常经营的情况下，对存量金融资产结构进行适时适量的调整。2026 TOPS它博会展览面积10万平方米，接待观众33万人次，业务增长情况良好。</w:t>
            </w:r>
          </w:p>
          <w:p w14:paraId="20193D7E">
            <w:pPr>
              <w:numPr>
                <w:ilvl w:val="0"/>
                <w:numId w:val="1"/>
              </w:numPr>
              <w:adjustRightInd w:val="0"/>
              <w:snapToGrid w:val="0"/>
              <w:spacing w:line="360" w:lineRule="auto"/>
              <w:ind w:left="0" w:leftChars="0" w:firstLine="0" w:firstLineChars="0"/>
              <w:jc w:val="both"/>
              <w:rPr>
                <w:rFonts w:hint="eastAsia" w:asciiTheme="minorEastAsia" w:hAnsiTheme="minorEastAsia"/>
                <w:b/>
                <w:bCs/>
                <w:sz w:val="24"/>
                <w:szCs w:val="24"/>
                <w:highlight w:val="none"/>
                <w:lang w:val="en-US" w:eastAsia="zh-CN"/>
              </w:rPr>
            </w:pPr>
            <w:r>
              <w:rPr>
                <w:rFonts w:hint="eastAsia" w:asciiTheme="minorEastAsia" w:hAnsiTheme="minorEastAsia"/>
                <w:b/>
                <w:bCs/>
                <w:sz w:val="24"/>
                <w:szCs w:val="24"/>
                <w:highlight w:val="none"/>
                <w:lang w:val="en-US" w:eastAsia="zh-CN"/>
              </w:rPr>
              <w:t>问：公司上半年归母净利润同比骤降69.48，且近期股价连续3日遭主力资金减仓。作为中小股东，我们非常关心公司的市值管理。请问公司计划如何通过更透明的信息披露（如体育赛事业务订单落地情况），向市场传递经营改善的积极信号？此外，结合公司“231”战略，未来在投资者关系管理上是否有更频繁的沟通计划？</w:t>
            </w:r>
          </w:p>
          <w:p w14:paraId="5F06288B">
            <w:pPr>
              <w:numPr>
                <w:ilvl w:val="0"/>
                <w:numId w:val="0"/>
              </w:numPr>
              <w:adjustRightInd w:val="0"/>
              <w:snapToGrid w:val="0"/>
              <w:spacing w:line="360" w:lineRule="auto"/>
              <w:ind w:leftChars="0"/>
              <w:jc w:val="both"/>
              <w:rPr>
                <w:rFonts w:hint="default" w:asciiTheme="minorEastAsia" w:hAnsiTheme="minorEastAsia"/>
                <w:b/>
                <w:bCs/>
                <w:sz w:val="24"/>
                <w:szCs w:val="24"/>
                <w:highlight w:val="none"/>
                <w:lang w:val="en-US" w:eastAsia="zh-CN"/>
              </w:rPr>
            </w:pPr>
            <w:r>
              <w:rPr>
                <w:rFonts w:hint="eastAsia" w:asciiTheme="minorEastAsia" w:hAnsiTheme="minorEastAsia"/>
                <w:b/>
                <w:bCs/>
                <w:sz w:val="24"/>
                <w:szCs w:val="24"/>
                <w:highlight w:val="none"/>
                <w:lang w:val="en-US" w:eastAsia="zh-CN"/>
              </w:rPr>
              <w:t>答：</w:t>
            </w:r>
            <w:r>
              <w:rPr>
                <w:rFonts w:hint="eastAsia" w:asciiTheme="minorEastAsia" w:hAnsiTheme="minorEastAsia"/>
                <w:b w:val="0"/>
                <w:bCs w:val="0"/>
                <w:sz w:val="24"/>
                <w:szCs w:val="24"/>
                <w:highlight w:val="none"/>
                <w:lang w:val="en-US" w:eastAsia="zh-CN"/>
              </w:rPr>
              <w:t>公司持续践行“以投资者为本”理念，策划、组织、参与各类投资者交流活动，包括券商策略会、路演、专场业绩说明会及走进上市公司等。通过多场次业绩说明会，以直播、转播、文字互动等形式，主动阐释公司“2+3+1”战略及重点项目运营情况。“我是股东·走进上市公司”活动以实地调研、高管对话及深度交流等形式，和与会股东展开深入互动交流。结合公司会展主业的资源优势，组织“走进展会现场”的沉浸式投关活动，在“它博会”“低空经济博览会”“工博会”等重大展会项目期间，邀请投资者实地调研。未来，公司将积极保持与投资者的沟通交流，传递公司发展战略、经营情况。</w:t>
            </w:r>
          </w:p>
          <w:p w14:paraId="30ECA48A">
            <w:pPr>
              <w:numPr>
                <w:ilvl w:val="0"/>
                <w:numId w:val="1"/>
              </w:numPr>
              <w:adjustRightInd w:val="0"/>
              <w:snapToGrid w:val="0"/>
              <w:spacing w:line="360" w:lineRule="auto"/>
              <w:jc w:val="both"/>
              <w:rPr>
                <w:rFonts w:hint="eastAsia" w:asciiTheme="minorEastAsia" w:hAnsiTheme="minorEastAsia"/>
                <w:b/>
                <w:bCs/>
                <w:sz w:val="24"/>
                <w:szCs w:val="24"/>
                <w:highlight w:val="none"/>
              </w:rPr>
            </w:pPr>
            <w:r>
              <w:rPr>
                <w:rFonts w:hint="eastAsia" w:asciiTheme="minorEastAsia" w:hAnsiTheme="minorEastAsia"/>
                <w:b/>
                <w:bCs/>
                <w:sz w:val="24"/>
                <w:szCs w:val="24"/>
                <w:highlight w:val="none"/>
              </w:rPr>
              <w:t>问：公司上半年营收下滑3.11，其中展馆运营收入大幅下降25.15。请问管理层将采取哪些具体举措来稳住展馆运营与会展组织这两大核心主业的利润基本盘？另外，公司寄予厚望的体育赛事业务（如“上马”等），目前距离真正成为支撑公司跨越发展的“第二增长曲线”还有多远？</w:t>
            </w:r>
          </w:p>
          <w:p w14:paraId="0A883EC1">
            <w:pPr>
              <w:numPr>
                <w:ilvl w:val="0"/>
                <w:numId w:val="0"/>
              </w:numPr>
              <w:adjustRightInd w:val="0"/>
              <w:snapToGrid w:val="0"/>
              <w:spacing w:line="360" w:lineRule="auto"/>
              <w:jc w:val="both"/>
              <w:rPr>
                <w:rFonts w:hint="eastAsia" w:asciiTheme="minorEastAsia" w:hAnsiTheme="minorEastAsia"/>
                <w:b w:val="0"/>
                <w:bCs w:val="0"/>
                <w:sz w:val="24"/>
                <w:szCs w:val="24"/>
                <w:highlight w:val="none"/>
                <w:lang w:val="en-US" w:eastAsia="zh-CN"/>
              </w:rPr>
            </w:pPr>
            <w:r>
              <w:rPr>
                <w:rFonts w:hint="eastAsia" w:asciiTheme="minorEastAsia" w:hAnsiTheme="minorEastAsia"/>
                <w:b/>
                <w:bCs/>
                <w:sz w:val="24"/>
                <w:szCs w:val="24"/>
                <w:highlight w:val="none"/>
              </w:rPr>
              <w:t>答：</w:t>
            </w:r>
            <w:r>
              <w:rPr>
                <w:rFonts w:hint="eastAsia" w:asciiTheme="minorEastAsia" w:hAnsiTheme="minorEastAsia"/>
                <w:b w:val="0"/>
                <w:bCs w:val="0"/>
                <w:sz w:val="24"/>
                <w:szCs w:val="24"/>
                <w:highlight w:val="none"/>
              </w:rPr>
              <w:t>受市场环境影响，及主办公司业务调整等因素影响，公司展馆出租水平有所下降，但公司正围绕展馆场地租赁、现场运营和配套服务开展市场拓展，持续优化项目结构和客户服务，并以上海世博展览馆为核心推进“1+N”展馆运营布局。同时，公司创新打造“STATIONX·喵生博物馆”特展项目，希望通过引入多元活动内容，进一步拓展展馆非传统展览业务，提升场馆空间的综合利用水平。会展组织方面，公司持续推进会展项目专业化、品牌化和国际化运营，围绕服务国家战略、促进产业发展和满足市场需求，做强重点品牌项目，培育专业展会和新兴项目。体育板块作为公司未来发展的重要赛道之一，将以上马加入大满贯为契机，加快构建全链条体育产业体系，拓展体育场馆运营、体育展会、数字体育、体育旅游等业务。</w:t>
            </w:r>
          </w:p>
          <w:p w14:paraId="6E14E1E9">
            <w:pPr>
              <w:numPr>
                <w:ilvl w:val="0"/>
                <w:numId w:val="1"/>
              </w:numPr>
              <w:adjustRightInd w:val="0"/>
              <w:snapToGrid w:val="0"/>
              <w:spacing w:line="360" w:lineRule="auto"/>
              <w:ind w:left="0" w:leftChars="0" w:firstLine="0" w:firstLineChars="0"/>
              <w:jc w:val="both"/>
              <w:rPr>
                <w:rFonts w:hint="eastAsia" w:asciiTheme="minorEastAsia" w:hAnsiTheme="minorEastAsia"/>
                <w:b/>
                <w:bCs/>
                <w:sz w:val="24"/>
                <w:szCs w:val="24"/>
                <w:highlight w:val="none"/>
              </w:rPr>
            </w:pPr>
            <w:r>
              <w:rPr>
                <w:rFonts w:hint="eastAsia" w:asciiTheme="minorEastAsia" w:hAnsiTheme="minorEastAsia"/>
                <w:b/>
                <w:bCs/>
                <w:sz w:val="24"/>
                <w:szCs w:val="24"/>
                <w:highlight w:val="none"/>
                <w:lang w:val="en-US" w:eastAsia="zh-CN"/>
              </w:rPr>
              <w:t>问：</w:t>
            </w:r>
            <w:r>
              <w:rPr>
                <w:rFonts w:hint="eastAsia" w:asciiTheme="minorEastAsia" w:hAnsiTheme="minorEastAsia"/>
                <w:b/>
                <w:bCs/>
                <w:sz w:val="24"/>
                <w:szCs w:val="24"/>
                <w:highlight w:val="none"/>
              </w:rPr>
              <w:t>财报显示，公司上半年经营活动现金流由正转负（-8111万元），且综合毛利率同比下滑了7.32个百分点。请问毛利率的大幅下降主要是受哪些成本因素拖累？同时，期末货币资金较期初骤降49.19，大量资金转向购买理财，请问这是否意味着公司短期内缺乏高回报的实体投资项目？</w:t>
            </w:r>
          </w:p>
          <w:p w14:paraId="4073E0B3">
            <w:pPr>
              <w:numPr>
                <w:ilvl w:val="0"/>
                <w:numId w:val="0"/>
              </w:numPr>
              <w:adjustRightInd w:val="0"/>
              <w:snapToGrid w:val="0"/>
              <w:spacing w:line="360" w:lineRule="auto"/>
              <w:ind w:leftChars="0"/>
              <w:jc w:val="both"/>
              <w:rPr>
                <w:rFonts w:hint="eastAsia" w:eastAsia="宋体" w:asciiTheme="minorEastAsia" w:hAnsiTheme="minorEastAsia"/>
                <w:b/>
                <w:bCs/>
                <w:sz w:val="24"/>
                <w:szCs w:val="24"/>
                <w:highlight w:val="none"/>
                <w:lang w:val="en-US" w:eastAsia="zh-CN"/>
              </w:rPr>
            </w:pPr>
            <w:r>
              <w:rPr>
                <w:rFonts w:hint="eastAsia" w:asciiTheme="minorEastAsia" w:hAnsiTheme="minorEastAsia"/>
                <w:b/>
                <w:bCs/>
                <w:sz w:val="24"/>
                <w:szCs w:val="24"/>
                <w:highlight w:val="none"/>
                <w:lang w:val="en-US" w:eastAsia="zh-CN"/>
              </w:rPr>
              <w:t>答：</w:t>
            </w:r>
            <w:r>
              <w:rPr>
                <w:rFonts w:hint="eastAsia" w:asciiTheme="minorEastAsia" w:hAnsiTheme="minorEastAsia"/>
                <w:b w:val="0"/>
                <w:bCs w:val="0"/>
                <w:sz w:val="24"/>
                <w:szCs w:val="24"/>
                <w:highlight w:val="none"/>
                <w:lang w:val="en-US" w:eastAsia="zh-CN"/>
              </w:rPr>
              <w:t>随着会展行业竞争持续加剧，上半年公司展馆运营业务承接的展会数量同比减少，展馆出租率相应下滑；会展组织业务中个别展会项目面临较大竞争压力，实际运营效果未达预期，收益贡献有所减弱，导致综合毛利率同比下降。期末货币资金较期初骤降的主要原因是2025年末理财类产品集中赎回导致货币资金余额较大，公司货币资金情况总体较为平稳。</w:t>
            </w:r>
          </w:p>
          <w:p w14:paraId="1A4B0F06">
            <w:pPr>
              <w:numPr>
                <w:ilvl w:val="0"/>
                <w:numId w:val="1"/>
              </w:numPr>
              <w:adjustRightInd w:val="0"/>
              <w:snapToGrid w:val="0"/>
              <w:spacing w:line="360" w:lineRule="auto"/>
              <w:ind w:left="0" w:leftChars="0" w:firstLine="0" w:firstLineChars="0"/>
              <w:jc w:val="both"/>
              <w:rPr>
                <w:rFonts w:hint="eastAsia" w:asciiTheme="minorEastAsia" w:hAnsiTheme="minorEastAsia"/>
                <w:b/>
                <w:bCs/>
                <w:sz w:val="24"/>
                <w:szCs w:val="24"/>
                <w:highlight w:val="none"/>
              </w:rPr>
            </w:pPr>
            <w:r>
              <w:rPr>
                <w:rFonts w:hint="eastAsia" w:asciiTheme="minorEastAsia" w:hAnsiTheme="minorEastAsia"/>
                <w:b/>
                <w:bCs/>
                <w:sz w:val="24"/>
                <w:szCs w:val="24"/>
                <w:highlight w:val="none"/>
              </w:rPr>
              <w:t>问：公司上半年销售费用同比大增31.95，但展馆运营收入却大幅下滑。请问在行业竞争加剧、项目质量比拼提升的背景下，公司如何确保营销投入能转化为实际的营收和利润？另外，公司正积极布局国际化（如香港子公司及海外展会），这些出海项目预计何时能为公司贡献实质性的业绩增量？</w:t>
            </w:r>
          </w:p>
          <w:p w14:paraId="531C4FFC">
            <w:pPr>
              <w:numPr>
                <w:ilvl w:val="0"/>
                <w:numId w:val="0"/>
              </w:numPr>
              <w:adjustRightInd w:val="0"/>
              <w:snapToGrid w:val="0"/>
              <w:spacing w:line="360" w:lineRule="auto"/>
              <w:ind w:leftChars="0"/>
              <w:jc w:val="both"/>
              <w:rPr>
                <w:rFonts w:hint="eastAsia" w:asciiTheme="minorEastAsia" w:hAnsiTheme="minorEastAsia"/>
                <w:b w:val="0"/>
                <w:bCs w:val="0"/>
                <w:sz w:val="24"/>
                <w:szCs w:val="24"/>
                <w:highlight w:val="none"/>
              </w:rPr>
            </w:pPr>
            <w:r>
              <w:rPr>
                <w:rFonts w:hint="eastAsia" w:asciiTheme="minorEastAsia" w:hAnsiTheme="minorEastAsia"/>
                <w:b/>
                <w:bCs/>
                <w:sz w:val="24"/>
                <w:szCs w:val="24"/>
                <w:highlight w:val="none"/>
              </w:rPr>
              <w:t>答：</w:t>
            </w:r>
            <w:r>
              <w:rPr>
                <w:rFonts w:hint="eastAsia" w:asciiTheme="minorEastAsia" w:hAnsiTheme="minorEastAsia"/>
                <w:b w:val="0"/>
                <w:bCs w:val="0"/>
                <w:sz w:val="24"/>
                <w:szCs w:val="24"/>
                <w:highlight w:val="none"/>
              </w:rPr>
              <w:t>公司业务涵盖展览组</w:t>
            </w:r>
            <w:bookmarkStart w:id="0" w:name="_GoBack"/>
            <w:bookmarkEnd w:id="0"/>
            <w:r>
              <w:rPr>
                <w:rFonts w:hint="eastAsia" w:asciiTheme="minorEastAsia" w:hAnsiTheme="minorEastAsia"/>
                <w:b w:val="0"/>
                <w:bCs w:val="0"/>
                <w:sz w:val="24"/>
                <w:szCs w:val="24"/>
                <w:highlight w:val="none"/>
              </w:rPr>
              <w:t>织、展馆运营、体育赛事、会展服务等，虽然展馆运营收入短期出现下滑，但公司将通过战略聚焦、数据驱动、资源协同等举措，进一步夯实业务基础，提升项目能级。国际化方面，香港公司自成立以来，已与6个国家和地区的112家政府机构、行业协会、场馆运营商及企业建立联系，初步构建覆盖东南亚及亚太主要会展市场的合作网络，为公司链接国际资源、推动品牌出海提供平台支撑，为将来的业务增长奠定基础。</w:t>
            </w:r>
          </w:p>
          <w:p w14:paraId="7BFD9300">
            <w:pPr>
              <w:numPr>
                <w:ilvl w:val="0"/>
                <w:numId w:val="1"/>
              </w:numPr>
              <w:adjustRightInd w:val="0"/>
              <w:snapToGrid w:val="0"/>
              <w:spacing w:line="360" w:lineRule="auto"/>
              <w:ind w:left="0" w:leftChars="0" w:firstLine="0" w:firstLineChars="0"/>
              <w:jc w:val="both"/>
              <w:rPr>
                <w:rFonts w:hint="eastAsia" w:asciiTheme="minorEastAsia" w:hAnsiTheme="minorEastAsia"/>
                <w:b/>
                <w:bCs/>
                <w:sz w:val="24"/>
                <w:szCs w:val="24"/>
                <w:highlight w:val="none"/>
              </w:rPr>
            </w:pPr>
            <w:r>
              <w:rPr>
                <w:rFonts w:hint="eastAsia" w:asciiTheme="minorEastAsia" w:hAnsiTheme="minorEastAsia"/>
                <w:b/>
                <w:bCs/>
                <w:sz w:val="24"/>
                <w:szCs w:val="24"/>
                <w:highlight w:val="none"/>
              </w:rPr>
              <w:t>问：公司2025年度现金分红比例高达66.70，但2026年上半年归母净利润骤降近七成。在核心主业盈利能力明显承压、扣非净利润大幅下滑的背景下，独立董事层面是如何权衡“高比例分红承诺”与“公司核心业务盈利能力承压”之间的平衡的？这种高分红政策在未来两年的可持续性是否有充分保障？</w:t>
            </w:r>
          </w:p>
          <w:p w14:paraId="3393CC99">
            <w:pPr>
              <w:numPr>
                <w:ilvl w:val="0"/>
                <w:numId w:val="0"/>
              </w:numPr>
              <w:adjustRightInd w:val="0"/>
              <w:snapToGrid w:val="0"/>
              <w:spacing w:line="360" w:lineRule="auto"/>
              <w:jc w:val="both"/>
              <w:rPr>
                <w:rFonts w:hint="default" w:asciiTheme="minorEastAsia" w:hAnsiTheme="minorEastAsia"/>
                <w:b/>
                <w:bCs/>
                <w:sz w:val="24"/>
                <w:szCs w:val="24"/>
                <w:highlight w:val="none"/>
                <w:lang w:val="en-US" w:eastAsia="zh-CN"/>
              </w:rPr>
            </w:pPr>
            <w:r>
              <w:rPr>
                <w:rFonts w:hint="eastAsia" w:asciiTheme="minorEastAsia" w:hAnsiTheme="minorEastAsia"/>
                <w:b/>
                <w:bCs/>
                <w:sz w:val="24"/>
                <w:szCs w:val="24"/>
                <w:highlight w:val="none"/>
              </w:rPr>
              <w:t>答：</w:t>
            </w:r>
            <w:r>
              <w:rPr>
                <w:rFonts w:hint="eastAsia" w:asciiTheme="minorEastAsia" w:hAnsiTheme="minorEastAsia"/>
                <w:b w:val="0"/>
                <w:bCs w:val="0"/>
                <w:sz w:val="24"/>
                <w:szCs w:val="24"/>
                <w:highlight w:val="none"/>
              </w:rPr>
              <w:t>公司上半年的经营业绩虽然承压，但纵观全年，各项业务还是具备较强的稳定性，且公司未分配利润及现金流相对充沛，具备可持续分红的条件。公司高度重视投资者回报，已连续多年现金分红比例超50%，制定并披露了《公司未来三年股东回报规划（2025—2027年）》，明确规划期内每年以现金方式分配的利润原则上不低于当年实现的可分配利润的50%，公司2025年度现金分红比例为66.70%，2026年中期分红比例为83.36%，且已完成实施派发。</w:t>
            </w:r>
          </w:p>
        </w:tc>
      </w:tr>
      <w:tr w14:paraId="462B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trPr>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0360A5AB">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heme="minorEastAsia" w:hAnsiTheme="minorEastAsia" w:eastAsiaTheme="minorEastAsia"/>
                <w:bCs/>
                <w:iCs/>
                <w:color w:val="000000"/>
                <w:sz w:val="24"/>
                <w:szCs w:val="24"/>
              </w:rPr>
            </w:pPr>
            <w:r>
              <w:rPr>
                <w:rFonts w:hint="eastAsia" w:asciiTheme="minorEastAsia" w:hAnsiTheme="minorEastAsia" w:eastAsiaTheme="minorEastAsia"/>
                <w:bCs/>
                <w:iCs/>
                <w:color w:val="000000"/>
                <w:sz w:val="24"/>
                <w:szCs w:val="24"/>
              </w:rPr>
              <w:t>关于本次活动是否涉及应披露重大信息的说明</w:t>
            </w:r>
          </w:p>
        </w:tc>
        <w:tc>
          <w:tcPr>
            <w:tcW w:w="6458" w:type="dxa"/>
            <w:tcBorders>
              <w:top w:val="single" w:color="auto" w:sz="4" w:space="0"/>
              <w:left w:val="single" w:color="auto" w:sz="4" w:space="0"/>
              <w:bottom w:val="single" w:color="auto" w:sz="4" w:space="0"/>
              <w:right w:val="single" w:color="auto" w:sz="4" w:space="0"/>
            </w:tcBorders>
            <w:shd w:val="clear" w:color="auto" w:fill="auto"/>
            <w:vAlign w:val="center"/>
          </w:tcPr>
          <w:p w14:paraId="2DC05289">
            <w:pPr>
              <w:adjustRightInd w:val="0"/>
              <w:snapToGrid w:val="0"/>
              <w:spacing w:line="360" w:lineRule="auto"/>
              <w:rPr>
                <w:rFonts w:asciiTheme="minorEastAsia" w:hAnsiTheme="minorEastAsia" w:eastAsiaTheme="minorEastAsia"/>
                <w:bCs/>
                <w:iCs/>
                <w:color w:val="000000"/>
                <w:sz w:val="24"/>
                <w:szCs w:val="24"/>
              </w:rPr>
            </w:pPr>
            <w:r>
              <w:rPr>
                <w:rFonts w:hint="eastAsia" w:asciiTheme="minorEastAsia" w:hAnsiTheme="minorEastAsia" w:eastAsiaTheme="minorEastAsia"/>
                <w:sz w:val="24"/>
                <w:szCs w:val="24"/>
                <w:lang w:eastAsia="zh-CN"/>
              </w:rPr>
              <w:t>交流</w:t>
            </w:r>
            <w:r>
              <w:rPr>
                <w:rFonts w:hint="eastAsia" w:asciiTheme="minorEastAsia" w:hAnsiTheme="minorEastAsia" w:eastAsiaTheme="minorEastAsia"/>
                <w:sz w:val="24"/>
                <w:szCs w:val="24"/>
              </w:rPr>
              <w:t>过程中，公司严格按照有关制度要求，没有出现未公开重大信息泄露等情况。</w:t>
            </w:r>
          </w:p>
        </w:tc>
      </w:tr>
    </w:tbl>
    <w:p w14:paraId="7E0C2EFC">
      <w:pPr>
        <w:spacing w:line="560" w:lineRule="exact"/>
        <w:rPr>
          <w:rFonts w:ascii="仿宋" w:hAnsi="仿宋" w:eastAsia="仿宋"/>
          <w:color w:val="000000"/>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8FDB0">
    <w:pPr>
      <w:pStyle w:val="4"/>
      <w:jc w:val="center"/>
    </w:pPr>
  </w:p>
  <w:p w14:paraId="18B93EBA">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45433B"/>
    <w:multiLevelType w:val="singleLevel"/>
    <w:tmpl w:val="5045433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5YTIzYjRiNzQyOGIwZjgyOTNlOGVkMzYxMDJlOGUifQ=="/>
  </w:docVars>
  <w:rsids>
    <w:rsidRoot w:val="00534EC7"/>
    <w:rsid w:val="00000760"/>
    <w:rsid w:val="00017330"/>
    <w:rsid w:val="00020FEE"/>
    <w:rsid w:val="00021249"/>
    <w:rsid w:val="000217CC"/>
    <w:rsid w:val="00036C31"/>
    <w:rsid w:val="00040B0B"/>
    <w:rsid w:val="00047460"/>
    <w:rsid w:val="000534FF"/>
    <w:rsid w:val="0005646B"/>
    <w:rsid w:val="000570DC"/>
    <w:rsid w:val="00061133"/>
    <w:rsid w:val="00071393"/>
    <w:rsid w:val="000850E0"/>
    <w:rsid w:val="00090D31"/>
    <w:rsid w:val="0009135D"/>
    <w:rsid w:val="00096403"/>
    <w:rsid w:val="000B616A"/>
    <w:rsid w:val="000B6D71"/>
    <w:rsid w:val="000C0420"/>
    <w:rsid w:val="000C19BA"/>
    <w:rsid w:val="000C4C0C"/>
    <w:rsid w:val="000C52C5"/>
    <w:rsid w:val="000D6EEC"/>
    <w:rsid w:val="000E016E"/>
    <w:rsid w:val="000E03EE"/>
    <w:rsid w:val="000E41FD"/>
    <w:rsid w:val="000E46D1"/>
    <w:rsid w:val="000F3C01"/>
    <w:rsid w:val="00101B6B"/>
    <w:rsid w:val="00101E58"/>
    <w:rsid w:val="001038FD"/>
    <w:rsid w:val="001049D8"/>
    <w:rsid w:val="001224BC"/>
    <w:rsid w:val="00130FB3"/>
    <w:rsid w:val="00133DB5"/>
    <w:rsid w:val="00151D20"/>
    <w:rsid w:val="00155339"/>
    <w:rsid w:val="00157EA2"/>
    <w:rsid w:val="0016222E"/>
    <w:rsid w:val="001641E0"/>
    <w:rsid w:val="00172591"/>
    <w:rsid w:val="00177A98"/>
    <w:rsid w:val="001877B1"/>
    <w:rsid w:val="001D0D0B"/>
    <w:rsid w:val="001E4AF9"/>
    <w:rsid w:val="001F4C14"/>
    <w:rsid w:val="0020392E"/>
    <w:rsid w:val="002339BD"/>
    <w:rsid w:val="002350AC"/>
    <w:rsid w:val="00253294"/>
    <w:rsid w:val="00264E51"/>
    <w:rsid w:val="0029551D"/>
    <w:rsid w:val="00296064"/>
    <w:rsid w:val="00297CCB"/>
    <w:rsid w:val="002C1BE8"/>
    <w:rsid w:val="002C296A"/>
    <w:rsid w:val="002C5F88"/>
    <w:rsid w:val="002D0E08"/>
    <w:rsid w:val="002F2C8D"/>
    <w:rsid w:val="002F2D8C"/>
    <w:rsid w:val="002F4F0B"/>
    <w:rsid w:val="0030167B"/>
    <w:rsid w:val="00310141"/>
    <w:rsid w:val="00320369"/>
    <w:rsid w:val="00322DBA"/>
    <w:rsid w:val="00340453"/>
    <w:rsid w:val="003464F5"/>
    <w:rsid w:val="00347C77"/>
    <w:rsid w:val="00352BCB"/>
    <w:rsid w:val="00376505"/>
    <w:rsid w:val="00376B2F"/>
    <w:rsid w:val="00381E11"/>
    <w:rsid w:val="00385F13"/>
    <w:rsid w:val="00392FE0"/>
    <w:rsid w:val="003A53BB"/>
    <w:rsid w:val="003B0604"/>
    <w:rsid w:val="003B11B2"/>
    <w:rsid w:val="003B11C4"/>
    <w:rsid w:val="003B6D9E"/>
    <w:rsid w:val="003C5681"/>
    <w:rsid w:val="003D0493"/>
    <w:rsid w:val="003D3AF0"/>
    <w:rsid w:val="003D6140"/>
    <w:rsid w:val="003D715F"/>
    <w:rsid w:val="003F0D3D"/>
    <w:rsid w:val="003F1393"/>
    <w:rsid w:val="003F7368"/>
    <w:rsid w:val="003F7511"/>
    <w:rsid w:val="0040048E"/>
    <w:rsid w:val="004026EF"/>
    <w:rsid w:val="00404B8E"/>
    <w:rsid w:val="00404D87"/>
    <w:rsid w:val="00406DCD"/>
    <w:rsid w:val="004146FA"/>
    <w:rsid w:val="0042526C"/>
    <w:rsid w:val="0043137E"/>
    <w:rsid w:val="00436D53"/>
    <w:rsid w:val="00450949"/>
    <w:rsid w:val="00454C50"/>
    <w:rsid w:val="004641D2"/>
    <w:rsid w:val="00465195"/>
    <w:rsid w:val="0046708E"/>
    <w:rsid w:val="00474BFE"/>
    <w:rsid w:val="004758C4"/>
    <w:rsid w:val="004820FB"/>
    <w:rsid w:val="004845FF"/>
    <w:rsid w:val="004951B3"/>
    <w:rsid w:val="004952AC"/>
    <w:rsid w:val="004A2F83"/>
    <w:rsid w:val="004B1627"/>
    <w:rsid w:val="004B1C85"/>
    <w:rsid w:val="004B3739"/>
    <w:rsid w:val="004C12E4"/>
    <w:rsid w:val="004D5D8B"/>
    <w:rsid w:val="004F7080"/>
    <w:rsid w:val="005006EF"/>
    <w:rsid w:val="0050072E"/>
    <w:rsid w:val="0050536A"/>
    <w:rsid w:val="005107BE"/>
    <w:rsid w:val="00511D07"/>
    <w:rsid w:val="005307C1"/>
    <w:rsid w:val="00534EC7"/>
    <w:rsid w:val="00585797"/>
    <w:rsid w:val="00590E90"/>
    <w:rsid w:val="00591585"/>
    <w:rsid w:val="00593BFF"/>
    <w:rsid w:val="00594F2B"/>
    <w:rsid w:val="00595098"/>
    <w:rsid w:val="005B60A9"/>
    <w:rsid w:val="005B71F1"/>
    <w:rsid w:val="005C3518"/>
    <w:rsid w:val="005D5F2D"/>
    <w:rsid w:val="005E236E"/>
    <w:rsid w:val="005E4E09"/>
    <w:rsid w:val="005F15A9"/>
    <w:rsid w:val="005F229B"/>
    <w:rsid w:val="0060389B"/>
    <w:rsid w:val="00612FEE"/>
    <w:rsid w:val="00614381"/>
    <w:rsid w:val="006317A3"/>
    <w:rsid w:val="00643070"/>
    <w:rsid w:val="0064406A"/>
    <w:rsid w:val="006444E7"/>
    <w:rsid w:val="00651303"/>
    <w:rsid w:val="006529B5"/>
    <w:rsid w:val="00653185"/>
    <w:rsid w:val="00655CFE"/>
    <w:rsid w:val="00664B9B"/>
    <w:rsid w:val="00672FE9"/>
    <w:rsid w:val="00681B40"/>
    <w:rsid w:val="00696AAE"/>
    <w:rsid w:val="00697323"/>
    <w:rsid w:val="0069776F"/>
    <w:rsid w:val="006B3ABB"/>
    <w:rsid w:val="006B4337"/>
    <w:rsid w:val="006B78C9"/>
    <w:rsid w:val="006C2A3C"/>
    <w:rsid w:val="006C7957"/>
    <w:rsid w:val="006C7D25"/>
    <w:rsid w:val="006D3B78"/>
    <w:rsid w:val="006D5C12"/>
    <w:rsid w:val="006E359C"/>
    <w:rsid w:val="006F6D59"/>
    <w:rsid w:val="006F7454"/>
    <w:rsid w:val="00700F95"/>
    <w:rsid w:val="00701E0D"/>
    <w:rsid w:val="00714657"/>
    <w:rsid w:val="00717CD8"/>
    <w:rsid w:val="007229E7"/>
    <w:rsid w:val="007259C2"/>
    <w:rsid w:val="00734314"/>
    <w:rsid w:val="00736E19"/>
    <w:rsid w:val="007423AC"/>
    <w:rsid w:val="007459B0"/>
    <w:rsid w:val="00745D47"/>
    <w:rsid w:val="00751CCA"/>
    <w:rsid w:val="00756FD4"/>
    <w:rsid w:val="007602EB"/>
    <w:rsid w:val="00760F70"/>
    <w:rsid w:val="00760F78"/>
    <w:rsid w:val="00764C7B"/>
    <w:rsid w:val="00772232"/>
    <w:rsid w:val="007767AC"/>
    <w:rsid w:val="00782B9A"/>
    <w:rsid w:val="007870FF"/>
    <w:rsid w:val="007954EA"/>
    <w:rsid w:val="007A341F"/>
    <w:rsid w:val="007A438D"/>
    <w:rsid w:val="007A51E5"/>
    <w:rsid w:val="007A56FB"/>
    <w:rsid w:val="007B1D0B"/>
    <w:rsid w:val="007B444F"/>
    <w:rsid w:val="007D2DDF"/>
    <w:rsid w:val="007E480A"/>
    <w:rsid w:val="007E6063"/>
    <w:rsid w:val="007E7E36"/>
    <w:rsid w:val="00803137"/>
    <w:rsid w:val="00814EE5"/>
    <w:rsid w:val="008322D0"/>
    <w:rsid w:val="00832EA1"/>
    <w:rsid w:val="008339E8"/>
    <w:rsid w:val="00834BC5"/>
    <w:rsid w:val="00837906"/>
    <w:rsid w:val="008445DE"/>
    <w:rsid w:val="00855980"/>
    <w:rsid w:val="00856D91"/>
    <w:rsid w:val="008729B5"/>
    <w:rsid w:val="0087479E"/>
    <w:rsid w:val="00877228"/>
    <w:rsid w:val="008840A3"/>
    <w:rsid w:val="00884AD7"/>
    <w:rsid w:val="00886A5F"/>
    <w:rsid w:val="00893217"/>
    <w:rsid w:val="008963C2"/>
    <w:rsid w:val="00897A6D"/>
    <w:rsid w:val="008A0338"/>
    <w:rsid w:val="008A2F7F"/>
    <w:rsid w:val="008A635E"/>
    <w:rsid w:val="008A6560"/>
    <w:rsid w:val="008B10A2"/>
    <w:rsid w:val="008C2201"/>
    <w:rsid w:val="008C2CD5"/>
    <w:rsid w:val="008D0241"/>
    <w:rsid w:val="008D61B4"/>
    <w:rsid w:val="008E25B5"/>
    <w:rsid w:val="008F2FA9"/>
    <w:rsid w:val="00910595"/>
    <w:rsid w:val="009211B2"/>
    <w:rsid w:val="0092649C"/>
    <w:rsid w:val="00934F6B"/>
    <w:rsid w:val="009446A2"/>
    <w:rsid w:val="00961296"/>
    <w:rsid w:val="00967C4A"/>
    <w:rsid w:val="009721D7"/>
    <w:rsid w:val="009748A9"/>
    <w:rsid w:val="00975E41"/>
    <w:rsid w:val="00982812"/>
    <w:rsid w:val="00986B61"/>
    <w:rsid w:val="009875A5"/>
    <w:rsid w:val="009A7A77"/>
    <w:rsid w:val="009B0CE4"/>
    <w:rsid w:val="009B2449"/>
    <w:rsid w:val="009B3750"/>
    <w:rsid w:val="009B5F9C"/>
    <w:rsid w:val="009C7949"/>
    <w:rsid w:val="009D090F"/>
    <w:rsid w:val="009D4ABA"/>
    <w:rsid w:val="009D50AC"/>
    <w:rsid w:val="009D7FF0"/>
    <w:rsid w:val="009F3620"/>
    <w:rsid w:val="00A02E45"/>
    <w:rsid w:val="00A10272"/>
    <w:rsid w:val="00A10B2E"/>
    <w:rsid w:val="00A20B7D"/>
    <w:rsid w:val="00A32446"/>
    <w:rsid w:val="00A40573"/>
    <w:rsid w:val="00A462D8"/>
    <w:rsid w:val="00A5453E"/>
    <w:rsid w:val="00A80829"/>
    <w:rsid w:val="00A91A84"/>
    <w:rsid w:val="00A92284"/>
    <w:rsid w:val="00AA4A7F"/>
    <w:rsid w:val="00AB489B"/>
    <w:rsid w:val="00AB49E7"/>
    <w:rsid w:val="00AB4F12"/>
    <w:rsid w:val="00AB70B2"/>
    <w:rsid w:val="00AC1EFF"/>
    <w:rsid w:val="00AC5C1A"/>
    <w:rsid w:val="00AC6D19"/>
    <w:rsid w:val="00AD1147"/>
    <w:rsid w:val="00AD47A5"/>
    <w:rsid w:val="00AF4B2E"/>
    <w:rsid w:val="00AF7AEF"/>
    <w:rsid w:val="00B04AC2"/>
    <w:rsid w:val="00B15790"/>
    <w:rsid w:val="00B167A3"/>
    <w:rsid w:val="00B23C25"/>
    <w:rsid w:val="00B273EB"/>
    <w:rsid w:val="00B27F9A"/>
    <w:rsid w:val="00B534EF"/>
    <w:rsid w:val="00B614A6"/>
    <w:rsid w:val="00B618D8"/>
    <w:rsid w:val="00B6326B"/>
    <w:rsid w:val="00B756AB"/>
    <w:rsid w:val="00B7749C"/>
    <w:rsid w:val="00B9363C"/>
    <w:rsid w:val="00BB0971"/>
    <w:rsid w:val="00BB28BF"/>
    <w:rsid w:val="00BC2613"/>
    <w:rsid w:val="00BC276E"/>
    <w:rsid w:val="00BC46B8"/>
    <w:rsid w:val="00BD0D22"/>
    <w:rsid w:val="00BD1CE3"/>
    <w:rsid w:val="00BD429E"/>
    <w:rsid w:val="00BD5C43"/>
    <w:rsid w:val="00BE4DEC"/>
    <w:rsid w:val="00BE79CF"/>
    <w:rsid w:val="00BF25FB"/>
    <w:rsid w:val="00C312C2"/>
    <w:rsid w:val="00C369ED"/>
    <w:rsid w:val="00C44FE4"/>
    <w:rsid w:val="00C46976"/>
    <w:rsid w:val="00C52216"/>
    <w:rsid w:val="00C57BD2"/>
    <w:rsid w:val="00C608F8"/>
    <w:rsid w:val="00C72FDC"/>
    <w:rsid w:val="00C826B3"/>
    <w:rsid w:val="00C84FE7"/>
    <w:rsid w:val="00C925D1"/>
    <w:rsid w:val="00C958AE"/>
    <w:rsid w:val="00CA2592"/>
    <w:rsid w:val="00CA4537"/>
    <w:rsid w:val="00CA7701"/>
    <w:rsid w:val="00CB0A79"/>
    <w:rsid w:val="00CB1E33"/>
    <w:rsid w:val="00CB38AE"/>
    <w:rsid w:val="00CB54C8"/>
    <w:rsid w:val="00CB7E82"/>
    <w:rsid w:val="00CC1F6B"/>
    <w:rsid w:val="00CD0875"/>
    <w:rsid w:val="00CD7725"/>
    <w:rsid w:val="00CE547C"/>
    <w:rsid w:val="00CE6C8E"/>
    <w:rsid w:val="00CF09EF"/>
    <w:rsid w:val="00CF24AA"/>
    <w:rsid w:val="00D06009"/>
    <w:rsid w:val="00D104FA"/>
    <w:rsid w:val="00D15ABE"/>
    <w:rsid w:val="00D33C3B"/>
    <w:rsid w:val="00D342D7"/>
    <w:rsid w:val="00D42D1A"/>
    <w:rsid w:val="00D55C69"/>
    <w:rsid w:val="00D5720F"/>
    <w:rsid w:val="00D81B30"/>
    <w:rsid w:val="00D84A00"/>
    <w:rsid w:val="00D95328"/>
    <w:rsid w:val="00DC0D0B"/>
    <w:rsid w:val="00DC3FD9"/>
    <w:rsid w:val="00DC4EF4"/>
    <w:rsid w:val="00DD5F05"/>
    <w:rsid w:val="00DE1C1C"/>
    <w:rsid w:val="00DE3C2E"/>
    <w:rsid w:val="00DE5254"/>
    <w:rsid w:val="00DF669F"/>
    <w:rsid w:val="00E008AE"/>
    <w:rsid w:val="00E4008F"/>
    <w:rsid w:val="00E42879"/>
    <w:rsid w:val="00E50B1C"/>
    <w:rsid w:val="00E515B4"/>
    <w:rsid w:val="00E6640E"/>
    <w:rsid w:val="00E67637"/>
    <w:rsid w:val="00E67E6E"/>
    <w:rsid w:val="00E72347"/>
    <w:rsid w:val="00E73609"/>
    <w:rsid w:val="00E920B5"/>
    <w:rsid w:val="00E93B15"/>
    <w:rsid w:val="00EA47AD"/>
    <w:rsid w:val="00EB0F3A"/>
    <w:rsid w:val="00EB2B16"/>
    <w:rsid w:val="00EB5CDF"/>
    <w:rsid w:val="00EB6DC9"/>
    <w:rsid w:val="00EE681B"/>
    <w:rsid w:val="00EF62A3"/>
    <w:rsid w:val="00F0499A"/>
    <w:rsid w:val="00F17B51"/>
    <w:rsid w:val="00F207DB"/>
    <w:rsid w:val="00F225F9"/>
    <w:rsid w:val="00F22C14"/>
    <w:rsid w:val="00F331BD"/>
    <w:rsid w:val="00F4071F"/>
    <w:rsid w:val="00F4097F"/>
    <w:rsid w:val="00F40C20"/>
    <w:rsid w:val="00F51431"/>
    <w:rsid w:val="00F57F21"/>
    <w:rsid w:val="00F60335"/>
    <w:rsid w:val="00F61C39"/>
    <w:rsid w:val="00F63D93"/>
    <w:rsid w:val="00F706BB"/>
    <w:rsid w:val="00F70E42"/>
    <w:rsid w:val="00F71CF3"/>
    <w:rsid w:val="00F7681B"/>
    <w:rsid w:val="00F85C28"/>
    <w:rsid w:val="00F970A4"/>
    <w:rsid w:val="00F97CC5"/>
    <w:rsid w:val="00FB0856"/>
    <w:rsid w:val="00FB4B4C"/>
    <w:rsid w:val="00FB50E6"/>
    <w:rsid w:val="00FD3711"/>
    <w:rsid w:val="00FE0070"/>
    <w:rsid w:val="00FE2604"/>
    <w:rsid w:val="00FE28FB"/>
    <w:rsid w:val="00FE66FE"/>
    <w:rsid w:val="00FF078A"/>
    <w:rsid w:val="00FF525C"/>
    <w:rsid w:val="00FF6100"/>
    <w:rsid w:val="052A04BE"/>
    <w:rsid w:val="05D62E8D"/>
    <w:rsid w:val="07EE003C"/>
    <w:rsid w:val="08065580"/>
    <w:rsid w:val="09CD35A1"/>
    <w:rsid w:val="0D1E61B9"/>
    <w:rsid w:val="0FC8053D"/>
    <w:rsid w:val="113A653C"/>
    <w:rsid w:val="116C28F7"/>
    <w:rsid w:val="12F24223"/>
    <w:rsid w:val="14784863"/>
    <w:rsid w:val="176E6C49"/>
    <w:rsid w:val="18C5256C"/>
    <w:rsid w:val="1B716F7D"/>
    <w:rsid w:val="1BAF6202"/>
    <w:rsid w:val="1D464944"/>
    <w:rsid w:val="21A62FC3"/>
    <w:rsid w:val="224464F7"/>
    <w:rsid w:val="22A00099"/>
    <w:rsid w:val="23070D42"/>
    <w:rsid w:val="24113884"/>
    <w:rsid w:val="24D65CBF"/>
    <w:rsid w:val="25CA5AB0"/>
    <w:rsid w:val="27A33318"/>
    <w:rsid w:val="286914E7"/>
    <w:rsid w:val="2A44531A"/>
    <w:rsid w:val="2C9F3729"/>
    <w:rsid w:val="2F604A87"/>
    <w:rsid w:val="30ED3EAA"/>
    <w:rsid w:val="3106400D"/>
    <w:rsid w:val="35CA5CBB"/>
    <w:rsid w:val="3A0432EA"/>
    <w:rsid w:val="3DD86A9B"/>
    <w:rsid w:val="3EBD2850"/>
    <w:rsid w:val="40807FA6"/>
    <w:rsid w:val="474C1D1F"/>
    <w:rsid w:val="49AE6809"/>
    <w:rsid w:val="49FB156F"/>
    <w:rsid w:val="4B3B61D9"/>
    <w:rsid w:val="4B8322F0"/>
    <w:rsid w:val="4BEF0B9A"/>
    <w:rsid w:val="50B415EA"/>
    <w:rsid w:val="56DF15AE"/>
    <w:rsid w:val="5BCD2E22"/>
    <w:rsid w:val="5C423F4D"/>
    <w:rsid w:val="5ECE111D"/>
    <w:rsid w:val="60F16C77"/>
    <w:rsid w:val="653A1C66"/>
    <w:rsid w:val="67B912C2"/>
    <w:rsid w:val="687F3E33"/>
    <w:rsid w:val="6925620C"/>
    <w:rsid w:val="6B943E8E"/>
    <w:rsid w:val="6C05256A"/>
    <w:rsid w:val="6C3303D0"/>
    <w:rsid w:val="6CD25AAA"/>
    <w:rsid w:val="6DE16219"/>
    <w:rsid w:val="6E88626E"/>
    <w:rsid w:val="6EE47A54"/>
    <w:rsid w:val="7169742F"/>
    <w:rsid w:val="75103DA4"/>
    <w:rsid w:val="76865380"/>
    <w:rsid w:val="78532FC3"/>
    <w:rsid w:val="7BD209F2"/>
    <w:rsid w:val="7E9E26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rPr>
      <w:szCs w:val="24"/>
    </w:rPr>
  </w:style>
  <w:style w:type="paragraph" w:styleId="3">
    <w:name w:val="Balloon Text"/>
    <w:basedOn w:val="1"/>
    <w:link w:val="14"/>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szCs w:val="20"/>
    </w:r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styleId="10">
    <w:name w:val="annotation reference"/>
    <w:basedOn w:val="8"/>
    <w:semiHidden/>
    <w:unhideWhenUsed/>
    <w:qFormat/>
    <w:uiPriority w:val="99"/>
    <w:rPr>
      <w:sz w:val="21"/>
      <w:szCs w:val="21"/>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批注文字 字符"/>
    <w:basedOn w:val="8"/>
    <w:link w:val="2"/>
    <w:semiHidden/>
    <w:qFormat/>
    <w:uiPriority w:val="99"/>
    <w:rPr>
      <w:rFonts w:ascii="Times New Roman" w:hAnsi="Times New Roman" w:eastAsia="宋体" w:cs="Times New Roman"/>
      <w:szCs w:val="24"/>
    </w:rPr>
  </w:style>
  <w:style w:type="character" w:customStyle="1" w:styleId="14">
    <w:name w:val="批注框文本 字符"/>
    <w:basedOn w:val="8"/>
    <w:link w:val="3"/>
    <w:semiHidden/>
    <w:qFormat/>
    <w:uiPriority w:val="99"/>
    <w:rPr>
      <w:rFonts w:ascii="Times New Roman" w:hAnsi="Times New Roman" w:eastAsia="宋体" w:cs="Times New Roman"/>
      <w:sz w:val="18"/>
      <w:szCs w:val="18"/>
    </w:rPr>
  </w:style>
  <w:style w:type="character" w:customStyle="1" w:styleId="15">
    <w:name w:val="批注主题 字符"/>
    <w:basedOn w:val="13"/>
    <w:link w:val="6"/>
    <w:semiHidden/>
    <w:qFormat/>
    <w:uiPriority w:val="99"/>
    <w:rPr>
      <w:rFonts w:ascii="Times New Roman" w:hAnsi="Times New Roman" w:eastAsia="宋体" w:cs="Times New Roman"/>
      <w:b/>
      <w:bCs/>
      <w:szCs w:val="20"/>
    </w:rPr>
  </w:style>
  <w:style w:type="character" w:customStyle="1" w:styleId="16">
    <w:name w:val="ng-binding"/>
    <w:basedOn w:val="8"/>
    <w:qFormat/>
    <w:uiPriority w:val="0"/>
  </w:style>
  <w:style w:type="paragraph" w:styleId="17">
    <w:name w:val="List Paragraph"/>
    <w:basedOn w:val="1"/>
    <w:qFormat/>
    <w:uiPriority w:val="34"/>
    <w:pPr>
      <w:ind w:firstLine="420" w:firstLineChars="200"/>
    </w:pPr>
  </w:style>
  <w:style w:type="paragraph" w:customStyle="1" w:styleId="18">
    <w:name w:val="Revision"/>
    <w:hidden/>
    <w:semiHidden/>
    <w:qFormat/>
    <w:uiPriority w:val="99"/>
    <w:rPr>
      <w:rFonts w:ascii="Times New Roman" w:hAnsi="Times New Roman" w:eastAsia="宋体" w:cs="Times New Roman"/>
      <w:kern w:val="2"/>
      <w:sz w:val="21"/>
      <w:szCs w:val="20"/>
      <w:lang w:val="en-US" w:eastAsia="zh-CN" w:bidi="ar-SA"/>
    </w:rPr>
  </w:style>
  <w:style w:type="paragraph" w:customStyle="1" w:styleId="1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3345</Words>
  <Characters>3635</Characters>
  <Lines>22</Lines>
  <Paragraphs>6</Paragraphs>
  <TotalTime>2</TotalTime>
  <ScaleCrop>false</ScaleCrop>
  <LinksUpToDate>false</LinksUpToDate>
  <CharactersWithSpaces>3765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2024-09-20T01:53:00Z</dcterms:created>
  <dc:creator>王芳[fwang]</dc:creator>
  <cp:lastModifiedBy>璟璟鱼</cp:lastModifiedBy>
  <dcterms:modified xsi:type="dcterms:W3CDTF">2026-09-16T09:32:49Z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0x0101008A1CD0ACEFB685468ADC9D3ECFE50AA2</vt:lpwstr>
  </property>
  <property fmtid="{D5CDD505-2E9C-101B-9397-08002B2CF9AE}" pid="3" name="KSOProductBuildVer">
    <vt:lpwstr>2052-12.1.0.28505</vt:lpwstr>
  </property>
  <property fmtid="{D5CDD505-2E9C-101B-9397-08002B2CF9AE}" pid="4" name="ICV">
    <vt:lpwstr>4E13203F880742FBAA92742145CC8884_13</vt:lpwstr>
  </property>
  <property fmtid="{D5CDD505-2E9C-101B-9397-08002B2CF9AE}" pid="5" name="KSOTemplateDocerSaveRecord">
    <vt:lpwstr>eyJoZGlkIjoiMTliNTY4Njg3ZGFjOWI5MzM1M2NlZjAyNjJkOWUzOTUiLCJ1c2VySWQiOiI2NzAxODExNTAifQ==</vt:lpwstr>
  </property>
</Properties>
</file>