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2BC95">
      <w:pPr>
        <w:rPr>
          <w:rFonts w:hint="default" w:ascii="Times New Roman" w:hAnsi="Times New Roman" w:eastAsia="宋体" w:cs="Times New Roman"/>
          <w:b/>
          <w:szCs w:val="21"/>
        </w:rPr>
      </w:pPr>
      <w:r>
        <w:rPr>
          <w:rFonts w:hint="default" w:ascii="Times New Roman" w:hAnsi="Times New Roman" w:eastAsia="宋体" w:cs="Times New Roman"/>
          <w:b/>
          <w:szCs w:val="21"/>
        </w:rPr>
        <w:t>证券简称：盟科药业                                             证券代码：688373</w:t>
      </w:r>
    </w:p>
    <w:p w14:paraId="0159A31C">
      <w:pPr>
        <w:rPr>
          <w:rFonts w:hint="eastAsia" w:ascii="华文宋体" w:hAnsi="华文宋体" w:eastAsia="华文宋体"/>
        </w:rPr>
      </w:pPr>
    </w:p>
    <w:p w14:paraId="66D309C3">
      <w:pPr>
        <w:jc w:val="center"/>
        <w:rPr>
          <w:rFonts w:hint="eastAsia" w:ascii="宋体" w:hAnsi="宋体" w:eastAsia="宋体"/>
          <w:b/>
          <w:sz w:val="32"/>
          <w:szCs w:val="32"/>
        </w:rPr>
      </w:pPr>
      <w:r>
        <w:rPr>
          <w:rFonts w:hint="eastAsia" w:ascii="宋体" w:hAnsi="宋体" w:eastAsia="宋体"/>
          <w:b/>
          <w:sz w:val="32"/>
          <w:szCs w:val="32"/>
          <w:lang w:val="en-US" w:eastAsia="zh-CN"/>
        </w:rPr>
        <w:t>上海</w:t>
      </w:r>
      <w:r>
        <w:rPr>
          <w:rFonts w:hint="eastAsia" w:ascii="宋体" w:hAnsi="宋体" w:eastAsia="宋体"/>
          <w:b/>
          <w:sz w:val="32"/>
          <w:szCs w:val="32"/>
        </w:rPr>
        <w:t>盟科药业股份有限公司</w:t>
      </w:r>
    </w:p>
    <w:p w14:paraId="492A7E91">
      <w:pPr>
        <w:jc w:val="center"/>
        <w:rPr>
          <w:rFonts w:hint="eastAsia" w:ascii="宋体" w:hAnsi="宋体" w:eastAsia="宋体"/>
          <w:b/>
          <w:sz w:val="32"/>
          <w:szCs w:val="32"/>
        </w:rPr>
      </w:pPr>
      <w:r>
        <w:rPr>
          <w:rFonts w:hint="eastAsia" w:ascii="宋体" w:hAnsi="宋体" w:eastAsia="宋体"/>
          <w:b/>
          <w:sz w:val="32"/>
          <w:szCs w:val="32"/>
        </w:rPr>
        <w:t>投资者关系活动记录表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1098"/>
        <w:gridCol w:w="7198"/>
      </w:tblGrid>
      <w:tr w14:paraId="2B5B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7E466839">
            <w:pPr>
              <w:snapToGrid w:val="0"/>
              <w:jc w:val="center"/>
              <w:rPr>
                <w:rFonts w:hint="eastAsia" w:ascii="宋体" w:hAnsi="宋体" w:eastAsia="宋体" w:cs="宋体"/>
                <w:szCs w:val="21"/>
              </w:rPr>
            </w:pPr>
            <w:r>
              <w:rPr>
                <w:rFonts w:hint="eastAsia" w:ascii="宋体" w:hAnsi="宋体" w:eastAsia="宋体" w:cs="宋体"/>
                <w:szCs w:val="21"/>
              </w:rPr>
              <w:t>投资者关系活动类别</w:t>
            </w:r>
          </w:p>
        </w:tc>
        <w:tc>
          <w:tcPr>
            <w:tcW w:w="4337" w:type="pct"/>
          </w:tcPr>
          <w:p w14:paraId="6E1953F5">
            <w:pPr>
              <w:snapToGrid w:val="0"/>
              <w:jc w:val="left"/>
              <w:rPr>
                <w:rFonts w:hint="eastAsia" w:ascii="宋体" w:hAnsi="宋体" w:eastAsia="宋体" w:cs="宋体"/>
                <w:szCs w:val="21"/>
              </w:rPr>
            </w:pPr>
            <w:r>
              <w:rPr>
                <w:rFonts w:hint="eastAsia" w:ascii="宋体" w:hAnsi="宋体" w:eastAsia="宋体" w:cs="宋体"/>
                <w:szCs w:val="21"/>
              </w:rPr>
              <w:t xml:space="preserve">□特定对象调研            </w:t>
            </w:r>
            <w:r>
              <w:rPr>
                <w:rFonts w:ascii="宋体" w:hAnsi="宋体" w:eastAsia="宋体" w:cs="宋体"/>
                <w:szCs w:val="21"/>
              </w:rPr>
              <w:t xml:space="preserve"> </w:t>
            </w:r>
            <w:r>
              <w:rPr>
                <w:rFonts w:hint="eastAsia" w:ascii="宋体" w:hAnsi="宋体" w:eastAsia="宋体" w:cs="宋体"/>
                <w:szCs w:val="21"/>
              </w:rPr>
              <w:sym w:font="Wingdings 2" w:char="00A3"/>
            </w:r>
            <w:r>
              <w:rPr>
                <w:rFonts w:hint="eastAsia" w:ascii="宋体" w:hAnsi="宋体" w:eastAsia="宋体" w:cs="宋体"/>
                <w:szCs w:val="21"/>
              </w:rPr>
              <w:t xml:space="preserve">分析师会议 </w:t>
            </w:r>
          </w:p>
          <w:p w14:paraId="5CB6C494">
            <w:pPr>
              <w:snapToGrid w:val="0"/>
              <w:jc w:val="left"/>
              <w:rPr>
                <w:rFonts w:hint="eastAsia" w:ascii="宋体" w:hAnsi="宋体" w:eastAsia="宋体" w:cs="宋体"/>
                <w:szCs w:val="21"/>
              </w:rPr>
            </w:pPr>
            <w:r>
              <w:rPr>
                <w:rFonts w:hint="eastAsia" w:ascii="宋体" w:hAnsi="宋体" w:eastAsia="宋体" w:cs="宋体"/>
                <w:szCs w:val="21"/>
              </w:rPr>
              <w:sym w:font="Wingdings 2" w:char="00A3"/>
            </w:r>
            <w:r>
              <w:rPr>
                <w:rFonts w:hint="eastAsia" w:ascii="宋体" w:hAnsi="宋体" w:eastAsia="宋体" w:cs="宋体"/>
                <w:szCs w:val="21"/>
              </w:rPr>
              <w:t xml:space="preserve">媒体采访                 </w:t>
            </w:r>
            <w:r>
              <w:rPr>
                <w:rFonts w:hint="eastAsia" w:ascii="宋体" w:hAnsi="宋体" w:eastAsia="宋体" w:cs="宋体"/>
                <w:szCs w:val="21"/>
              </w:rPr>
              <w:sym w:font="Wingdings 2" w:char="0052"/>
            </w:r>
            <w:r>
              <w:rPr>
                <w:rFonts w:hint="eastAsia" w:ascii="宋体" w:hAnsi="宋体" w:eastAsia="宋体" w:cs="宋体"/>
                <w:szCs w:val="21"/>
              </w:rPr>
              <w:t xml:space="preserve">业绩说明会 </w:t>
            </w:r>
          </w:p>
          <w:p w14:paraId="6AA0553A">
            <w:pPr>
              <w:snapToGrid w:val="0"/>
              <w:jc w:val="left"/>
              <w:rPr>
                <w:rFonts w:hint="eastAsia" w:ascii="宋体" w:hAnsi="宋体" w:eastAsia="宋体" w:cs="宋体"/>
                <w:szCs w:val="21"/>
              </w:rPr>
            </w:pPr>
            <w:r>
              <w:rPr>
                <w:rFonts w:hint="eastAsia" w:ascii="宋体" w:hAnsi="宋体" w:eastAsia="宋体" w:cs="宋体"/>
                <w:szCs w:val="21"/>
              </w:rPr>
              <w:t xml:space="preserve">□新闻发布会               □现场参观 </w:t>
            </w:r>
          </w:p>
          <w:p w14:paraId="23F28EC1">
            <w:pPr>
              <w:snapToGrid w:val="0"/>
              <w:jc w:val="left"/>
              <w:rPr>
                <w:rFonts w:hint="eastAsia" w:ascii="宋体" w:hAnsi="宋体" w:eastAsia="宋体" w:cs="宋体"/>
                <w:szCs w:val="21"/>
              </w:rPr>
            </w:pPr>
            <w:r>
              <w:rPr>
                <w:rFonts w:hint="eastAsia" w:ascii="宋体" w:hAnsi="宋体" w:eastAsia="宋体" w:cs="宋体"/>
                <w:szCs w:val="21"/>
              </w:rPr>
              <w:t xml:space="preserve">□路演活动                 </w:t>
            </w:r>
            <w:r>
              <w:rPr>
                <w:rFonts w:hint="eastAsia" w:ascii="宋体" w:hAnsi="宋体" w:eastAsia="宋体" w:cs="宋体"/>
                <w:szCs w:val="21"/>
              </w:rPr>
              <w:sym w:font="Wingdings 2" w:char="00A3"/>
            </w:r>
            <w:r>
              <w:rPr>
                <w:rFonts w:hint="eastAsia" w:ascii="宋体" w:hAnsi="宋体" w:eastAsia="宋体" w:cs="宋体"/>
                <w:szCs w:val="21"/>
              </w:rPr>
              <w:t>其他</w:t>
            </w:r>
          </w:p>
        </w:tc>
      </w:tr>
      <w:tr w14:paraId="5670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6693A2F9">
            <w:pPr>
              <w:snapToGrid w:val="0"/>
              <w:jc w:val="center"/>
              <w:rPr>
                <w:rFonts w:hint="eastAsia" w:ascii="宋体" w:hAnsi="宋体" w:eastAsia="宋体" w:cs="宋体"/>
                <w:szCs w:val="21"/>
              </w:rPr>
            </w:pPr>
            <w:r>
              <w:rPr>
                <w:rFonts w:hint="eastAsia" w:ascii="宋体" w:hAnsi="宋体" w:eastAsia="宋体" w:cs="宋体"/>
                <w:szCs w:val="21"/>
              </w:rPr>
              <w:t>形式</w:t>
            </w:r>
          </w:p>
        </w:tc>
        <w:tc>
          <w:tcPr>
            <w:tcW w:w="4337" w:type="pct"/>
          </w:tcPr>
          <w:p w14:paraId="48E00D70">
            <w:pPr>
              <w:snapToGrid w:val="0"/>
              <w:jc w:val="left"/>
              <w:rPr>
                <w:rFonts w:hint="eastAsia" w:ascii="宋体" w:hAnsi="宋体" w:eastAsia="宋体" w:cs="宋体"/>
                <w:szCs w:val="21"/>
              </w:rPr>
            </w:pPr>
            <w:r>
              <w:rPr>
                <w:rFonts w:hint="eastAsia" w:ascii="宋体" w:hAnsi="宋体" w:eastAsia="宋体" w:cs="宋体"/>
                <w:szCs w:val="21"/>
              </w:rPr>
              <w:t xml:space="preserve">□现场     </w:t>
            </w:r>
            <w:r>
              <w:rPr>
                <w:rFonts w:hint="eastAsia" w:ascii="宋体" w:hAnsi="宋体" w:eastAsia="宋体" w:cs="宋体"/>
                <w:szCs w:val="21"/>
              </w:rPr>
              <w:sym w:font="Wingdings 2" w:char="0052"/>
            </w:r>
            <w:r>
              <w:rPr>
                <w:rFonts w:hint="eastAsia" w:ascii="宋体" w:hAnsi="宋体" w:eastAsia="宋体" w:cs="宋体"/>
                <w:szCs w:val="21"/>
              </w:rPr>
              <w:t xml:space="preserve">网上    </w:t>
            </w:r>
            <w:r>
              <w:rPr>
                <w:rFonts w:hint="eastAsia" w:ascii="宋体" w:hAnsi="宋体" w:eastAsia="宋体" w:cs="宋体"/>
                <w:szCs w:val="21"/>
              </w:rPr>
              <w:sym w:font="Wingdings 2" w:char="00A3"/>
            </w:r>
            <w:r>
              <w:rPr>
                <w:rFonts w:hint="eastAsia" w:ascii="宋体" w:hAnsi="宋体" w:eastAsia="宋体" w:cs="宋体"/>
                <w:szCs w:val="21"/>
              </w:rPr>
              <w:t>电话会议</w:t>
            </w:r>
          </w:p>
        </w:tc>
      </w:tr>
      <w:tr w14:paraId="3919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2F267F35">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参与单位名称</w:t>
            </w:r>
          </w:p>
        </w:tc>
        <w:tc>
          <w:tcPr>
            <w:tcW w:w="4337" w:type="pct"/>
            <w:vAlign w:val="center"/>
          </w:tcPr>
          <w:p w14:paraId="72EAE9D2">
            <w:pPr>
              <w:widowControl/>
              <w:snapToGrid w:val="0"/>
              <w:jc w:val="left"/>
              <w:textAlignment w:val="bottom"/>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 w:val="22"/>
              </w:rPr>
              <w:t>参与</w:t>
            </w:r>
            <w:r>
              <w:rPr>
                <w:rFonts w:hint="eastAsia" w:ascii="Times New Roman" w:hAnsi="Times New Roman" w:eastAsia="宋体" w:cs="Times New Roman"/>
                <w:color w:val="000000"/>
                <w:kern w:val="0"/>
                <w:sz w:val="22"/>
                <w:lang w:val="en-US" w:eastAsia="zh-CN"/>
              </w:rPr>
              <w:t>公司召开的</w:t>
            </w:r>
            <w:r>
              <w:rPr>
                <w:rFonts w:hint="default" w:ascii="Times New Roman" w:hAnsi="Times New Roman" w:eastAsia="宋体" w:cs="Times New Roman"/>
                <w:color w:val="000000"/>
                <w:kern w:val="0"/>
                <w:sz w:val="22"/>
                <w:lang w:val="en-US" w:eastAsia="zh-CN"/>
              </w:rPr>
              <w:t>202</w:t>
            </w:r>
            <w:r>
              <w:rPr>
                <w:rFonts w:hint="eastAsia" w:ascii="Times New Roman" w:hAnsi="Times New Roman" w:eastAsia="宋体" w:cs="Times New Roman"/>
                <w:color w:val="000000"/>
                <w:kern w:val="0"/>
                <w:sz w:val="22"/>
                <w:lang w:val="en-US" w:eastAsia="zh-CN"/>
              </w:rPr>
              <w:t>6</w:t>
            </w:r>
            <w:r>
              <w:rPr>
                <w:rFonts w:hint="default" w:ascii="Times New Roman" w:hAnsi="Times New Roman" w:eastAsia="宋体" w:cs="Times New Roman"/>
                <w:color w:val="000000"/>
                <w:kern w:val="0"/>
                <w:sz w:val="22"/>
                <w:lang w:val="en-US" w:eastAsia="zh-CN"/>
              </w:rPr>
              <w:t>年</w:t>
            </w:r>
            <w:r>
              <w:rPr>
                <w:rFonts w:hint="eastAsia" w:ascii="Times New Roman" w:hAnsi="Times New Roman" w:eastAsia="宋体" w:cs="Times New Roman"/>
                <w:color w:val="000000"/>
                <w:kern w:val="0"/>
                <w:sz w:val="22"/>
                <w:lang w:val="en-US" w:eastAsia="zh-CN"/>
              </w:rPr>
              <w:t>半年</w:t>
            </w:r>
            <w:r>
              <w:rPr>
                <w:rFonts w:hint="default" w:ascii="Times New Roman" w:hAnsi="Times New Roman" w:eastAsia="宋体" w:cs="Times New Roman"/>
                <w:color w:val="000000"/>
                <w:kern w:val="0"/>
                <w:sz w:val="22"/>
                <w:lang w:val="en-US" w:eastAsia="zh-CN"/>
              </w:rPr>
              <w:t>度</w:t>
            </w:r>
            <w:r>
              <w:rPr>
                <w:rFonts w:hint="eastAsia" w:ascii="Times New Roman" w:hAnsi="Times New Roman" w:eastAsia="宋体" w:cs="Times New Roman"/>
                <w:color w:val="000000"/>
                <w:kern w:val="0"/>
                <w:sz w:val="22"/>
                <w:lang w:val="en-US" w:eastAsia="zh-CN"/>
              </w:rPr>
              <w:t>科创板创新药</w:t>
            </w:r>
            <w:r>
              <w:rPr>
                <w:rFonts w:hint="default" w:ascii="Times New Roman" w:hAnsi="Times New Roman" w:eastAsia="宋体" w:cs="Times New Roman"/>
                <w:color w:val="000000"/>
                <w:kern w:val="0"/>
                <w:sz w:val="22"/>
                <w:lang w:val="en-US" w:eastAsia="zh-CN"/>
              </w:rPr>
              <w:t>行业集体业绩说明会</w:t>
            </w:r>
            <w:r>
              <w:rPr>
                <w:rFonts w:hint="default" w:ascii="Times New Roman" w:hAnsi="Times New Roman" w:eastAsia="宋体" w:cs="Times New Roman"/>
                <w:color w:val="000000"/>
                <w:kern w:val="0"/>
                <w:sz w:val="22"/>
              </w:rPr>
              <w:t>的投资者</w:t>
            </w:r>
          </w:p>
        </w:tc>
      </w:tr>
      <w:tr w14:paraId="7B62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104BA207">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时间</w:t>
            </w:r>
          </w:p>
        </w:tc>
        <w:tc>
          <w:tcPr>
            <w:tcW w:w="4337" w:type="pct"/>
          </w:tcPr>
          <w:p w14:paraId="4093A662">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202</w:t>
            </w:r>
            <w:r>
              <w:rPr>
                <w:rFonts w:hint="eastAsia" w:ascii="Times New Roman" w:hAnsi="Times New Roman" w:eastAsia="宋体" w:cs="Times New Roman"/>
                <w:szCs w:val="21"/>
                <w:lang w:val="en-US" w:eastAsia="zh-CN"/>
              </w:rPr>
              <w:t>6</w:t>
            </w:r>
            <w:r>
              <w:rPr>
                <w:rFonts w:hint="default" w:ascii="Times New Roman" w:hAnsi="Times New Roman" w:eastAsia="宋体" w:cs="Times New Roman"/>
                <w:szCs w:val="21"/>
              </w:rPr>
              <w:t>年</w:t>
            </w:r>
            <w:r>
              <w:rPr>
                <w:rFonts w:hint="eastAsia" w:ascii="Times New Roman" w:hAnsi="Times New Roman" w:eastAsia="宋体" w:cs="Times New Roman"/>
                <w:szCs w:val="21"/>
                <w:lang w:val="en-US" w:eastAsia="zh-CN"/>
              </w:rPr>
              <w:t>9</w:t>
            </w:r>
            <w:r>
              <w:rPr>
                <w:rFonts w:hint="default" w:ascii="Times New Roman" w:hAnsi="Times New Roman" w:eastAsia="宋体" w:cs="Times New Roman"/>
                <w:szCs w:val="21"/>
              </w:rPr>
              <w:t>月</w:t>
            </w:r>
            <w:r>
              <w:rPr>
                <w:rFonts w:hint="eastAsia" w:ascii="Times New Roman" w:hAnsi="Times New Roman" w:eastAsia="宋体" w:cs="Times New Roman"/>
                <w:szCs w:val="21"/>
                <w:lang w:val="en-US" w:eastAsia="zh-CN"/>
              </w:rPr>
              <w:t>16</w:t>
            </w:r>
            <w:r>
              <w:rPr>
                <w:rFonts w:hint="default" w:ascii="Times New Roman" w:hAnsi="Times New Roman" w:eastAsia="宋体" w:cs="Times New Roman"/>
                <w:szCs w:val="21"/>
              </w:rPr>
              <w:t>日</w:t>
            </w:r>
          </w:p>
        </w:tc>
      </w:tr>
      <w:tr w14:paraId="3C9D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188B6BC3">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地点</w:t>
            </w:r>
          </w:p>
        </w:tc>
        <w:tc>
          <w:tcPr>
            <w:tcW w:w="4337" w:type="pct"/>
          </w:tcPr>
          <w:p w14:paraId="37B1D74E">
            <w:pPr>
              <w:snapToGrid w:val="0"/>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 w:val="22"/>
              </w:rPr>
              <w:t>上海证券交易所上证路演中心（http://roadshow.sseinfo.com）</w:t>
            </w:r>
          </w:p>
        </w:tc>
      </w:tr>
      <w:tr w14:paraId="706F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05F92AFB">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上市公司接待人员姓名</w:t>
            </w:r>
          </w:p>
        </w:tc>
        <w:tc>
          <w:tcPr>
            <w:tcW w:w="4337" w:type="pct"/>
            <w:vAlign w:val="center"/>
          </w:tcPr>
          <w:p w14:paraId="42F29CA0">
            <w:pPr>
              <w:widowControl/>
              <w:snapToGrid w:val="0"/>
              <w:jc w:val="center"/>
              <w:textAlignment w:val="bottom"/>
              <w:rPr>
                <w:rFonts w:hint="default" w:ascii="Times New Roman" w:hAnsi="Times New Roman" w:eastAsia="宋体" w:cs="Times New Roman"/>
                <w:color w:val="000000"/>
                <w:kern w:val="0"/>
                <w:szCs w:val="21"/>
                <w:lang w:val="en-US" w:eastAsia="zh-CN"/>
              </w:rPr>
            </w:pPr>
            <w:r>
              <w:rPr>
                <w:rFonts w:hint="eastAsia" w:ascii="Times New Roman" w:hAnsi="Times New Roman" w:eastAsia="宋体" w:cs="Times New Roman"/>
                <w:color w:val="000000"/>
                <w:kern w:val="0"/>
                <w:szCs w:val="21"/>
                <w:lang w:val="en-US" w:eastAsia="zh-CN"/>
              </w:rPr>
              <w:t>公司管理层</w:t>
            </w:r>
          </w:p>
        </w:tc>
      </w:tr>
      <w:tr w14:paraId="10D6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003C7C07">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投资者关系活动主要内容介绍</w:t>
            </w:r>
          </w:p>
        </w:tc>
        <w:tc>
          <w:tcPr>
            <w:tcW w:w="4337" w:type="pct"/>
          </w:tcPr>
          <w:p w14:paraId="05A032B1">
            <w:pPr>
              <w:keepNext w:val="0"/>
              <w:keepLines w:val="0"/>
              <w:pageBreakBefore w:val="0"/>
              <w:widowControl w:val="0"/>
              <w:numPr>
                <w:ilvl w:val="0"/>
                <w:numId w:val="1"/>
              </w:numPr>
              <w:kinsoku/>
              <w:wordWrap/>
              <w:overflowPunct/>
              <w:topLinePunct w:val="0"/>
              <w:autoSpaceDE/>
              <w:autoSpaceDN/>
              <w:bidi w:val="0"/>
              <w:adjustRightInd/>
              <w:snapToGrid w:val="0"/>
              <w:spacing w:line="300" w:lineRule="auto"/>
              <w:ind w:left="425" w:leftChars="0" w:hanging="425" w:firstLineChars="0"/>
              <w:textAlignment w:val="auto"/>
              <w:rPr>
                <w:rFonts w:hint="default" w:ascii="Times New Roman" w:hAnsi="Times New Roman" w:eastAsia="宋体" w:cs="Times New Roman"/>
                <w:b/>
                <w:bCs/>
                <w:szCs w:val="21"/>
              </w:rPr>
            </w:pPr>
            <w:r>
              <w:rPr>
                <w:rFonts w:hint="default" w:ascii="Times New Roman" w:hAnsi="Times New Roman" w:eastAsia="宋体" w:cs="Times New Roman"/>
                <w:b/>
                <w:bCs/>
                <w:szCs w:val="21"/>
              </w:rPr>
              <w:t>公司2026年半年度亏损大幅收窄，请问管理层对未来盈利拐点有何规划和预期？</w:t>
            </w:r>
          </w:p>
          <w:p w14:paraId="5C66DA34">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答：尊敬的投资者</w:t>
            </w:r>
            <w:r>
              <w:rPr>
                <w:rFonts w:hint="eastAsia" w:ascii="Times New Roman" w:hAnsi="Times New Roman" w:eastAsia="宋体" w:cs="Times New Roman"/>
                <w:szCs w:val="21"/>
                <w:lang w:eastAsia="zh-CN"/>
              </w:rPr>
              <w:t>，</w:t>
            </w:r>
            <w:r>
              <w:rPr>
                <w:rFonts w:hint="default" w:ascii="Times New Roman" w:hAnsi="Times New Roman" w:eastAsia="宋体" w:cs="Times New Roman"/>
                <w:szCs w:val="21"/>
              </w:rPr>
              <w:t>您好，</w:t>
            </w:r>
          </w:p>
          <w:p w14:paraId="2837A7E1">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2026年上半年，公司净亏损幅度同比收窄。公司会继续聚焦抗耐药菌创新药的核心赛道，并持续优化资源配置，为公司经营业绩的提升持续努力，为各位股东创造长期价值。后续进展公司将严格按照信息披露的相关规则要求，履行信息披露义务，请您持续关注公司后续披露的定期报告情况。</w:t>
            </w:r>
          </w:p>
          <w:p w14:paraId="7539BFED">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感谢您对公司的关注。</w:t>
            </w:r>
          </w:p>
          <w:p w14:paraId="59E7F693">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p w14:paraId="4495043B">
            <w:pPr>
              <w:keepNext w:val="0"/>
              <w:keepLines w:val="0"/>
              <w:pageBreakBefore w:val="0"/>
              <w:widowControl w:val="0"/>
              <w:numPr>
                <w:ilvl w:val="0"/>
                <w:numId w:val="1"/>
              </w:numPr>
              <w:kinsoku/>
              <w:wordWrap/>
              <w:overflowPunct/>
              <w:topLinePunct w:val="0"/>
              <w:autoSpaceDE/>
              <w:autoSpaceDN/>
              <w:bidi w:val="0"/>
              <w:adjustRightInd/>
              <w:snapToGrid w:val="0"/>
              <w:spacing w:line="300" w:lineRule="auto"/>
              <w:ind w:left="425" w:leftChars="0" w:hanging="425" w:firstLineChars="0"/>
              <w:textAlignment w:val="auto"/>
              <w:rPr>
                <w:rFonts w:hint="default" w:ascii="Times New Roman" w:hAnsi="Times New Roman" w:eastAsia="宋体" w:cs="Times New Roman"/>
                <w:b/>
                <w:bCs/>
                <w:szCs w:val="21"/>
              </w:rPr>
            </w:pPr>
            <w:r>
              <w:rPr>
                <w:rFonts w:hint="default" w:ascii="Times New Roman" w:hAnsi="Times New Roman" w:eastAsia="宋体" w:cs="Times New Roman"/>
                <w:b/>
                <w:bCs/>
                <w:szCs w:val="21"/>
              </w:rPr>
              <w:t>当前康替唑胺销售情况如何？其终端进院、处方及渠道拓展情况如何？何时能迎来改善拐点？</w:t>
            </w:r>
          </w:p>
          <w:p w14:paraId="1C31B6FE">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答：尊敬的投资者</w:t>
            </w:r>
            <w:r>
              <w:rPr>
                <w:rFonts w:hint="eastAsia" w:ascii="Times New Roman" w:hAnsi="Times New Roman" w:eastAsia="宋体" w:cs="Times New Roman"/>
                <w:szCs w:val="21"/>
                <w:lang w:eastAsia="zh-CN"/>
              </w:rPr>
              <w:t>，</w:t>
            </w:r>
            <w:r>
              <w:rPr>
                <w:rFonts w:hint="default" w:ascii="Times New Roman" w:hAnsi="Times New Roman" w:eastAsia="宋体" w:cs="Times New Roman"/>
                <w:szCs w:val="21"/>
              </w:rPr>
              <w:t>您好，</w:t>
            </w:r>
          </w:p>
          <w:p w14:paraId="1975AAE7">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截至2026年6月30日，康替唑胺片已覆盖全国793家医院，实现正式准入及批量临采医院已达263家，医院渠道销售占比约为68.7%，药店渠道销售占比约为31.3%。2026年上半年，康替唑胺片的销售业绩稳步增长。公司实现营业收入人民币8,953.00万元，同比增长33.69%，其中，公司实现主营业务收入人民币8,433.77万元，同比增长25.93%。</w:t>
            </w:r>
          </w:p>
          <w:p w14:paraId="75BE9FBB">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eastAsia" w:ascii="Times New Roman" w:hAnsi="Times New Roman" w:eastAsia="宋体" w:cs="Times New Roman"/>
                <w:szCs w:val="21"/>
                <w:lang w:eastAsia="zh-CN"/>
              </w:rPr>
              <w:t>此外，公司的MRX-4产品已提交NDA申请，其获批后公司将增加针剂剂型，进一步拓展公司产品应用场景。未来公司将加快康替唑胺片在儿童用药领域及适应症拓展方面的进度，</w:t>
            </w:r>
            <w:r>
              <w:rPr>
                <w:rFonts w:hint="eastAsia" w:ascii="Times New Roman" w:hAnsi="Times New Roman" w:eastAsia="宋体" w:cs="Times New Roman"/>
                <w:szCs w:val="21"/>
                <w:lang w:val="en-US" w:eastAsia="zh-CN"/>
              </w:rPr>
              <w:t>推</w:t>
            </w:r>
            <w:bookmarkStart w:id="0" w:name="_GoBack"/>
            <w:bookmarkEnd w:id="0"/>
            <w:r>
              <w:rPr>
                <w:rFonts w:hint="eastAsia" w:ascii="Times New Roman" w:hAnsi="Times New Roman" w:eastAsia="宋体" w:cs="Times New Roman"/>
                <w:szCs w:val="21"/>
                <w:lang w:val="en-US" w:eastAsia="zh-CN"/>
              </w:rPr>
              <w:t>进</w:t>
            </w:r>
            <w:r>
              <w:rPr>
                <w:rFonts w:hint="eastAsia" w:ascii="Times New Roman" w:hAnsi="Times New Roman" w:eastAsia="宋体" w:cs="Times New Roman"/>
                <w:szCs w:val="21"/>
                <w:lang w:eastAsia="zh-CN"/>
              </w:rPr>
              <w:t>MRX-4产品上市进程，为产品的持续有效增长蓄能</w:t>
            </w:r>
            <w:r>
              <w:rPr>
                <w:rFonts w:hint="default" w:ascii="Times New Roman" w:hAnsi="Times New Roman" w:eastAsia="宋体" w:cs="Times New Roman"/>
                <w:szCs w:val="21"/>
              </w:rPr>
              <w:t>。</w:t>
            </w:r>
          </w:p>
          <w:p w14:paraId="36984B28">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感谢您对公司的关注。</w:t>
            </w:r>
          </w:p>
          <w:p w14:paraId="45572627">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p w14:paraId="0A157014">
            <w:pPr>
              <w:keepNext w:val="0"/>
              <w:keepLines w:val="0"/>
              <w:pageBreakBefore w:val="0"/>
              <w:widowControl w:val="0"/>
              <w:numPr>
                <w:ilvl w:val="0"/>
                <w:numId w:val="1"/>
              </w:numPr>
              <w:kinsoku/>
              <w:wordWrap/>
              <w:overflowPunct/>
              <w:topLinePunct w:val="0"/>
              <w:autoSpaceDE/>
              <w:autoSpaceDN/>
              <w:bidi w:val="0"/>
              <w:adjustRightInd/>
              <w:snapToGrid w:val="0"/>
              <w:spacing w:line="300" w:lineRule="auto"/>
              <w:ind w:left="425" w:leftChars="0" w:hanging="425" w:firstLineChars="0"/>
              <w:textAlignment w:val="auto"/>
              <w:rPr>
                <w:rFonts w:hint="default" w:ascii="Times New Roman" w:hAnsi="Times New Roman" w:eastAsia="宋体" w:cs="Times New Roman"/>
                <w:b/>
                <w:bCs/>
                <w:szCs w:val="21"/>
              </w:rPr>
            </w:pPr>
            <w:r>
              <w:rPr>
                <w:rFonts w:hint="default" w:ascii="Times New Roman" w:hAnsi="Times New Roman" w:eastAsia="宋体" w:cs="Times New Roman"/>
                <w:b/>
                <w:bCs/>
                <w:szCs w:val="21"/>
              </w:rPr>
              <w:t>袁总，您好，通过三季报，可以直观看到公司药品进院销售逐步扩大，亏损逐渐缩小，是否已经可以确定摆脱ST风险？MRX-4针剂年底前能否顺利获批上市？上市后预计每年将为公司带来多少营收？如果恢复进行中的各管线研发与临床实验，公司还需多少资本金？是否会再次启动引入战投？</w:t>
            </w:r>
          </w:p>
          <w:p w14:paraId="4DC5A4CC">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答：尊敬的投资者，您好，</w:t>
            </w:r>
          </w:p>
          <w:p w14:paraId="2525687B">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1）公司2026年上半年实现营业收入约8,953.00万元，同比增长33.69%；归属于上市公司股东的净利润约-3,756.60万元，亏损幅度较上年同期收窄；主要系报告期内公司营业收入增加，同时采取了一系列成本费用管控的措施，进一步提升了整体运营效率。后续进展公司将严格按照信息披露的相关规则要求，履行信息披露义务，请您持续关注公司后续披露的定期报告情况。（2）注射用MRX-4上市许可的审评审批流程正常推进中，根据国家药品注册相关的法律法规要求，新药上市许可申请获得受理后，尚需经过药品临床试验和生产现场检查、技术审评、综合审评和行政审批等环节，该项新药的药品注册批件取得时间和结果均具有不确定性。（3）公司会继续聚焦抗耐药菌创新药的核心赛道，并持续优化资源配置，为公司经营业绩的提升持续努力，为各位股东创造长期价值。后续融资公司将视具体情况进行考虑，并将按照相关监管要求严格履行信息披露义务。</w:t>
            </w:r>
          </w:p>
          <w:p w14:paraId="38C31911">
            <w:pPr>
              <w:keepNext w:val="0"/>
              <w:keepLines w:val="0"/>
              <w:pageBreakBefore w:val="0"/>
              <w:widowControl w:val="0"/>
              <w:numPr>
                <w:ilvl w:val="-1"/>
                <w:numId w:val="0"/>
              </w:numPr>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感谢您对公司的关注。</w:t>
            </w:r>
          </w:p>
          <w:p w14:paraId="5C2E2746">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lang w:val="en-US" w:eastAsia="zh-CN"/>
              </w:rPr>
            </w:pPr>
          </w:p>
          <w:p w14:paraId="0DB67266">
            <w:pPr>
              <w:keepNext w:val="0"/>
              <w:keepLines w:val="0"/>
              <w:pageBreakBefore w:val="0"/>
              <w:widowControl w:val="0"/>
              <w:numPr>
                <w:ilvl w:val="0"/>
                <w:numId w:val="1"/>
              </w:numPr>
              <w:kinsoku/>
              <w:wordWrap/>
              <w:overflowPunct/>
              <w:topLinePunct w:val="0"/>
              <w:autoSpaceDE/>
              <w:autoSpaceDN/>
              <w:bidi w:val="0"/>
              <w:adjustRightInd/>
              <w:snapToGrid w:val="0"/>
              <w:spacing w:line="300" w:lineRule="auto"/>
              <w:ind w:left="425" w:leftChars="0" w:hanging="425" w:firstLineChars="0"/>
              <w:textAlignment w:val="auto"/>
              <w:rPr>
                <w:rFonts w:hint="default" w:ascii="Times New Roman" w:hAnsi="Times New Roman" w:eastAsia="宋体" w:cs="Times New Roman"/>
                <w:b/>
                <w:bCs/>
                <w:szCs w:val="21"/>
              </w:rPr>
            </w:pPr>
            <w:r>
              <w:rPr>
                <w:rFonts w:hint="default" w:ascii="Times New Roman" w:hAnsi="Times New Roman" w:eastAsia="宋体" w:cs="Times New Roman"/>
                <w:b/>
                <w:bCs/>
                <w:szCs w:val="21"/>
              </w:rPr>
              <w:t>注射用康替唑胺（MRX‑4）迟迟未获批，目前审评进度如何？预计何时获批？是否存在审批卡点或补充资料风险？</w:t>
            </w:r>
          </w:p>
          <w:p w14:paraId="7F21C48A">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答：尊敬的投资者</w:t>
            </w:r>
            <w:r>
              <w:rPr>
                <w:rFonts w:hint="eastAsia" w:ascii="Times New Roman" w:hAnsi="Times New Roman" w:eastAsia="宋体" w:cs="Times New Roman"/>
                <w:szCs w:val="21"/>
                <w:lang w:eastAsia="zh-CN"/>
              </w:rPr>
              <w:t>，</w:t>
            </w:r>
            <w:r>
              <w:rPr>
                <w:rFonts w:hint="default" w:ascii="Times New Roman" w:hAnsi="Times New Roman" w:eastAsia="宋体" w:cs="Times New Roman"/>
                <w:szCs w:val="21"/>
              </w:rPr>
              <w:t>您好，</w:t>
            </w:r>
          </w:p>
          <w:p w14:paraId="1509A1B6">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注射用MRX-4用于治疗复杂性皮肤和软组织感染的上市许可申请（NDA）已于2025年5月获国家药监局受理，2026年第一季度已收到审评机构关于该NDA申请的补充资料通知，并已于2026年5月底提交了书面补充资料，待专业审评中。截至</w:t>
            </w:r>
            <w:r>
              <w:rPr>
                <w:rFonts w:hint="eastAsia" w:ascii="Times New Roman" w:hAnsi="Times New Roman" w:eastAsia="宋体" w:cs="Times New Roman"/>
                <w:szCs w:val="21"/>
                <w:lang w:val="en-US" w:eastAsia="zh-CN"/>
              </w:rPr>
              <w:t>2026年6月30日</w:t>
            </w:r>
            <w:r>
              <w:rPr>
                <w:rFonts w:hint="eastAsia" w:ascii="Times New Roman" w:hAnsi="Times New Roman" w:eastAsia="宋体" w:cs="Times New Roman"/>
                <w:szCs w:val="21"/>
                <w:lang w:eastAsia="zh-CN"/>
              </w:rPr>
              <w:t>，注射用MRX-4序贯康替唑胺片治疗糖尿病足感染的国际多中心III期临床试验已获准在中国及海外超20个国家开展，共入组541例患者。</w:t>
            </w:r>
          </w:p>
          <w:p w14:paraId="18CF023E">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eastAsia" w:ascii="Times New Roman" w:hAnsi="Times New Roman" w:eastAsia="宋体" w:cs="Times New Roman"/>
                <w:szCs w:val="21"/>
                <w:lang w:eastAsia="zh-CN"/>
              </w:rPr>
              <w:t>关于该项新药上市许可的审评审批流程正常推进中，根据国家药品注册相关的法律法规要求，新药上市许可申请获得受理后，尚需经过药品临床试验和生产现场检查、技术审评、综合审评和行政审批等环节，该项新药的药品注册批件取得时间和结果均具有不确定性</w:t>
            </w:r>
            <w:r>
              <w:rPr>
                <w:rFonts w:hint="default" w:ascii="Times New Roman" w:hAnsi="Times New Roman" w:eastAsia="宋体" w:cs="Times New Roman"/>
                <w:szCs w:val="21"/>
              </w:rPr>
              <w:t>。</w:t>
            </w:r>
          </w:p>
          <w:p w14:paraId="1B506C1C">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感谢您对公司的关注。</w:t>
            </w:r>
          </w:p>
          <w:p w14:paraId="3C46745D">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p w14:paraId="0B16D313">
            <w:pPr>
              <w:numPr>
                <w:ilvl w:val="0"/>
                <w:numId w:val="1"/>
              </w:numPr>
              <w:snapToGrid w:val="0"/>
              <w:spacing w:line="300" w:lineRule="auto"/>
              <w:ind w:left="425" w:hanging="425" w:firstLineChars="0"/>
              <w:rPr>
                <w:rFonts w:hint="default" w:ascii="Times New Roman" w:hAnsi="Times New Roman" w:eastAsia="宋体" w:cs="Times New Roman"/>
                <w:b/>
                <w:bCs/>
                <w:szCs w:val="21"/>
                <w:lang w:val="en-US" w:eastAsia="zh-CN"/>
              </w:rPr>
            </w:pPr>
            <w:r>
              <w:rPr>
                <w:rFonts w:hint="default" w:ascii="Times New Roman" w:hAnsi="Times New Roman" w:eastAsia="宋体" w:cs="Times New Roman"/>
                <w:b/>
                <w:bCs/>
                <w:i w:val="0"/>
                <w:iCs w:val="0"/>
                <w:caps w:val="0"/>
                <w:spacing w:val="0"/>
                <w:sz w:val="21"/>
                <w:szCs w:val="21"/>
                <w:shd w:val="clear"/>
              </w:rPr>
              <w:t>请问MRX—4是否进行第二次补充材料？为什么迟迟没有获得审批通过？公司预计大约什么时候能通过？</w:t>
            </w:r>
          </w:p>
          <w:p w14:paraId="5DBDC9C0">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答：尊敬的投资者，您好，</w:t>
            </w:r>
          </w:p>
          <w:p w14:paraId="638D6F9B">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注射用MRX-4用于治疗复杂性皮肤和软组织感染的上市许可申请（NDA）已于2025年5月获国家药监局受理，2026年第一季度已收到审评机构关于该NDA申请的补充资料通知，并已于2026年5月底提交了书面补充资料，待专业审评中。关于该项新药上市许可的审评审批流程正常推进中，根据国家药品注册相关的法律法规要求，新药上市许可申请获得受理后，尚需经过药品临床试验和生产现场检查、技术审评、综合审评和行政审批等环节，该项新药的药品注册批件取得时间和结果均具有不确定性。</w:t>
            </w:r>
          </w:p>
          <w:p w14:paraId="2BE682C6">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感谢您对公司的关注。</w:t>
            </w:r>
          </w:p>
          <w:p w14:paraId="207DCB12">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p w14:paraId="3D0A784B">
            <w:pPr>
              <w:keepNext w:val="0"/>
              <w:keepLines w:val="0"/>
              <w:pageBreakBefore w:val="0"/>
              <w:widowControl w:val="0"/>
              <w:numPr>
                <w:ilvl w:val="0"/>
                <w:numId w:val="1"/>
              </w:numPr>
              <w:kinsoku/>
              <w:wordWrap/>
              <w:overflowPunct/>
              <w:topLinePunct w:val="0"/>
              <w:autoSpaceDE/>
              <w:autoSpaceDN/>
              <w:bidi w:val="0"/>
              <w:adjustRightInd/>
              <w:snapToGrid w:val="0"/>
              <w:spacing w:line="300" w:lineRule="auto"/>
              <w:ind w:left="425" w:leftChars="0" w:hanging="425" w:firstLineChars="0"/>
              <w:textAlignment w:val="auto"/>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公司</w:t>
            </w:r>
            <w:r>
              <w:rPr>
                <w:rFonts w:hint="default" w:ascii="Times New Roman" w:hAnsi="Times New Roman" w:eastAsia="宋体" w:cs="Times New Roman"/>
                <w:b/>
                <w:bCs/>
                <w:szCs w:val="21"/>
              </w:rPr>
              <w:t>什么时候能把U去掉？带U有损公司形象。公司董事会如何考虑？</w:t>
            </w:r>
          </w:p>
          <w:p w14:paraId="06509966">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答：尊敬的投资者</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您好，</w:t>
            </w:r>
          </w:p>
          <w:p w14:paraId="67471D19">
            <w:pPr>
              <w:snapToGrid w:val="0"/>
              <w:spacing w:line="300" w:lineRule="auto"/>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公司始终重视企业形象管理，未来将不断优化公司治理、提高信息披露透明度、加强与投资者沟通交流、保障股东权益等，助推公司实现稳定长远发展。同时，公司将继续努力夯实业绩基础，通过增加收入、控制成本等手段持续改善公司的经营业绩情况。</w:t>
            </w:r>
          </w:p>
          <w:p w14:paraId="75BAE392">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感谢您对公司的关注。</w:t>
            </w:r>
          </w:p>
          <w:p w14:paraId="33107EB1">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p w14:paraId="241FA778">
            <w:pPr>
              <w:numPr>
                <w:ilvl w:val="0"/>
                <w:numId w:val="1"/>
              </w:numPr>
              <w:snapToGrid w:val="0"/>
              <w:spacing w:line="300" w:lineRule="auto"/>
              <w:ind w:left="425" w:hanging="425" w:firstLineChars="0"/>
              <w:rPr>
                <w:rFonts w:hint="eastAsia"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尊敬的袁总，您好。我想就注射用MRX-4序贯康替唑胺片用于糖尿病足感染（DFI）的海外III期临床试验进展，向您正式请教以下几个问题：海外III 期试验中途下调入组样本，FDA 美国 NDA 申报上市会存在什么样的风险？以上问题，恳请袁总予以说明。谢谢。</w:t>
            </w:r>
          </w:p>
          <w:p w14:paraId="18329EC2">
            <w:pPr>
              <w:snapToGrid w:val="0"/>
              <w:spacing w:line="30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答：尊敬的投资者，您好，</w:t>
            </w:r>
          </w:p>
          <w:p w14:paraId="4356EE6C">
            <w:pPr>
              <w:snapToGrid w:val="0"/>
              <w:spacing w:line="30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新药研发是动态过程，公司将严格按照信息披露相关监管规则，在项目取得重要里程碑进展时第一时间通过法定信息披露渠道对外公告，所有关于该项目NDA申报的相关信息请您以公司后续正式披露的公告内容为准。</w:t>
            </w:r>
          </w:p>
          <w:p w14:paraId="18E354B9">
            <w:pPr>
              <w:snapToGrid w:val="0"/>
              <w:spacing w:line="300" w:lineRule="auto"/>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感谢您对公司的关注。</w:t>
            </w:r>
          </w:p>
          <w:p w14:paraId="21265DCC">
            <w:pPr>
              <w:snapToGrid w:val="0"/>
              <w:spacing w:line="300" w:lineRule="auto"/>
              <w:ind w:firstLine="420" w:firstLineChars="200"/>
              <w:rPr>
                <w:rFonts w:hint="eastAsia" w:ascii="Times New Roman" w:hAnsi="Times New Roman" w:eastAsia="宋体" w:cs="Times New Roman"/>
                <w:szCs w:val="21"/>
                <w:lang w:val="en-US" w:eastAsia="zh-CN"/>
              </w:rPr>
            </w:pPr>
          </w:p>
          <w:p w14:paraId="3B860CAB">
            <w:pPr>
              <w:keepNext w:val="0"/>
              <w:keepLines w:val="0"/>
              <w:pageBreakBefore w:val="0"/>
              <w:widowControl w:val="0"/>
              <w:kinsoku/>
              <w:wordWrap/>
              <w:overflowPunct/>
              <w:topLinePunct w:val="0"/>
              <w:autoSpaceDE/>
              <w:autoSpaceDN/>
              <w:bidi w:val="0"/>
              <w:adjustRightInd/>
              <w:snapToGrid w:val="0"/>
              <w:spacing w:line="300" w:lineRule="auto"/>
              <w:ind w:firstLine="420" w:firstLineChars="200"/>
              <w:textAlignment w:val="auto"/>
              <w:rPr>
                <w:rFonts w:hint="default" w:ascii="Times New Roman" w:hAnsi="Times New Roman" w:eastAsia="宋体" w:cs="Times New Roman"/>
                <w:szCs w:val="21"/>
              </w:rPr>
            </w:pPr>
          </w:p>
        </w:tc>
      </w:tr>
      <w:tr w14:paraId="4618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201D227F">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附件清单</w:t>
            </w:r>
          </w:p>
        </w:tc>
        <w:tc>
          <w:tcPr>
            <w:tcW w:w="4337" w:type="pct"/>
          </w:tcPr>
          <w:p w14:paraId="18C12E44">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无</w:t>
            </w:r>
          </w:p>
        </w:tc>
      </w:tr>
      <w:tr w14:paraId="447D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662" w:type="pct"/>
            <w:vAlign w:val="center"/>
          </w:tcPr>
          <w:p w14:paraId="3C04842C">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日期</w:t>
            </w:r>
          </w:p>
        </w:tc>
        <w:tc>
          <w:tcPr>
            <w:tcW w:w="4337" w:type="pct"/>
          </w:tcPr>
          <w:p w14:paraId="144F6261">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202</w:t>
            </w:r>
            <w:r>
              <w:rPr>
                <w:rFonts w:hint="eastAsia" w:ascii="Times New Roman" w:hAnsi="Times New Roman" w:eastAsia="宋体" w:cs="Times New Roman"/>
                <w:szCs w:val="21"/>
                <w:lang w:val="en-US" w:eastAsia="zh-CN"/>
              </w:rPr>
              <w:t>6</w:t>
            </w:r>
            <w:r>
              <w:rPr>
                <w:rFonts w:hint="default" w:ascii="Times New Roman" w:hAnsi="Times New Roman" w:eastAsia="宋体" w:cs="Times New Roman"/>
                <w:szCs w:val="21"/>
              </w:rPr>
              <w:t>年</w:t>
            </w:r>
            <w:r>
              <w:rPr>
                <w:rFonts w:hint="eastAsia" w:ascii="Times New Roman" w:hAnsi="Times New Roman" w:eastAsia="宋体" w:cs="Times New Roman"/>
                <w:szCs w:val="21"/>
                <w:lang w:val="en-US" w:eastAsia="zh-CN"/>
              </w:rPr>
              <w:t>9</w:t>
            </w:r>
            <w:r>
              <w:rPr>
                <w:rFonts w:hint="default" w:ascii="Times New Roman" w:hAnsi="Times New Roman" w:eastAsia="宋体" w:cs="Times New Roman"/>
                <w:szCs w:val="21"/>
              </w:rPr>
              <w:t>月</w:t>
            </w:r>
            <w:r>
              <w:rPr>
                <w:rFonts w:hint="eastAsia" w:ascii="Times New Roman" w:hAnsi="Times New Roman" w:eastAsia="宋体" w:cs="Times New Roman"/>
                <w:szCs w:val="21"/>
                <w:lang w:val="en-US" w:eastAsia="zh-CN"/>
              </w:rPr>
              <w:t>17</w:t>
            </w:r>
            <w:r>
              <w:rPr>
                <w:rFonts w:hint="default" w:ascii="Times New Roman" w:hAnsi="Times New Roman" w:eastAsia="宋体" w:cs="Times New Roman"/>
                <w:szCs w:val="21"/>
              </w:rPr>
              <w:t>日</w:t>
            </w:r>
          </w:p>
        </w:tc>
      </w:tr>
    </w:tbl>
    <w:p w14:paraId="2D1E3F93">
      <w:pPr>
        <w:tabs>
          <w:tab w:val="left" w:pos="947"/>
        </w:tabs>
        <w:rPr>
          <w:rFonts w:hint="eastAsia" w:ascii="宋体" w:hAnsi="宋体" w:eastAsia="宋体" w:cs="宋体"/>
        </w:rPr>
      </w:pPr>
    </w:p>
    <w:p w14:paraId="3D9BDB81">
      <w:pPr>
        <w:tabs>
          <w:tab w:val="left" w:pos="947"/>
        </w:tabs>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trackRevisions w:val="1"/>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D62BC2"/>
    <w:rsid w:val="0BED63A9"/>
    <w:rsid w:val="22573150"/>
    <w:rsid w:val="25645045"/>
    <w:rsid w:val="267D3D79"/>
    <w:rsid w:val="27CB43C4"/>
    <w:rsid w:val="318C4DE7"/>
    <w:rsid w:val="353337C1"/>
    <w:rsid w:val="39840565"/>
    <w:rsid w:val="40532D51"/>
    <w:rsid w:val="41562569"/>
    <w:rsid w:val="47744E9B"/>
    <w:rsid w:val="4DD21759"/>
    <w:rsid w:val="5910278B"/>
    <w:rsid w:val="5C10379E"/>
    <w:rsid w:val="625C582D"/>
    <w:rsid w:val="67044806"/>
    <w:rsid w:val="68490BA5"/>
    <w:rsid w:val="6D8F68C7"/>
    <w:rsid w:val="7D986AF4"/>
    <w:rsid w:val="7DC47E0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10">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annotation text"/>
    <w:basedOn w:val="1"/>
    <w:link w:val="16"/>
    <w:qFormat/>
    <w:uiPriority w:val="99"/>
    <w:pPr>
      <w:jc w:val="left"/>
    </w:pPr>
  </w:style>
  <w:style w:type="paragraph" w:styleId="3">
    <w:name w:val="Balloon Text"/>
    <w:basedOn w:val="1"/>
    <w:link w:val="18"/>
    <w:qFormat/>
    <w:uiPriority w:val="99"/>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7"/>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99"/>
    <w:rPr>
      <w:color w:val="0000FF"/>
      <w:u w:val="single"/>
    </w:rPr>
  </w:style>
  <w:style w:type="character" w:styleId="12">
    <w:name w:val="annotation reference"/>
    <w:basedOn w:val="10"/>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paragraph" w:customStyle="1" w:styleId="15">
    <w:name w:val="无间隔1"/>
    <w:qFormat/>
    <w:uiPriority w:val="1"/>
    <w:pPr>
      <w:widowControl w:val="0"/>
      <w:jc w:val="both"/>
    </w:pPr>
    <w:rPr>
      <w:rFonts w:ascii="等线" w:hAnsi="等线" w:eastAsia="等线" w:cs="宋体"/>
      <w:kern w:val="2"/>
      <w:sz w:val="21"/>
      <w:szCs w:val="22"/>
      <w:lang w:val="en-US" w:eastAsia="zh-CN" w:bidi="ar-SA"/>
    </w:rPr>
  </w:style>
  <w:style w:type="character" w:customStyle="1" w:styleId="16">
    <w:name w:val="批注文字 字符"/>
    <w:basedOn w:val="10"/>
    <w:link w:val="2"/>
    <w:qFormat/>
    <w:uiPriority w:val="99"/>
    <w:rPr>
      <w:rFonts w:ascii="等线" w:hAnsi="等线" w:eastAsia="等线" w:cs="宋体"/>
      <w:kern w:val="2"/>
      <w:sz w:val="21"/>
      <w:szCs w:val="22"/>
    </w:rPr>
  </w:style>
  <w:style w:type="character" w:customStyle="1" w:styleId="17">
    <w:name w:val="批注主题 字符"/>
    <w:basedOn w:val="16"/>
    <w:link w:val="7"/>
    <w:qFormat/>
    <w:uiPriority w:val="99"/>
    <w:rPr>
      <w:rFonts w:ascii="等线" w:hAnsi="等线" w:eastAsia="等线" w:cs="宋体"/>
      <w:b/>
      <w:bCs/>
      <w:kern w:val="2"/>
      <w:sz w:val="21"/>
      <w:szCs w:val="22"/>
    </w:rPr>
  </w:style>
  <w:style w:type="character" w:customStyle="1" w:styleId="18">
    <w:name w:val="批注框文本 字符"/>
    <w:basedOn w:val="10"/>
    <w:link w:val="3"/>
    <w:qFormat/>
    <w:uiPriority w:val="99"/>
    <w:rPr>
      <w:rFonts w:ascii="等线" w:hAnsi="等线" w:eastAsia="等线" w:cs="宋体"/>
      <w:kern w:val="2"/>
      <w:sz w:val="18"/>
      <w:szCs w:val="18"/>
    </w:rPr>
  </w:style>
  <w:style w:type="paragraph" w:customStyle="1" w:styleId="19">
    <w:name w:val="列出段落1"/>
    <w:basedOn w:val="1"/>
    <w:qFormat/>
    <w:uiPriority w:val="34"/>
    <w:pPr>
      <w:ind w:firstLine="420" w:firstLineChars="200"/>
    </w:pPr>
  </w:style>
  <w:style w:type="paragraph" w:customStyle="1" w:styleId="20">
    <w:name w:val="列出段落2"/>
    <w:basedOn w:val="1"/>
    <w:qFormat/>
    <w:uiPriority w:val="34"/>
    <w:pPr>
      <w:ind w:firstLine="420" w:firstLineChars="200"/>
    </w:pPr>
  </w:style>
  <w:style w:type="paragraph" w:customStyle="1" w:styleId="21">
    <w:name w:val="列出段落3"/>
    <w:basedOn w:val="1"/>
    <w:qFormat/>
    <w:uiPriority w:val="34"/>
    <w:pPr>
      <w:ind w:firstLine="420" w:firstLineChars="200"/>
    </w:pPr>
  </w:style>
  <w:style w:type="paragraph" w:customStyle="1" w:styleId="22">
    <w:name w:val="列出段落4"/>
    <w:basedOn w:val="1"/>
    <w:qFormat/>
    <w:uiPriority w:val="99"/>
    <w:pPr>
      <w:ind w:firstLine="420" w:firstLineChars="200"/>
    </w:pPr>
  </w:style>
  <w:style w:type="paragraph" w:styleId="23">
    <w:name w:val="List Paragraph"/>
    <w:basedOn w:val="1"/>
    <w:qFormat/>
    <w:uiPriority w:val="34"/>
    <w:pPr>
      <w:ind w:firstLine="420" w:firstLineChars="200"/>
    </w:pPr>
  </w:style>
  <w:style w:type="paragraph" w:customStyle="1" w:styleId="24">
    <w:name w:val="修订1"/>
    <w:qFormat/>
    <w:uiPriority w:val="99"/>
    <w:rPr>
      <w:rFonts w:ascii="等线" w:hAnsi="等线" w:eastAsia="等线" w:cs="宋体"/>
      <w:kern w:val="2"/>
      <w:sz w:val="21"/>
      <w:szCs w:val="22"/>
      <w:lang w:val="en-US" w:eastAsia="zh-CN" w:bidi="ar-SA"/>
    </w:rPr>
  </w:style>
  <w:style w:type="paragraph" w:customStyle="1" w:styleId="25">
    <w:name w:val="Revision_713d79fb-78cd-4552-b989-b1b90abb3bb1"/>
    <w:qFormat/>
    <w:uiPriority w:val="99"/>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3</Pages>
  <Words>2220</Words>
  <Characters>2424</Characters>
  <Paragraphs>70</Paragraphs>
  <TotalTime>1</TotalTime>
  <ScaleCrop>false</ScaleCrop>
  <LinksUpToDate>false</LinksUpToDate>
  <CharactersWithSpaces>2547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2025-03-18T06:26:00Z</dcterms:created>
  <dc:creator>myji</dc:creator>
  <cp:lastModifiedBy>宋且未</cp:lastModifiedBy>
  <cp:lastPrinted>2021-01-25T11:46:00Z</cp:lastPrinted>
  <dcterms:modified xsi:type="dcterms:W3CDTF">2026-09-16T09:19:36Z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C869B8F0CBAF4C05BB383165E2D34F3A_13</vt:lpwstr>
  </property>
  <property fmtid="{D5CDD505-2E9C-101B-9397-08002B2CF9AE}" pid="4" name="KSOTemplateDocerSaveRecord">
    <vt:lpwstr>eyJoZGlkIjoiM2RmNmY1MzgzOGJhZjExYzY0ZTBlOTE5MjQ5N2YxYmUiLCJ1c2VySWQiOiIxODAyODc5MTUxIn0=</vt:lpwstr>
  </property>
</Properties>
</file>